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60" w:rsidRDefault="009A4060" w:rsidP="00477381">
      <w:pPr>
        <w:spacing w:before="120"/>
        <w:jc w:val="center"/>
        <w:rPr>
          <w:b/>
          <w:bCs/>
          <w:sz w:val="32"/>
          <w:szCs w:val="32"/>
        </w:rPr>
      </w:pPr>
    </w:p>
    <w:p w:rsidR="00477381" w:rsidRPr="009D031C" w:rsidRDefault="00477381" w:rsidP="00477381">
      <w:pPr>
        <w:spacing w:before="120"/>
        <w:jc w:val="center"/>
        <w:rPr>
          <w:b/>
          <w:bCs/>
          <w:sz w:val="32"/>
          <w:szCs w:val="32"/>
        </w:rPr>
      </w:pPr>
      <w:r w:rsidRPr="009D031C">
        <w:rPr>
          <w:b/>
          <w:bCs/>
          <w:sz w:val="32"/>
          <w:szCs w:val="32"/>
        </w:rPr>
        <w:t>Признание курсовых разниц в бухгалтерском учете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Для отражения курсовых разниц в бухгалтерском учете необходимо применять нормы Приказа Минфина Российской Федерации от 10 января 2000 года №2н «Об утверждении положения по бухгалтерскому учету «Учет активов и обязательств, стоимость которых выражена в иностранной валюте» ПБУ 3/2000» (далее ПБУ 3/2000).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Первоначально для отражения результатов валютных операций в бухгалтерском учете рассчитывается их стоимостная оценка в рублевом выражении: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1) по факту совершения операции в иностранной валюте, а именно признания ее результатов в учете, определяется установленный ЦБ Российской Федерации курс иностранной валюты по отношению к рублю на дату пересчета;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2) произведение величины актива или обязательства, выраженного в иностранной валюте, на ее курс формирует стоимость в рублевом эквиваленте;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3) записи в размере сформированной рублевой стоимости разносятся по счетам бухгалтерского учета.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Порядок учета стоимостной оценки результатов валютных операций зависит от статьи бухгалтерской отчетности, используемой в результате их проведения. Для целей переоценки, статьи, выраженные в иностранной валюте, подразделяются на две группы: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1) Денежные статьи. Они объединяют денежные средства в кассе, на банковских счетах, в расчетах; обязательства и ценные бумаги, срок обращения которых определен рамками отчетного года.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Записи в регистрах бухгалтерского учета по счетам учета денежных средств в иностранной валюте, требований и обязательств, которые будут получены или погашены путем выплаты фиксированной суммы иностранной валюты, производятся одновременно в рублях и в валюте расчетов и платежей.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Валютная стоимость денежных статей подлежит пересчету в рубли, начиная с даты их признания в учете и до момента завершения расчетов или выбытия валютных ценностей.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В периодах между указанными моментами переоценка денежных статей производится ежемесячно путем доведения стоимости имущества в виде валютных ценностей, а также выраженных в иностранной валюте средств в расчетах и обязательств до величины, соответствующей рублевому эквиваленту, исчисленному по курсу на отчетную дату. Дата проведения расчетов или выбытия имущества в виде валютных ценностей является окончательной для определения рублевого выражения стоимостной оценки денежных статей по курсу на эту дату. Результатом сравнения полученной при пересчете рублевой величины являются курсовые разницы, которые в каждом отчетном периоде признаются в сумме, равной изменению рублевого эквивалента.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Указанный выше порядок применяется в отношении денежных статей, стоимостная оценка которых признается на дату совершения операций на счетах, перечисленных в таблице 1.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Таблица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6"/>
        <w:gridCol w:w="3006"/>
        <w:gridCol w:w="3449"/>
      </w:tblGrid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Счет, используемый для отражения в учете результата операции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Операция в иностранной валюте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Дата совершения операции в иностранной валюте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50 «Касса», субсчет «Денежные средства в иностранной валюте»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Кассовые операции с иностранной валютой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поступления денежных знаков в кассу организации или выдачи денежных знаков из кассы организации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52 «Валютные счета»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Банковские операции по валютным счетам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зачисления денежных средств на валютный счет или их списания с валютного счета организации в кредитной организации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55 «Специальные счета в банках»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Движение денежных и платежных документов, выраженных в иностранной валюте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зачисления иностранной валюты на аккредитивы, чековые книжки, иные платежные документы (кроме векселей) или списания их по мере использования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57 «Переводы в пути»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Движение денежных валютных средств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внесения денежных сумм в кассу кредитной организации или их зачисления по назначению на счет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58, субсчет «Краткосрочные</w:t>
            </w:r>
          </w:p>
          <w:p w:rsidR="00477381" w:rsidRPr="00716863" w:rsidRDefault="00477381" w:rsidP="003D1D5A">
            <w:pPr>
              <w:jc w:val="both"/>
            </w:pPr>
            <w:r w:rsidRPr="00716863">
              <w:t>финансовые вложения в долговые ценные бумаги»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Инвестиции в ценные бумаги, номинированные в иностранной валюте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перехода права на объект финансовых вложений или их передачи в момент выбытия ценных бумаг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60 «Расчеты с поставщиками и подрядчиками»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Расчеты по импортным поставкам в иностранной валюте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Возникновение обязательства перед поставщиками при осуществлении импортной поставки и переходе права собственности на объект и погашение задолженности в результате исполнения обязательства перед поставщиком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62 «Расчеты с покупателями и заказчиками»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Расчеты по экспортной реализации в иностранной валюте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Возникновение требования к покупателю при переходе права собственности на объект экспортной реализации и прекращение встречного обязательства при получении валютной выручки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60, 62 Авансы, выданные или полученные в иностранной валюте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Расчеты по предоплате по валютным операциям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Зачисление или перечисление на счет иностранной валюты в виде предварительной оплаты и зачет суммы аванса в счет произведенных операций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76 «Расчеты с прочими дебиторами и кредиторами»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Расчеты по таможенным расходам, по услугам банков, с комитентами и другими дебиторами и кредиторами в иностранной валюте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начисления задолженности по потребленным услугам и погашение задолженности при перечислении валютных средств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58, субсчет «Предоставленные кредиты и займы в иностранной валюте», счета 66, 67 «Расчеты по полученным кредитам и займам в иностранной валюте», 73 «Расчеты с персоналом по предоставленным займам»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Заемные средства, полученные или предоставленные в иностранной валюте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фактической передачи валютных ценностей при предоставлении кредита, займа, включая размещение заемных обязательств, или дата исполнения договора займа или кредита по погашению долга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71, субсчет «Расчеты с подотчетными лицами в иностранной валюте»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Расчеты в иностранной валюте по командировочным расходам при выезде за рубеж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выдачи сумм в иностранной валюте работникам организации под отчет и погашение задолженности на дату утверждения авансового отчета по суммам, выданным на расходы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75 «Расчеты с учредителями», субсчет «Расчеты по вкладам в уставный (складочный) капитал»*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Расчеты с учредителями по валютным вкладам в уставный капитал или с участниками по валютным вкладам в складочный капитал по договорам простого товарищества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образования задолженности или внесения валютных средств по вкладам в уставный капитал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75 «Расчеты с учредителями», субсчет «Расчеты по выплате доходов»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Расчеты по доходам от участия в организации с иностранным капиталом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Образование задолженности по выплате дивидендов на момент решения о начислении дивидендов и погашение задолженности при выплате дивидендов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6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86 «Целевое финансирование»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Валютные средства из бюджета или иностранных источников в рамках технической или иной помощи Российской Федерации в соответствии с заключенными соглашениями (договорами)</w:t>
            </w:r>
          </w:p>
        </w:tc>
        <w:tc>
          <w:tcPr>
            <w:tcW w:w="1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получения валютных средств в рамках программы целевого финансирования и дата списания средств по мере их использования</w:t>
            </w:r>
          </w:p>
        </w:tc>
      </w:tr>
    </w:tbl>
    <w:p w:rsidR="00477381" w:rsidRPr="00716863" w:rsidRDefault="00477381" w:rsidP="00477381">
      <w:pPr>
        <w:spacing w:before="120"/>
        <w:ind w:firstLine="567"/>
        <w:jc w:val="both"/>
      </w:pPr>
      <w:r w:rsidRPr="00716863">
        <w:t>2) Неденежные статьи. Ими считаются статьи, отличные от денежных.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Оценка величины данных статей отчетности, образовавшихся по результатам валютных операций, перечисленных в таблице 2, производится один раз по курсу на дату совершения операции и учитывается в бухгалтерских регистрах только в рублевом эквиваленте в размере первоначальной стоимости. Принадлежность к неденежным статьям определяется результатом операции, для учета которого используются следующие счета и даты признания в учете: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Таблица 2</w:t>
      </w:r>
    </w:p>
    <w:tbl>
      <w:tblPr>
        <w:tblW w:w="5000" w:type="pct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2"/>
        <w:gridCol w:w="3553"/>
        <w:gridCol w:w="2656"/>
      </w:tblGrid>
      <w:tr w:rsidR="00477381" w:rsidRPr="00716863" w:rsidTr="003D1D5A">
        <w:trPr>
          <w:tblCellSpacing w:w="0" w:type="dxa"/>
        </w:trPr>
        <w:tc>
          <w:tcPr>
            <w:tcW w:w="17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Счет, используемый для отражения в учете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Результат операции в иностранной валюте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совершения операции в иностранной валюте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7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90 «Продажи»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Доходы организации в иностранной валюте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признания доходов организации в иностранной валюте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7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20 «Основное производство», счет 26 «Общехозяйственные расходы», счет 44 «Расходы на продажу»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Расходы организации в иностранной валюте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признания расходов организации в иностранной валюте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7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20 «Основное производство», счет 26 «Общехозяйственные расходы»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Импорт услуги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фактического потребления услуги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7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08 «Вложения во внеоборотные активы», счет 07 «Оборудование к установке»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Импорт основных средств, оборудования к установке, нематериальных активов</w:t>
            </w:r>
          </w:p>
          <w:p w:rsidR="00477381" w:rsidRPr="00716863" w:rsidRDefault="00477381" w:rsidP="003D1D5A">
            <w:pPr>
              <w:jc w:val="both"/>
            </w:pPr>
            <w:r w:rsidRPr="00716863">
              <w:t>по валютным контрактам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перехода права собственности к импортеру на приобретенное имущество или имущественные права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7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10 «Материалы», счет 15 «Заготовление и приобретение материалов», счет 41 «Товары»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Импорт материально- производственных запасов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перехода права собственности к импортеру на импортированные товары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7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58 «Финансовые вложения», субсчет «Долгосрочные финансовые вложения в долговые ценные бумаги»,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Долгосрочные финансовые вложения, выраженные в иностранной валюте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принятия к учету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7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80 «Уставный капитал»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Формирование уставного (складочного) капитала организации при внесении вкладов валютными ценностями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приобретения статуса юридического лица или образования простого товарищества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17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Счет 84 «Нераспределенная прибыль», дивиденды, начисленные по результатам деятельности в виде распределяемых доходов учредителям в иностранной валюте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Направление части прибыли отчетного года на выплату доходов учредителям организации по итогам утверждения годовой бухгалтерской отчетности, при выплате промежуточных доходов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Дата начисления</w:t>
            </w:r>
          </w:p>
          <w:p w:rsidR="00477381" w:rsidRPr="00716863" w:rsidRDefault="00477381" w:rsidP="003D1D5A">
            <w:pPr>
              <w:jc w:val="both"/>
            </w:pPr>
            <w:r w:rsidRPr="00716863">
              <w:t>доходов от участия в организации</w:t>
            </w:r>
          </w:p>
        </w:tc>
      </w:tr>
    </w:tbl>
    <w:p w:rsidR="00477381" w:rsidRPr="00716863" w:rsidRDefault="00477381" w:rsidP="00477381">
      <w:pPr>
        <w:spacing w:before="120"/>
        <w:ind w:firstLine="567"/>
        <w:jc w:val="both"/>
      </w:pPr>
      <w:r w:rsidRPr="00716863">
        <w:t>Возникновение курсовой разницы непосредственно обусловлено изменением курсов валют. Основой ее правильного расчета для отражения в учете является фиксирование даты в целях определения котировки нужной валюты, а именно: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дата совершения операции в иностранной валюте;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отчетная дата составления бухгалтерской отчетности.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Согласно пункту 3 статьи 14 Федерального закона №129-ФЗ составление бухгалтерской отчетности включает промежуточную отчетность за месяц. Поэтому при пересчете иностранных валют в рублевый эквивалент датой составления бухгалтерской отчетности признается последний день месяца и определяется действующий на указанную отчетную дату курс Центрального банка Российской Федерации (далее ЦБ РФ).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Датой совершения операции в иностранной валюте признается день возникновения у организации права, обусловленного требованиями законодательства Российской Федерации или договором, принимающим к бухгалтерскому учету активы и обязательства, которые являются результатом этой операции.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Таким образом, курсовая разница признается в результате изменения официального курса иностранной валюты к рублю, используемого в расчетах: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на отчетную дату текущего периода по отношению к дате совершения валютной операции;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на дату исполнения обязательств по оплате в отчетном периоде и предыдущую отчетную дату;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на предыдущую отчетную дату и отчетную дату текущего периода, когда операции в иностранной валюте не совершались в данном периоде;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на дату возникновения обязательств в бухгалтерском учете и дату исполнения обязательств по их оплате и, если их признание и проведение расчетов по таким обязательствам производится в одном отчетном периоде.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Расчет курсовой разницы от стоимости денежных знаков в кассе организации и средств на счетах в кредитных организациях может производиться дополнительно к указанным датам еще и по мере изменения курсов иностранных валют, котируемых ЦБ РФ.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Курсовая разница, связанная с формированием уставного (складочного) капитала, признается только на дату поступления суммы валютных вкладов от учредителей или участников по договорам простого товарищества.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Учет результатов изменения официального курса иностранной валюты к рублю определяется характером валютной операции, а курсовая разница в зависимости от этого зачисляется: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на финансовые результаты по всем текущим операциям,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на добавочный капитал по операциям, связанным с формированием уставного (складочного) капитала.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Изменение стоимости валюты в рублях оказывает влияние на рублевую оценку величины денежных статей отчетности.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В результате роста курса рубля по отношению к иностранной валюте происходит уменьшение рублевого эквивалента, так как стоимость единицы валюты в этом случае понижается.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Падение курса рубля по отношению к иностранной валюте приводит к увеличению рублевого эквивалента, поскольку за каждую единицу валюты требуется большее количество рублей.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В свою очередь, финансовый результат, как следствие изменения рублевого выражения денежной статьи отчетности, определяется в зависимости от того, какая статья переоценивается, - актив или обязательство.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Так, уменьшение рублевого выражения денежных статей актива баланса, валютного имущества и валютных средств в расчетах, приводит к потерям в виде отрицательного финансового результата. Тогда как при пересчете денежных статей пассива баланса уменьшение рублевой оценки валютного обязательства влечет получение положительного финансового результата.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Доход образуется также, когда под воздействием разницы в валютных курсах увеличивается рублевый эквивалент стоимости валютного имущества и дебиторской задолженности в валюте. Напротив, когда увеличивается рублевое выражение валютного обязательства, вызванное изменением стоимости валюты в рублях, выявляется убыток.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Как указывалось выше, курсовая разница является результатом сравнения рублевого выражения денежных статей и подлежит отражению в отчете о прибылях и убытках по мере проведения текущих валютных операций.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Расчет курсовой разницы в отношении стоимости валютных вкладов в уставный капитал производится только в период погашения задолженности учредителей в иностранной валюте.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В результате изменения котировки валюты на дату осуществления расчетов в сторону повышения возникает положительная курсовая разница, которая зачисляется на увеличение добавочного капитала (пункт 14 ПБУ 3/2000). Снижение единицы стоимости валюты на эту дату приведет к отрицательной курсовой разнице, на которую следует уменьшить величину добавочного капитала.</w:t>
      </w:r>
    </w:p>
    <w:p w:rsidR="00477381" w:rsidRPr="009D031C" w:rsidRDefault="00477381" w:rsidP="00477381">
      <w:pPr>
        <w:spacing w:before="120"/>
        <w:jc w:val="center"/>
        <w:rPr>
          <w:b/>
          <w:bCs/>
          <w:sz w:val="28"/>
          <w:szCs w:val="28"/>
        </w:rPr>
      </w:pPr>
      <w:r w:rsidRPr="009D031C">
        <w:rPr>
          <w:b/>
          <w:bCs/>
          <w:sz w:val="28"/>
          <w:szCs w:val="28"/>
        </w:rPr>
        <w:t>Признание курсовых разниц у покупателя (импортера)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При заключении контракта с иностранным поставщиком (нерезидентом) цена сделки устанавливается в иностранной валюте.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Импорт товаров – ввоз товара на таможенную территорию Российской Федерации без обязательства об обратном вывозе (пункт 10 статьи 2 Федерального закона от 8 декабря 2003 года №164-ФЗ «Об основах государственного регулирования внешнеторговой деятельности» (далее Федеральный закон №164-ФЗ)). Факт импорта фиксируется в момент пересечения товаром таможенной границы Российской Федерации.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Датой совершения операции в иностранной валюте по импорту товаров является день возникновения у организации права собственности на ввезенные товары. Если в контракте указана дата перехода права собственности, то у бухгалтера не возникает проблем с применением норм ПБУ 3/2000.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Если же дата перехода права собственности в контракте от поставщика к покупателю не определена, то в этом случае следует признать датой перехода права собственности момент исполнения поставщиком своего обязательства по поставке товара. Как правило, этот момент связывают с переходом рисков от поставщика к покупателю, определяемый положениями «Международных правил толкования торговых терминов «Инкотермс». При этом правила «Инкотермс» носят лишь рекомендательный характер и напрямую момент перехода права собственности не устанавливают. Поэтому, во избежание ошибок в определении стоимости импортируемого товара рекомендуется определять дату перехода права собственности непосредственно в контракте.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Стоимость имущества, приобретенного организацией-импортером, отражается в бухгалтерском учете в момент перехода права собственности в рублевой оценке по курсу Банка России, который действовал на эту дату, и в дальнейшем эта стоимость не пересчитывается. Пересчету подлежит лишь задолженность перед иностранным поставщиком в рубли по курсу Банка России на каждую отчетную дату (дату составления отчетности), а также на дату погашения задолженности.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Пример 1.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ЗАО «Альфа» импортирует из Гамбурга материалы, их стоимость составляет 10 000 Евро. Условия поставки материалов – CIF Гамбург. Материалы были доставлены на борт судна 2 февраля. Таможенная декларация была подана 10 февраля. Ставка таможенной пошлины составляет 10 процентов. Материалы не облагаются акцизами и облагаются налогом на добавленную стоимость по ставке 18 процентов. Задолженность перед иностранным поставщиком погашена 15 февраля. Учетной политикой ЗАО «Альфа» определено, что фактические расходы на приобретение материалов, транспортные расходы и таможенные пошлины отражаются на счете 10 «Материалы».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Официальный курс Евро составил: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на 2 февраля – 34,60 рубля/EUR;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на 10 февраля – 34,50 рубля/EUR;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на 15 февраля – 34,40 рубля/EUR.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Так как условия поставки материалов CIF Гамбург, то материалы переходят в собственность покупателя в момент фактического перехода материалов через поручни судна в указанном порту отгрузки (2 февраля).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В бухгалтерском учете ЗАО «Альфа» сформированы следующие записи:</w:t>
      </w:r>
    </w:p>
    <w:tbl>
      <w:tblPr>
        <w:tblW w:w="5000" w:type="pct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5"/>
        <w:gridCol w:w="1389"/>
        <w:gridCol w:w="1530"/>
        <w:gridCol w:w="5367"/>
      </w:tblGrid>
      <w:tr w:rsidR="00477381" w:rsidRPr="00716863" w:rsidTr="003D1D5A">
        <w:trPr>
          <w:tblCellSpacing w:w="0" w:type="dxa"/>
        </w:trPr>
        <w:tc>
          <w:tcPr>
            <w:tcW w:w="1434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Корреспонденция счетов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Сумма, рублей</w:t>
            </w:r>
          </w:p>
        </w:tc>
        <w:tc>
          <w:tcPr>
            <w:tcW w:w="27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Содержание операции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Дебет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Кредит</w:t>
            </w:r>
          </w:p>
        </w:tc>
        <w:tc>
          <w:tcPr>
            <w:tcW w:w="7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</w:p>
        </w:tc>
        <w:tc>
          <w:tcPr>
            <w:tcW w:w="27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</w:p>
        </w:tc>
      </w:tr>
      <w:tr w:rsidR="00477381" w:rsidRPr="00716863" w:rsidTr="003D1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2 февраля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101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60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346 000</w:t>
            </w:r>
          </w:p>
        </w:tc>
        <w:tc>
          <w:tcPr>
            <w:tcW w:w="2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Отражена стоимость материалов, находящихся в пути, на основании полученной накладной (10 000 EUR х 34,60 рубля/EUR)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10 февраля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101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68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34 500</w:t>
            </w:r>
          </w:p>
        </w:tc>
        <w:tc>
          <w:tcPr>
            <w:tcW w:w="2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Отражена сумма таможенной пошлины (10 000 EUR х 34,50 рубля/EUR х 10%)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68НДС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51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68 310</w:t>
            </w:r>
          </w:p>
        </w:tc>
        <w:tc>
          <w:tcPr>
            <w:tcW w:w="2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Уплачен налог на добавленную стоимость на таможне ((10 000 EUR + 1 000 EUR) х 34,50 рубля/EUR х 18%)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193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68НДС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68 310</w:t>
            </w:r>
          </w:p>
        </w:tc>
        <w:tc>
          <w:tcPr>
            <w:tcW w:w="2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Отражена сумма налога на добавленную стоимость, уплаченная на таможне ((10 000 EUR + 1 000 EUR) х 34,50 рубля/EUR х 18%)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68НДС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193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68 310</w:t>
            </w:r>
          </w:p>
        </w:tc>
        <w:tc>
          <w:tcPr>
            <w:tcW w:w="2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Произведен налоговый вычет по НДС, уплаченного на таможне и относящегося к принятым на учет импортным материалам ((10 000 EUR + 1 000 EUR) х 34,50 рубля/EUR х 18%)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101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76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345</w:t>
            </w:r>
          </w:p>
        </w:tc>
        <w:tc>
          <w:tcPr>
            <w:tcW w:w="2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Отражена сумма сбора за таможенное оформление (0,1% в рублях) (10 000 EUR х 34,50 рубля/EUR х 0,1%)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101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76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172,50</w:t>
            </w:r>
          </w:p>
        </w:tc>
        <w:tc>
          <w:tcPr>
            <w:tcW w:w="2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Отражена сумма сбора за таможенное оформление (0,05% в валюте) (10 000 EUR х 34,50 рубля/EUR х 0,05%)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76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51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345</w:t>
            </w:r>
          </w:p>
        </w:tc>
        <w:tc>
          <w:tcPr>
            <w:tcW w:w="2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Перечислен таможенный сбор в рублях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68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51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34 500</w:t>
            </w:r>
          </w:p>
        </w:tc>
        <w:tc>
          <w:tcPr>
            <w:tcW w:w="2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Перечислена таможенная пошлина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76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52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172,50</w:t>
            </w:r>
          </w:p>
        </w:tc>
        <w:tc>
          <w:tcPr>
            <w:tcW w:w="2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Перечислен таможенный сбор в иностранной валюте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15 февраля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52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344 000</w:t>
            </w:r>
          </w:p>
        </w:tc>
        <w:tc>
          <w:tcPr>
            <w:tcW w:w="2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Погашена задолженность перед иностранным поставщиком (10 000 EUR х 34,40 рубля/EUR)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7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911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2 000</w:t>
            </w:r>
          </w:p>
        </w:tc>
        <w:tc>
          <w:tcPr>
            <w:tcW w:w="2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Отражена положительная курсовая разница по задолженности иностранному поставщику на дату совершения операции (346 000 рублей – 344 000 рублей)</w:t>
            </w:r>
          </w:p>
        </w:tc>
      </w:tr>
    </w:tbl>
    <w:p w:rsidR="00477381" w:rsidRPr="00716863" w:rsidRDefault="00477381" w:rsidP="00477381">
      <w:pPr>
        <w:spacing w:before="120"/>
        <w:ind w:firstLine="567"/>
        <w:jc w:val="both"/>
      </w:pPr>
      <w:r w:rsidRPr="00716863">
        <w:t>Организация-импортер помимо материалов (товаров, работ, услуг) может приобретать у иностранного поставщика и производственное оборудование. При отражении в учете импортного оборудования организация-покупатель должна руководствоваться пунктом 16 ПБУ 6/01, утвержденного Приказом Минфина Российской Федерации от 30 марта 2001 года №26н «Об утверждении положения по бухгалтерскому учету «Учет основных средств» ПБУ 6/01» (далее ПБУ 6/01) и пунктом 9 ПБУ 3/2000. Объекты основных средств, в соответствии с пунктом 9 ПБУ 3/2000 оцениваются в рублях на дату совершения операции, в результате которой активы принимаются к бухгалтерскому учету, и далее не переоцениваются. Дата совершения операции для приобретения имущества за валюту определена как дата перехода права собственности к импортеру на импортируемое имущество. Норму пункта 16 ПБУ 6/01, в соответствии с которой оценка объекта основных средств, стоимость которого при приобретении выражена в иностранной валюте, производится в рублях путем пересчета суммы в иностранной валюте по курсу Центрального банка Российской Федерации, действующему на дату принятия объекта к бухгалтерскому учету, можно рассматривать как уточнение стоимости объекта, определенной положениями ПБУ 3/2000, на момент его принятия к учету в составе основных средств.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Оценка имущества (основных средств), приобретенного за плату, осуществляется путем суммирования фактически произведенных расходов на его покупку (пункт 1 статьи 11 Федерального закона №129-ФЗ и пункт 8 ПБУ 6/01).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Пример 2.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ЗАО «Альфа» импортирует из Гамбурга производственное оборудование, стоимость которого составляет 5 000 Евро.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Условия поставки товара – DDP Москва. По условиям контракта право собственности на оборудование переходит к покупателю в момент передачи оборудования от иностранного поставщика в пункте назначения.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Оборудование было доставлено 2 февраля. Задолженность перед иностранным поставщиком погашена 10 февраля. Оборудование введено в эксплуатацию 15 февраля.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Официальный курс Евро составил: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на 2 февраля – 34,60 рубля/EUR;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на 10 февраля – 34,70 рубля/EUR;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на 15 февраля – 34,50 рубля/EUR.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В бухгалтерском учете ЗАО «Альфа» сформированы следующие записи:</w:t>
      </w:r>
    </w:p>
    <w:tbl>
      <w:tblPr>
        <w:tblW w:w="5000" w:type="pct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551"/>
        <w:gridCol w:w="5431"/>
      </w:tblGrid>
      <w:tr w:rsidR="00477381" w:rsidRPr="00716863" w:rsidTr="003D1D5A">
        <w:trPr>
          <w:tblCellSpacing w:w="0" w:type="dxa"/>
        </w:trPr>
        <w:tc>
          <w:tcPr>
            <w:tcW w:w="1389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Корреспонденция счетов</w:t>
            </w:r>
          </w:p>
        </w:tc>
        <w:tc>
          <w:tcPr>
            <w:tcW w:w="8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Сумма, рублей</w:t>
            </w:r>
          </w:p>
        </w:tc>
        <w:tc>
          <w:tcPr>
            <w:tcW w:w="28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Содержание операции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Дебет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Кредит</w:t>
            </w:r>
          </w:p>
        </w:tc>
        <w:tc>
          <w:tcPr>
            <w:tcW w:w="8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</w:p>
        </w:tc>
        <w:tc>
          <w:tcPr>
            <w:tcW w:w="28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</w:p>
        </w:tc>
      </w:tr>
      <w:tr w:rsidR="00477381" w:rsidRPr="00716863" w:rsidTr="003D1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2 февраля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084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173 000</w:t>
            </w:r>
          </w:p>
        </w:tc>
        <w:tc>
          <w:tcPr>
            <w:tcW w:w="2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Отражено получение оборудования (5 000 EUR х 34,60 рубля/EUR)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10 февраля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52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173 500</w:t>
            </w:r>
          </w:p>
        </w:tc>
        <w:tc>
          <w:tcPr>
            <w:tcW w:w="2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Погашена задолженность перед иностранным поставщиком (5 000 EUR х 34,70 рубля/EUR)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912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500</w:t>
            </w:r>
          </w:p>
        </w:tc>
        <w:tc>
          <w:tcPr>
            <w:tcW w:w="2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Отражена отрицательная курсовая разница по задолженности иностранному поставщику на дату совершения операции (173 500 рублей – 173 000 рублей)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15 февраля: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01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084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173 000</w:t>
            </w:r>
          </w:p>
        </w:tc>
        <w:tc>
          <w:tcPr>
            <w:tcW w:w="2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Оборудование введено в эксплуатацию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01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911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500</w:t>
            </w:r>
          </w:p>
        </w:tc>
        <w:tc>
          <w:tcPr>
            <w:tcW w:w="2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Выявлена разница в соответствии с пунктом 16 ПБУ 6/01</w:t>
            </w:r>
          </w:p>
        </w:tc>
      </w:tr>
    </w:tbl>
    <w:p w:rsidR="00477381" w:rsidRPr="00716863" w:rsidRDefault="00477381" w:rsidP="00477381">
      <w:pPr>
        <w:spacing w:before="120"/>
        <w:ind w:firstLine="567"/>
        <w:jc w:val="both"/>
      </w:pPr>
      <w:r w:rsidRPr="00716863">
        <w:t>Фактически произведенные затраты на приобретение составили 173 500 рублей. Стоимость оборудования сформирована в размере 173 500 рублей. Таким образом, применение пункта 16 ПБУ 6/01 позволило сформировать стоимость объекта основных средств в сумме фактических затрат.</w:t>
      </w:r>
    </w:p>
    <w:p w:rsidR="00477381" w:rsidRPr="009D031C" w:rsidRDefault="00477381" w:rsidP="00477381">
      <w:pPr>
        <w:spacing w:before="120"/>
        <w:jc w:val="center"/>
        <w:rPr>
          <w:b/>
          <w:bCs/>
          <w:sz w:val="28"/>
          <w:szCs w:val="28"/>
        </w:rPr>
      </w:pPr>
      <w:r w:rsidRPr="009D031C">
        <w:rPr>
          <w:b/>
          <w:bCs/>
          <w:sz w:val="28"/>
          <w:szCs w:val="28"/>
        </w:rPr>
        <w:t>Признание курсовых разниц у поставщика (экспортера)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Экспорт товара – вывоз товара с таможенной территории Российской Федерации без обязательства об обратном ввозе (пункт 28 статьи 2 Федерального закона №164-ФЗ).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Согласно требованиям валютного законодательства любая внешнеторговая сделка осуществляется на основании контракта (договора) между российским хозяйствующим субъектом (резидентом) и иностранным заказчиком (нерезидентом).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Факт экспорта фиксируется в момент пересечения товаром таможенной границы Российской Федерации. До момента перехода права собственности на товар, его необходимо учитывать на счете 45 «Товары отгруженные». Для отражения в учете выручки от реализации товаров, проданных на экспорт, необходимо определить момент перехода права собственности от продавца к покупателю. Передачей признается вручение вещи приобретателю, а равно сдача перевозчику для отправки приобретателю или сдача в организацию связи (пункт 1 статьи 224 Гражданского кодекса Российской Федерации).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Выручка от реализации по экспортному контракту для целей бухгалтерского учета должна быть пересчитана в рубли на дату перехода права собственности по курсу Банка России, который действует на эту дату.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Задолженность покупателя за отгруженный товар необходимо пересчитывать в рубли по официальному курсу на каждую отчетную дату, а также на дату погашения задолженности.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Пример 3.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ЗАО «Вега» реализовало на экспорт товары, стоимость которых составляет 10 000 долларов США. Отгрузка товаров со склада экспортера произведена 2 февраля. Товар передан перевозчику 7 февраля. Иностранный покупатель погасил задолженность 12 февраля. Условия поставки по контракту - FCA. Себестоимость товаров составила 250 000 рублей.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Официальный курс доллара США составил: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2 февраля – 30,60 рубля/USD;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7 февраля – 30,50 рубля/USD;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 xml:space="preserve">12 февраля – 30,40 рубля/USD; 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Так как условия поставки товаров – FCA, то риск случайной гибели или утраты товаров переходит к покупателю в момент передачи товаров перевозчику.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В бухгалтерском учете ЗАО «Вега» сформированы следующие записи:</w:t>
      </w:r>
    </w:p>
    <w:tbl>
      <w:tblPr>
        <w:tblW w:w="5000" w:type="pct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1367"/>
        <w:gridCol w:w="1607"/>
        <w:gridCol w:w="5039"/>
      </w:tblGrid>
      <w:tr w:rsidR="00477381" w:rsidRPr="00716863" w:rsidTr="003D1D5A">
        <w:trPr>
          <w:tblCellSpacing w:w="0" w:type="dxa"/>
        </w:trPr>
        <w:tc>
          <w:tcPr>
            <w:tcW w:w="1564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Корреспонденция счетов</w:t>
            </w:r>
          </w:p>
        </w:tc>
        <w:tc>
          <w:tcPr>
            <w:tcW w:w="8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Сумма, рублей</w:t>
            </w:r>
          </w:p>
        </w:tc>
        <w:tc>
          <w:tcPr>
            <w:tcW w:w="26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Содержание операции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8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Дебет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Кредит</w:t>
            </w:r>
          </w:p>
        </w:tc>
        <w:tc>
          <w:tcPr>
            <w:tcW w:w="8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</w:p>
        </w:tc>
        <w:tc>
          <w:tcPr>
            <w:tcW w:w="2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</w:p>
        </w:tc>
      </w:tr>
      <w:tr w:rsidR="00477381" w:rsidRPr="00716863" w:rsidTr="003D1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2 февраля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8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45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41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250 000</w:t>
            </w:r>
          </w:p>
        </w:tc>
        <w:tc>
          <w:tcPr>
            <w:tcW w:w="2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Отражена фактическая себестоимость отгруженных товаров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7 февраля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8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62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901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305 000</w:t>
            </w:r>
          </w:p>
        </w:tc>
        <w:tc>
          <w:tcPr>
            <w:tcW w:w="2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Отражено признание выручки от реализации товаров на экспорт (10 000 USD х 30,50 рубля/USD)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8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902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45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250 000</w:t>
            </w:r>
          </w:p>
        </w:tc>
        <w:tc>
          <w:tcPr>
            <w:tcW w:w="2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Списана себестоимость реализованных товаров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12 февраля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8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52транзит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62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304 000</w:t>
            </w:r>
          </w:p>
        </w:tc>
        <w:tc>
          <w:tcPr>
            <w:tcW w:w="2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Отражена сумма выручки, поступившая на транзитный валютный счет (10 000 USD х 30,40 рубля/USD)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8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912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62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1 000</w:t>
            </w:r>
          </w:p>
        </w:tc>
        <w:tc>
          <w:tcPr>
            <w:tcW w:w="2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Отражена отрицательная курсовая разница на дату погашения задолженности (305 000 рублей – 304 000 рублей)</w:t>
            </w:r>
          </w:p>
        </w:tc>
      </w:tr>
    </w:tbl>
    <w:p w:rsidR="00477381" w:rsidRPr="00716863" w:rsidRDefault="00477381" w:rsidP="00477381">
      <w:pPr>
        <w:spacing w:before="120"/>
        <w:ind w:firstLine="567"/>
        <w:jc w:val="both"/>
      </w:pPr>
      <w:r w:rsidRPr="00716863">
        <w:t>Изменим, условия примера, и предположим, что по условиям контракта право собственности переходит к иностранному покупателю только после их оплаты.</w:t>
      </w:r>
    </w:p>
    <w:p w:rsidR="00477381" w:rsidRPr="00716863" w:rsidRDefault="00477381" w:rsidP="00477381">
      <w:pPr>
        <w:spacing w:before="120"/>
        <w:ind w:firstLine="567"/>
        <w:jc w:val="both"/>
      </w:pPr>
      <w:r w:rsidRPr="00716863">
        <w:t>В бухгалтерском учете ЗАО «Вега» сформированы следующие записи:</w:t>
      </w:r>
    </w:p>
    <w:tbl>
      <w:tblPr>
        <w:tblW w:w="5000" w:type="pct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369"/>
        <w:gridCol w:w="1629"/>
        <w:gridCol w:w="5012"/>
      </w:tblGrid>
      <w:tr w:rsidR="00477381" w:rsidRPr="00716863" w:rsidTr="003D1D5A">
        <w:trPr>
          <w:tblCellSpacing w:w="0" w:type="dxa"/>
        </w:trPr>
        <w:tc>
          <w:tcPr>
            <w:tcW w:w="1567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Корреспонденция счетов</w:t>
            </w:r>
          </w:p>
        </w:tc>
        <w:tc>
          <w:tcPr>
            <w:tcW w:w="8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Сумма, рублей</w:t>
            </w:r>
          </w:p>
        </w:tc>
        <w:tc>
          <w:tcPr>
            <w:tcW w:w="25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Содержание операции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8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Дебет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Кредит</w:t>
            </w:r>
          </w:p>
        </w:tc>
        <w:tc>
          <w:tcPr>
            <w:tcW w:w="8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</w:p>
        </w:tc>
        <w:tc>
          <w:tcPr>
            <w:tcW w:w="25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</w:p>
        </w:tc>
      </w:tr>
      <w:tr w:rsidR="00477381" w:rsidRPr="00716863" w:rsidTr="003D1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2 февраля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8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45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41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250 000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Отражена фактическая себестоимость отгруженных товаров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12 февраля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8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52транзит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62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304 000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Отражена сумма выручки, поступившая на транзитный валютный счет (10 000 USD х 30,40 рубля/USD)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8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62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901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304 000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Отражено признание выручки от реализации товаров на экспорт (10 000 USD х 30,40 рубля/USD)</w:t>
            </w:r>
          </w:p>
        </w:tc>
      </w:tr>
      <w:tr w:rsidR="00477381" w:rsidRPr="00716863" w:rsidTr="003D1D5A">
        <w:trPr>
          <w:tblCellSpacing w:w="0" w:type="dxa"/>
        </w:trPr>
        <w:tc>
          <w:tcPr>
            <w:tcW w:w="8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902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45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381" w:rsidRPr="00716863" w:rsidRDefault="00477381" w:rsidP="003D1D5A">
            <w:pPr>
              <w:jc w:val="both"/>
            </w:pPr>
            <w:r w:rsidRPr="00716863">
              <w:t>250 000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381" w:rsidRPr="00716863" w:rsidRDefault="00477381" w:rsidP="003D1D5A">
            <w:pPr>
              <w:jc w:val="both"/>
            </w:pPr>
            <w:r w:rsidRPr="00716863">
              <w:t>Списана себестоимость реализованных товаров</w:t>
            </w:r>
          </w:p>
        </w:tc>
      </w:tr>
    </w:tbl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381"/>
    <w:rsid w:val="00002B5A"/>
    <w:rsid w:val="000F0980"/>
    <w:rsid w:val="0010437E"/>
    <w:rsid w:val="00316F32"/>
    <w:rsid w:val="003D1D5A"/>
    <w:rsid w:val="00477381"/>
    <w:rsid w:val="00555092"/>
    <w:rsid w:val="00616072"/>
    <w:rsid w:val="006A5004"/>
    <w:rsid w:val="006B003B"/>
    <w:rsid w:val="00710178"/>
    <w:rsid w:val="00716863"/>
    <w:rsid w:val="0081563E"/>
    <w:rsid w:val="008159DC"/>
    <w:rsid w:val="008B35EE"/>
    <w:rsid w:val="00905CC1"/>
    <w:rsid w:val="009A4060"/>
    <w:rsid w:val="009D031C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B0FA91E-3AA7-459A-8820-BEE86BC5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47738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3608</Words>
  <Characters>20570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Признание курсовых разниц в бухгалтерском учете</vt:lpstr>
    </vt:vector>
  </TitlesOfParts>
  <Company>Home</Company>
  <LinksUpToDate>false</LinksUpToDate>
  <CharactersWithSpaces>24130</CharactersWithSpaces>
  <SharedDoc>false</SharedDoc>
  <HLinks>
    <vt:vector size="6" baseType="variant">
      <vt:variant>
        <vt:i4>1310721</vt:i4>
      </vt:variant>
      <vt:variant>
        <vt:i4>0</vt:i4>
      </vt:variant>
      <vt:variant>
        <vt:i4>0</vt:i4>
      </vt:variant>
      <vt:variant>
        <vt:i4>5</vt:i4>
      </vt:variant>
      <vt:variant>
        <vt:lpwstr>http://www.rosec.ru/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Признание курсовых разниц в бухгалтерском учете</dc:title>
  <dc:subject/>
  <dc:creator>User</dc:creator>
  <cp:keywords/>
  <dc:description/>
  <cp:lastModifiedBy>admin</cp:lastModifiedBy>
  <cp:revision>2</cp:revision>
  <dcterms:created xsi:type="dcterms:W3CDTF">2014-04-15T00:51:00Z</dcterms:created>
  <dcterms:modified xsi:type="dcterms:W3CDTF">2014-04-15T00:51:00Z</dcterms:modified>
</cp:coreProperties>
</file>