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2B" w:rsidRDefault="00255201">
      <w:pPr>
        <w:pStyle w:val="a3"/>
      </w:pPr>
      <w:r>
        <w:t>КОЛОМИЙСЬКИЙ КОЛЕДЖ ПРАВА І БІЗНЕСУ</w:t>
      </w: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255201">
      <w:pPr>
        <w:pStyle w:val="1"/>
        <w:rPr>
          <w:u w:val="single"/>
        </w:rPr>
      </w:pPr>
      <w:r>
        <w:rPr>
          <w:u w:val="single"/>
        </w:rPr>
        <w:t>РЕФЕРАТ</w:t>
      </w:r>
    </w:p>
    <w:p w:rsidR="00B6312B" w:rsidRDefault="00255201">
      <w:pPr>
        <w:jc w:val="center"/>
        <w:rPr>
          <w:lang w:val="uk-UA"/>
        </w:rPr>
      </w:pPr>
      <w:r>
        <w:rPr>
          <w:sz w:val="16"/>
          <w:lang w:val="uk-UA"/>
        </w:rPr>
        <w:t>НА ТЕМУ</w:t>
      </w:r>
      <w:r>
        <w:rPr>
          <w:lang w:val="uk-UA"/>
        </w:rPr>
        <w:t>:</w:t>
      </w:r>
    </w:p>
    <w:p w:rsidR="00B6312B" w:rsidRDefault="00255201">
      <w:pPr>
        <w:pStyle w:val="2"/>
        <w:rPr>
          <w:sz w:val="96"/>
        </w:rPr>
      </w:pPr>
      <w:r>
        <w:rPr>
          <w:sz w:val="96"/>
        </w:rPr>
        <w:t>“Складні судження”</w:t>
      </w: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B6312B">
      <w:pPr>
        <w:jc w:val="right"/>
      </w:pPr>
    </w:p>
    <w:p w:rsidR="00B6312B" w:rsidRDefault="00255201">
      <w:pPr>
        <w:jc w:val="center"/>
      </w:pPr>
      <w:r>
        <w:t xml:space="preserve">                                                                                Виконала студентка </w:t>
      </w:r>
    </w:p>
    <w:p w:rsidR="00B6312B" w:rsidRDefault="00255201">
      <w:pPr>
        <w:jc w:val="center"/>
      </w:pPr>
      <w:r>
        <w:t xml:space="preserve">                                                                   Групи Ю-22</w:t>
      </w:r>
    </w:p>
    <w:p w:rsidR="00B6312B" w:rsidRDefault="00255201">
      <w:pPr>
        <w:jc w:val="center"/>
      </w:pPr>
      <w:r>
        <w:t xml:space="preserve">                                                                           Іваночко Наталія</w:t>
      </w:r>
    </w:p>
    <w:p w:rsidR="00B6312B" w:rsidRDefault="00255201">
      <w:pPr>
        <w:jc w:val="right"/>
      </w:pPr>
      <w:r>
        <w:t xml:space="preserve">Викладач: Ганущак М. В. </w:t>
      </w:r>
    </w:p>
    <w:p w:rsidR="00B6312B" w:rsidRDefault="00B6312B">
      <w:pPr>
        <w:jc w:val="right"/>
      </w:pPr>
    </w:p>
    <w:p w:rsidR="00B6312B" w:rsidRDefault="00B6312B">
      <w:pPr>
        <w:jc w:val="center"/>
        <w:rPr>
          <w:sz w:val="52"/>
          <w:lang w:val="uk-UA"/>
        </w:rPr>
      </w:pPr>
    </w:p>
    <w:p w:rsidR="00B6312B" w:rsidRDefault="00B6312B">
      <w:pPr>
        <w:jc w:val="center"/>
        <w:rPr>
          <w:sz w:val="52"/>
          <w:lang w:val="uk-UA"/>
        </w:rPr>
      </w:pPr>
    </w:p>
    <w:p w:rsidR="00B6312B" w:rsidRDefault="00B6312B">
      <w:pPr>
        <w:jc w:val="center"/>
        <w:rPr>
          <w:sz w:val="52"/>
          <w:lang w:val="uk-UA"/>
        </w:rPr>
      </w:pPr>
    </w:p>
    <w:p w:rsidR="00B6312B" w:rsidRDefault="00B6312B">
      <w:pPr>
        <w:jc w:val="center"/>
        <w:rPr>
          <w:sz w:val="36"/>
          <w:lang w:val="uk-UA"/>
        </w:rPr>
      </w:pPr>
    </w:p>
    <w:p w:rsidR="00B6312B" w:rsidRDefault="00255201">
      <w:pPr>
        <w:jc w:val="center"/>
        <w:rPr>
          <w:sz w:val="52"/>
          <w:lang w:val="uk-UA"/>
        </w:rPr>
      </w:pPr>
      <w:r>
        <w:rPr>
          <w:sz w:val="52"/>
          <w:lang w:val="uk-UA"/>
        </w:rPr>
        <w:t>КОЛОМИЯ</w:t>
      </w:r>
      <w:r>
        <w:rPr>
          <w:sz w:val="52"/>
          <w:lang w:val="en-US"/>
        </w:rPr>
        <w:t>’</w:t>
      </w:r>
      <w:r>
        <w:rPr>
          <w:sz w:val="52"/>
          <w:lang w:val="uk-UA"/>
        </w:rPr>
        <w:t>99</w:t>
      </w:r>
    </w:p>
    <w:p w:rsidR="00B6312B" w:rsidRDefault="00255201">
      <w:pPr>
        <w:spacing w:line="360" w:lineRule="auto"/>
        <w:jc w:val="center"/>
        <w:rPr>
          <w:lang w:val="uk-UA"/>
        </w:rPr>
      </w:pPr>
      <w:r>
        <w:rPr>
          <w:lang w:val="uk-UA"/>
        </w:rPr>
        <w:t>План</w:t>
      </w:r>
    </w:p>
    <w:p w:rsidR="00B6312B" w:rsidRDefault="00255201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Пропозиційна зв’язка: кон’юнкція, дез'юнкція, імплікація, еквіваленція.</w:t>
      </w:r>
    </w:p>
    <w:p w:rsidR="00B6312B" w:rsidRDefault="00255201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Заперечення судження.</w:t>
      </w:r>
    </w:p>
    <w:p w:rsidR="00B6312B" w:rsidRDefault="00255201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Речення і судження.</w:t>
      </w:r>
    </w:p>
    <w:p w:rsidR="00B6312B" w:rsidRDefault="00255201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Логічна структура запитань.</w:t>
      </w:r>
    </w:p>
    <w:p w:rsidR="00B6312B" w:rsidRDefault="00255201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Види запитань.</w:t>
      </w:r>
    </w:p>
    <w:p w:rsidR="00B6312B" w:rsidRDefault="00255201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Роль запитань у пізнанні та комунікації.</w:t>
      </w:r>
    </w:p>
    <w:p w:rsidR="00B6312B" w:rsidRDefault="00B6312B">
      <w:pPr>
        <w:spacing w:line="360" w:lineRule="auto"/>
        <w:jc w:val="both"/>
        <w:rPr>
          <w:lang w:val="uk-UA"/>
        </w:rPr>
      </w:pPr>
    </w:p>
    <w:p w:rsidR="00B6312B" w:rsidRDefault="00B6312B">
      <w:pPr>
        <w:spacing w:line="360" w:lineRule="auto"/>
        <w:jc w:val="both"/>
        <w:rPr>
          <w:lang w:val="uk-UA"/>
        </w:rPr>
      </w:pP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Складним судженням називається таке судження, яке складається з кількох простих суджень. Так, судження “Крадіжка – це злочин” є простим судженням, у ньому наявний один суб</w:t>
      </w:r>
      <w:r>
        <w:rPr>
          <w:lang w:val="en-US"/>
        </w:rPr>
        <w:t>’</w:t>
      </w:r>
      <w:r>
        <w:rPr>
          <w:lang w:val="uk-UA"/>
        </w:rPr>
        <w:t>єкт ( “крадіжка”) і один предикат (“злочин”).  Судження ж “Вирок суду має бути законним і обгрунтованим” – це судження, утворене з двох простих: “Вирок має бути законним”, і “Вирок має бути обгрунтованим”.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Більшість норм права виражається у формі складних суджень.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Складні судження поділяють на умовні та безумовні.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Умовні (імплікативні) судження – це судження, в якому відображається залежність того чи іншого явища від тих чи інших обставин і в якому підстава і наслідок з’єднуються з допомогою логічного сполучника “ якщо…, то…”.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Безумовні (еквівалентні) судження поділяються на єднальні, розділові, поділяючі та множинні.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В єднальних (кон'юнктивні) судженнях, на відміну від простих, наявне твердження чи заперечення про належність предметові двох чи більше ознак. Наприклад: “Т.Г. Шевченко – геніальний поет і талановитий майстер живопису”.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У предикаті розділового (диз’юнктивні) судження, як і в предикаті єднального вказується на дві чи більше ознак.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Поділяючі судження належать до розділових. Їх специфіка полягає в тому, що в них дається повний перелік різновидів предмета думки. Наприклад: “Ліси бувають листяними, хвойними і мішаними”.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У множинних судженнях суб’єкт завжди є складеним, а предикат – як складеним, так і простим. Наприклад: “Залізо, мідь, золото, свинець та деякі інші метали тонуть у воді”.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Кожне судження завжди виражається у формі граматичного речення. Судження не може існувати поза реченням. Речення є безпосередньою дійсністю судження, його матеріальною оболонкою. Проте не всяке речення виражає судження.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Характерні особливості судження полягають у  ствердженні або запереченні чого не-будь про що-небудь. Тому якщо у реченні що-небудь стверджується або заперечується, то воно виражає судження, якщо ж у реченні відсутнє ствердження або заперечення, то таке речення не є судженням.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Речення, як відомо, бувають розподільні, питальні і спонукальні.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У розподільних реченнях, наприклад: “Суд є органом правосуддя” обовязково в наявності або ствердження, або заперечення, тому будь-яке розповідне речення є судженням. </w:t>
      </w:r>
    </w:p>
    <w:p w:rsidR="00B6312B" w:rsidRDefault="00255201">
      <w:pPr>
        <w:pStyle w:val="a4"/>
      </w:pPr>
      <w:r>
        <w:t xml:space="preserve"> Логічна будова суджень інтернаціональна. В основних своїх рисах вона є спільною для найрізноманітніших народів. Будова речення, навпаки, значною мірою національна, вона визначається сукупністю граматичних особливостей, характерних для даної мови, що відрізняє його від інших мов.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Так розвязуємо питання про співвідношення судження і речення, коли ми розглядаємо судження і розповідне речення.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Призначення питальних і спонукальних речень інше, ніж ствердження чи заперечення. Сутність питального речення полягає у постановці запитання, а спонукального – у вираженні спонуки. Судженням, або думкою, у якій щось стверджується або заперечується, є тільки відповідь на запитання.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Від запитальних речень слід відрізняти риторичні запитання.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Процес пізнання породжується необхідністю задоволення потреб людини суспільною практикою. В теоретичному плані ця необхідність знаходить своє вираження у формі запитань, які постійно виникають у всіх сферах людської життєдіяльності. Вміння правильно формулювати запитання має велике пізнавальне значення.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Граматичною формою вираження запитань є питальні речення. Вміння формулювати запитання залежить від знання як логіки, так і тієї сфери реальності, яка відображається в запитанні. Таке вміння передбачає ще й знання мови.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Іноді запитання поділяють за специфікою шляхів і методів їх розвязання: інформаційні, задачі, проблеми.</w:t>
      </w:r>
    </w:p>
    <w:p w:rsidR="00B6312B" w:rsidRDefault="00255201">
      <w:pPr>
        <w:spacing w:line="360" w:lineRule="auto"/>
        <w:ind w:firstLine="426"/>
        <w:jc w:val="both"/>
        <w:rPr>
          <w:lang w:val="uk-UA"/>
        </w:rPr>
      </w:pPr>
      <w:r>
        <w:rPr>
          <w:lang w:val="uk-UA"/>
        </w:rPr>
        <w:t>Формулюючи запитання, необхідно дотримуватися таких правил:</w:t>
      </w:r>
    </w:p>
    <w:p w:rsidR="00B6312B" w:rsidRDefault="002552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Запитання має бути осмисленим.</w:t>
      </w:r>
    </w:p>
    <w:p w:rsidR="00B6312B" w:rsidRDefault="002552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Запитання потрібно формулювання якомога коротше і ясніше.</w:t>
      </w:r>
    </w:p>
    <w:p w:rsidR="00B6312B" w:rsidRDefault="002552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Складні запитання доцільно розбити на прості.</w:t>
      </w:r>
    </w:p>
    <w:p w:rsidR="00B6312B" w:rsidRDefault="002552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У розділових судженнях треба називати всі можливі альтернативи.</w:t>
      </w:r>
    </w:p>
    <w:p w:rsidR="00B6312B" w:rsidRDefault="00255201">
      <w:pPr>
        <w:spacing w:line="360" w:lineRule="auto"/>
        <w:ind w:left="426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B6312B" w:rsidRDefault="00B6312B">
      <w:pPr>
        <w:jc w:val="center"/>
        <w:rPr>
          <w:sz w:val="52"/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255201">
      <w:pPr>
        <w:spacing w:line="360" w:lineRule="auto"/>
        <w:jc w:val="center"/>
        <w:rPr>
          <w:lang w:val="uk-UA"/>
        </w:rPr>
      </w:pPr>
      <w:r>
        <w:rPr>
          <w:lang w:val="uk-UA"/>
        </w:rPr>
        <w:t>Контрольні запитання</w:t>
      </w:r>
    </w:p>
    <w:p w:rsidR="00B6312B" w:rsidRDefault="00255201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Що таке складне судження?</w:t>
      </w:r>
    </w:p>
    <w:p w:rsidR="00B6312B" w:rsidRDefault="00255201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Які є види умовних суджень?</w:t>
      </w:r>
    </w:p>
    <w:p w:rsidR="00B6312B" w:rsidRDefault="00255201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Як речення повязане з судженням?</w:t>
      </w:r>
    </w:p>
    <w:p w:rsidR="00B6312B" w:rsidRDefault="00B6312B">
      <w:pPr>
        <w:spacing w:line="360" w:lineRule="auto"/>
        <w:jc w:val="both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jc w:val="center"/>
        <w:rPr>
          <w:lang w:val="uk-UA"/>
        </w:rPr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B6312B">
      <w:pPr>
        <w:pStyle w:val="1"/>
      </w:pPr>
    </w:p>
    <w:p w:rsidR="00B6312B" w:rsidRDefault="00255201">
      <w:pPr>
        <w:pStyle w:val="1"/>
      </w:pPr>
      <w:r>
        <w:t>ЛІТЕРАТУРА</w:t>
      </w:r>
    </w:p>
    <w:p w:rsidR="00B6312B" w:rsidRDefault="00255201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Тофтул М.Г. Логіка. – К., 1999. – С. 332</w:t>
      </w:r>
    </w:p>
    <w:p w:rsidR="00B6312B" w:rsidRDefault="00255201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 Логіка – юристам. – К., 1997. – С. 386</w:t>
      </w:r>
    </w:p>
    <w:p w:rsidR="00B6312B" w:rsidRDefault="00255201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Конверський А.С. Логіка. – К., 1998. – С. 266</w:t>
      </w:r>
    </w:p>
    <w:p w:rsidR="00B6312B" w:rsidRDefault="00255201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Кондаков И.В. Логика. – М., 1954. – С. 68</w:t>
      </w:r>
    </w:p>
    <w:p w:rsidR="00B6312B" w:rsidRDefault="00255201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І.В., Алексюк І.А. Основи логіки. – К., 1996. – С. 113</w:t>
      </w:r>
    </w:p>
    <w:p w:rsidR="00B6312B" w:rsidRDefault="00255201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Формальная логика. Л., 1977</w:t>
      </w:r>
    </w:p>
    <w:p w:rsidR="00B6312B" w:rsidRDefault="00255201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lang w:val="uk-UA"/>
        </w:rPr>
      </w:pPr>
      <w:r>
        <w:rPr>
          <w:lang w:val="uk-UA"/>
        </w:rPr>
        <w:t>Хоменко І.В. Що таке логіка</w:t>
      </w:r>
      <w:r>
        <w:rPr>
          <w:lang w:val="en-US"/>
        </w:rPr>
        <w:t xml:space="preserve"> //</w:t>
      </w:r>
      <w:r>
        <w:rPr>
          <w:lang w:val="uk-UA"/>
        </w:rPr>
        <w:t>Барви творчості. К., 1995. – С. 83-95</w:t>
      </w:r>
    </w:p>
    <w:p w:rsidR="00B6312B" w:rsidRDefault="00B6312B">
      <w:pPr>
        <w:jc w:val="center"/>
        <w:rPr>
          <w:lang w:val="uk-UA"/>
        </w:rPr>
      </w:pPr>
      <w:bookmarkStart w:id="0" w:name="_GoBack"/>
      <w:bookmarkEnd w:id="0"/>
    </w:p>
    <w:sectPr w:rsidR="00B6312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2B42"/>
    <w:multiLevelType w:val="singleLevel"/>
    <w:tmpl w:val="87EE42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28520271"/>
    <w:multiLevelType w:val="singleLevel"/>
    <w:tmpl w:val="38104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35F701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E9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201"/>
    <w:rsid w:val="00255201"/>
    <w:rsid w:val="004D1772"/>
    <w:rsid w:val="00B6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7CEA4-8A12-4A4B-A1E4-9C0C461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426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4942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2014-08-16T07:08:00Z</dcterms:created>
  <dcterms:modified xsi:type="dcterms:W3CDTF">2014-08-16T07:08:00Z</dcterms:modified>
  <cp:category>Гуманітарні науки</cp:category>
</cp:coreProperties>
</file>