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0D" w:rsidRDefault="008F23CF">
      <w:pPr>
        <w:pStyle w:val="1"/>
        <w:jc w:val="center"/>
      </w:pPr>
      <w:r>
        <w:t>Азотный режим чернозема в зависимости от удобрений и приемов обработки</w:t>
      </w:r>
    </w:p>
    <w:p w:rsidR="005F220D" w:rsidRPr="008F23CF" w:rsidRDefault="008F23CF">
      <w:pPr>
        <w:pStyle w:val="a3"/>
      </w:pPr>
      <w:r>
        <w:t> </w:t>
      </w:r>
    </w:p>
    <w:p w:rsidR="005F220D" w:rsidRDefault="008F23CF">
      <w:pPr>
        <w:pStyle w:val="a3"/>
      </w:pPr>
      <w:r>
        <w:t>Г.И. Уваров. А.П. Карабутов</w:t>
      </w:r>
    </w:p>
    <w:p w:rsidR="005F220D" w:rsidRDefault="008F23CF">
      <w:pPr>
        <w:pStyle w:val="a3"/>
      </w:pPr>
      <w:r>
        <w:t>Белгородский государственный национальный исследовательский университет</w:t>
      </w:r>
    </w:p>
    <w:p w:rsidR="005F220D" w:rsidRDefault="008F23CF">
      <w:pPr>
        <w:pStyle w:val="a3"/>
      </w:pPr>
      <w:r>
        <w:t>Белгородский научноисследовательский институт сельского хозяйства</w:t>
      </w:r>
    </w:p>
    <w:p w:rsidR="005F220D" w:rsidRDefault="008F23CF">
      <w:pPr>
        <w:pStyle w:val="a3"/>
      </w:pPr>
      <w:r>
        <w:t>Введение</w:t>
      </w:r>
    </w:p>
    <w:p w:rsidR="005F220D" w:rsidRDefault="008F23CF">
      <w:pPr>
        <w:pStyle w:val="a3"/>
      </w:pPr>
      <w:r>
        <w:t>Черноземные почвы, как правило, обеспечены общими запасами азота [1]. Однако это совсем не значит, что доступных для растений форм данного элемента достаточно для формирования высоких урожаев сельскохозяйственных культур. По данным мониторинга пахотные почвы Белгородской области на 73% имеют среднюю обеспеченность легкогидролизуемой формой азота, и за период 2000-2009 гг. в земледелии области сложился отрицательный баланс [2]. Из этого следует, что доступный азот для сельскохозяйственных растений в пахотных почвах области в настоящее находится в первом минимуме.</w:t>
      </w:r>
    </w:p>
    <w:p w:rsidR="005F220D" w:rsidRDefault="008F23CF">
      <w:pPr>
        <w:pStyle w:val="a3"/>
      </w:pPr>
      <w:r>
        <w:t>Известно, что содержание подвижных форм азота в почвах в сильной степени зависит от метеорологических условий теплого периода и агротехнических мероприятий. Самым радикальным приемом увеличения в почве минерального азота является внесение удобрений [3. 4]. На основании длительных стационарных опытов с удобрениями, проведенными в Центрально-Черноземном регионе, установлено, что органо-минеральные удобрения увеличивают в почве содержание минерального, легко- и трудногидролизуемого азота [5].</w:t>
      </w:r>
    </w:p>
    <w:p w:rsidR="005F220D" w:rsidRDefault="008F23CF">
      <w:pPr>
        <w:pStyle w:val="a3"/>
      </w:pPr>
      <w:r>
        <w:t>Активно повлиять на азотный режим почвы можно приемами основной обработки. Вспашка способствует увеличению в почве нитратного азота, в то время как безотвальные приемы обработки осложняют азотное питание культурных растений [6. 7].</w:t>
      </w:r>
    </w:p>
    <w:p w:rsidR="005F220D" w:rsidRDefault="008F23CF">
      <w:pPr>
        <w:pStyle w:val="a3"/>
      </w:pPr>
      <w:r>
        <w:t>Все это обязывает исследователей обращать внимание на азотный режим почв ЦЧР и возможности его регулирования доступными агротехническими приемами. В связи с этим мы поставили цель установить особенность азотного режима чернозема типичного под влиянием удобрений и приемов обработки почвы. Задачи исследований включали определение общего азота, обогащенность азотом гумуса, легкогидролизуемого и нитратного азота, способность почвы к нитрификации. Отдельно проведен корреляционный анализ связи между содержанием форм азота в почве с другими показателями плодородия, величиной урожая и качеством продукции.</w:t>
      </w:r>
    </w:p>
    <w:p w:rsidR="005F220D" w:rsidRDefault="008F23CF">
      <w:pPr>
        <w:pStyle w:val="a3"/>
      </w:pPr>
      <w:r>
        <w:t>Методика исследований</w:t>
      </w:r>
    </w:p>
    <w:p w:rsidR="005F220D" w:rsidRDefault="008F23CF">
      <w:pPr>
        <w:pStyle w:val="a3"/>
      </w:pPr>
      <w:r>
        <w:t>Исследования проведены в лаборатории плодородия почв и мониторинга Белгородского НИИ сельского хозяйства. Стационарный полевой опыт заложен на черноземе типичном среднемощном малогумусном тяжелосуглинистом, сформированном на лессовидном суглинке. На момент закладки опыта (1987 г.) в пахотном слое содержалось 4.7-5.6 % гумуса. Подвижного фосфора и обменного калия (по Чирикову) находилось, соответственно, 6.7-7.8 мг и 9.2-12.1 мг на 100 г почвы. Гидролитическая кислотность изменялась в пределах 2.9-4.1 ммоль на 100 г почвы.</w:t>
      </w:r>
    </w:p>
    <w:p w:rsidR="005F220D" w:rsidRDefault="008F23CF">
      <w:pPr>
        <w:pStyle w:val="a3"/>
      </w:pPr>
      <w:r>
        <w:t>Объектом исследований являлся 5-польный зернопропашной севооборот с чередованием культур: горох - озимая пшеница - сахарная свекла - ячмень - кукуруза на силос. Севооборот развернут в пространстве и во времени, а в 2010-2011 гг. завершилась его четвертая ротация.</w:t>
      </w:r>
    </w:p>
    <w:p w:rsidR="005F220D" w:rsidRDefault="008F23CF">
      <w:pPr>
        <w:pStyle w:val="a3"/>
      </w:pPr>
      <w:r>
        <w:t>Действие удобрений испытывали на фонах приемов основной обработки почвы: вспашки, безотвальной и мелкой обработки. Схема с удобрениями включала варианты с одинарными и двойными дозами минеральных (азофоска и диаммофоска) и навоза, рассчитанных соответственно на простое и расширенное воспроизводство плодородия почвы. Одна доза навоза составляла 8 т/га севооборотной площади.</w:t>
      </w:r>
    </w:p>
    <w:p w:rsidR="005F220D" w:rsidRDefault="008F23CF">
      <w:pPr>
        <w:pStyle w:val="a3"/>
      </w:pPr>
      <w:r>
        <w:t>В процессе исследований проводились следующие определения: общий гумус по Тюрину (ГОСТ 26213-91), общий азот по Къельдалю (ГОСТ 26107), обогащённость гумуса азотом (С/N) расчётным методом, нитрификационная способность почвы по существующей методике</w:t>
      </w:r>
    </w:p>
    <w:p w:rsidR="005F220D" w:rsidRDefault="008F23CF">
      <w:pPr>
        <w:pStyle w:val="a3"/>
      </w:pPr>
      <w:r>
        <w:t>, щёлочногидролизуемый азот по Корнфилду (ГОСТ 26107), азот нитратный по ГОСТ 26951-86, корреляционный анализ по Б.А. Доспехову [9].</w:t>
      </w:r>
    </w:p>
    <w:p w:rsidR="005F220D" w:rsidRDefault="008F23CF">
      <w:pPr>
        <w:pStyle w:val="a3"/>
      </w:pPr>
      <w:r>
        <w:t>Результаты и их обсуждение</w:t>
      </w:r>
    </w:p>
    <w:p w:rsidR="005F220D" w:rsidRDefault="008F23CF">
      <w:pPr>
        <w:pStyle w:val="a3"/>
      </w:pPr>
      <w:r>
        <w:t>Вначале рассмотрим результаты определения общего азота в черноземе типичном. Экспериментальные данные свидетельствуют, что на абсолютном контроле (без удобрений) максимальное содержание его было по мелкой обработке почвы. Применение минеральных удобрений, особенно внесённых в двойных дозах, увеличивает содержание общего азота по сравнению с контролем (табл. 1).</w:t>
      </w:r>
    </w:p>
    <w:p w:rsidR="005F220D" w:rsidRDefault="008F23CF">
      <w:pPr>
        <w:pStyle w:val="a3"/>
      </w:pPr>
      <w:r>
        <w:t>Органическая система удобрения, рассчитанная на простое и расширенное воспроизводство плодородия почвы, приводит к заметному накоплению общего азота. Особенно это выражено при внесении навоза в дозе 16 т/га севооборотной площади.</w:t>
      </w:r>
    </w:p>
    <w:p w:rsidR="005F220D" w:rsidRDefault="008F23CF">
      <w:pPr>
        <w:pStyle w:val="a3"/>
      </w:pPr>
      <w:r>
        <w:t>Накопление общего азота в почве происходило более активно при совместном применении минеральных удобрений и навоза, особенно в случае двойных доз. Так внесение двойной дозы минеральных удобрений на фоне 16 т/га навоза повысило содержание общего азота в слое 0-30 см относительно контроля на 0.047%. В слое 30-50 см его стало больше на 0.011% в абсолютном выражении.</w:t>
      </w:r>
    </w:p>
    <w:p w:rsidR="005F220D" w:rsidRDefault="008F23CF">
      <w:pPr>
        <w:pStyle w:val="a3"/>
      </w:pPr>
      <w:r>
        <w:t>Обеспеченность гумуса азотом (C:N) была рассчитана на основании определения содержания в почве общего гумуса и азота. Исследования показали, что анализируемая почва имеет среднюю обогащенность гумуса азотом [10]. Наибольшее влияние на соотношение углерода к азоту оказывают удобрения.</w:t>
      </w:r>
    </w:p>
    <w:p w:rsidR="005F220D" w:rsidRDefault="008F23CF">
      <w:pPr>
        <w:pStyle w:val="a3"/>
      </w:pPr>
      <w:r>
        <w:t>Насыщение гумуса азотом наблюдается при внесении минеральных удобрений. Доля азота в гумусе возрастает с увеличением дозы удобрений. Длительное действие минеральных удобрений, особенно в двойных дозах, снизило соотношение углерода к азоту в слое 0-30 см на 0.4 ед., но не привело к существенным различиям в слое 30-50 см.</w:t>
      </w:r>
    </w:p>
    <w:p w:rsidR="005F220D" w:rsidRDefault="008F23CF">
      <w:pPr>
        <w:pStyle w:val="a3"/>
      </w:pPr>
      <w:r>
        <w:t>Более того, минеральные удобрения способствовали снижению соотношения гумуса к азоту как отдельно, так и совместно с навозом. В последнем случае соотношение углерода к азоту снизилось в слое 0-30 см в среднем на 0.5 ед., а в слое 30-50 см на 0.4 ед. Внесение навоза практически не способствовало насыщению гумуса азотом, так как при этом содержание гумуса увеличилось, и соотношение &amp;N возросло в слое почвы 0-30 см на 0.5 ед.</w:t>
      </w:r>
    </w:p>
    <w:p w:rsidR="005F220D" w:rsidRDefault="008F23CF">
      <w:pPr>
        <w:pStyle w:val="a3"/>
      </w:pPr>
      <w:r>
        <w:t>Таблица 1</w:t>
      </w:r>
    </w:p>
    <w:p w:rsidR="005F220D" w:rsidRDefault="008F23CF">
      <w:pPr>
        <w:pStyle w:val="a3"/>
      </w:pPr>
      <w:r>
        <w:t>Влияние удобрений и приемов обработки на содержание форм азота и нитрификационную способность почвы (по завершении 4-ой ротации севооборота)</w:t>
      </w:r>
    </w:p>
    <w:p w:rsidR="005F220D" w:rsidRDefault="008F23C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160"/>
        <w:gridCol w:w="160"/>
        <w:gridCol w:w="1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220D">
        <w:trPr>
          <w:trHeight w:val="6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Внесено</w:t>
            </w:r>
          </w:p>
          <w:p w:rsidR="005F220D" w:rsidRPr="008F23CF" w:rsidRDefault="008F23CF">
            <w:pPr>
              <w:pStyle w:val="a3"/>
            </w:pPr>
            <w:r w:rsidRPr="008F23CF">
              <w:t>удобрений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Глубина почвы, см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220D" w:rsidRDefault="008F23CF">
            <w:r>
              <w:t>Азот общий, %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220D" w:rsidRDefault="008F23CF">
            <w:r>
              <w:t>Обогащенность гумуса азотом (C:N), %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220D" w:rsidRDefault="008F23CF">
            <w:r>
              <w:t>Азот легкогидролизуемый, мг/кг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220D" w:rsidRDefault="008F23CF">
            <w:r>
              <w:t>Нитрификационная способность почвы, N-NO3, мг/кг</w:t>
            </w:r>
          </w:p>
        </w:tc>
      </w:tr>
      <w:tr w:rsidR="005F220D">
        <w:trPr>
          <w:trHeight w:val="1035"/>
          <w:tblCellSpacing w:w="0" w:type="dxa"/>
        </w:trPr>
        <w:tc>
          <w:tcPr>
            <w:tcW w:w="0" w:type="auto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§ £2 со</w:t>
            </w:r>
          </w:p>
          <w:p w:rsidR="005F220D" w:rsidRPr="008F23CF" w:rsidRDefault="008F23CF">
            <w:pPr>
              <w:pStyle w:val="a3"/>
            </w:pPr>
            <w:r w:rsidRPr="008F23CF">
              <w:t>ат</w:t>
            </w:r>
          </w:p>
          <w:p w:rsidR="005F220D" w:rsidRPr="008F23CF" w:rsidRDefault="008F23CF">
            <w:pPr>
              <w:pStyle w:val="a3"/>
            </w:pPr>
            <w:r w:rsidRPr="008F23CF">
              <w:t>нт</w:t>
            </w:r>
          </w:p>
        </w:tc>
        <w:tc>
          <w:tcPr>
            <w:tcW w:w="0" w:type="auto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мине</w:t>
            </w:r>
          </w:p>
          <w:p w:rsidR="005F220D" w:rsidRPr="008F23CF" w:rsidRDefault="008F23CF">
            <w:pPr>
              <w:pStyle w:val="a3"/>
            </w:pPr>
            <w:r w:rsidRPr="008F23CF">
              <w:t>ральные,</w:t>
            </w:r>
          </w:p>
          <w:p w:rsidR="005F220D" w:rsidRPr="008F23CF" w:rsidRDefault="008F23CF">
            <w:pPr>
              <w:pStyle w:val="a3"/>
            </w:pPr>
            <w:r w:rsidRPr="008F23CF">
              <w:t>доза</w:t>
            </w:r>
          </w:p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В1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М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В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М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В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М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В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М</w:t>
            </w:r>
          </w:p>
        </w:tc>
      </w:tr>
      <w:tr w:rsidR="005F220D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21.0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21.3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21.5</w:t>
            </w:r>
          </w:p>
        </w:tc>
      </w:tr>
      <w:tr w:rsidR="005F220D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0.274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0.279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0.280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7.9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0.310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0.310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0.316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31.0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29.9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0.278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0.277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0.280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11.7</w:t>
            </w:r>
          </w:p>
        </w:tc>
      </w:tr>
      <w:tr w:rsidR="005F220D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0.318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0.322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0.324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34.6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35.1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33.7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0.286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0.287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15.9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36.5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37.2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37.3</w:t>
            </w:r>
          </w:p>
        </w:tc>
      </w:tr>
      <w:tr w:rsidR="005F220D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26.2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25.1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24.0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0.332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0.321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0.328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40.3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40.8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41.5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33.4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30.5</w:t>
            </w:r>
          </w:p>
        </w:tc>
      </w:tr>
      <w:tr w:rsidR="005F220D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0.340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0.337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0.340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45.8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44.8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43.4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37.4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35.7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35.5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5F220D" w:rsidRDefault="008F23CF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0.315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0.310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37.8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41.5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37.7</w:t>
            </w:r>
          </w:p>
        </w:tc>
      </w:tr>
    </w:tbl>
    <w:p w:rsidR="005F220D" w:rsidRPr="008F23CF" w:rsidRDefault="008F23CF">
      <w:pPr>
        <w:pStyle w:val="a3"/>
      </w:pPr>
      <w:r>
        <w:t> </w:t>
      </w:r>
    </w:p>
    <w:p w:rsidR="005F220D" w:rsidRDefault="008F23CF">
      <w:pPr>
        <w:pStyle w:val="a3"/>
      </w:pPr>
      <w:r>
        <w:t>Окончание табл. 1</w:t>
      </w:r>
    </w:p>
    <w:p w:rsidR="005F220D" w:rsidRDefault="008F23C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220D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(16)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9-4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27.5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27.0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26.6</w:t>
            </w:r>
          </w:p>
        </w:tc>
      </w:tr>
      <w:tr w:rsidR="005F220D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0.333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0.331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41.2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42.3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42.3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0.287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0.290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37.2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37.5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36.4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0.347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0.345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0.345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199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194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196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42.7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43.9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45.5</w:t>
            </w:r>
          </w:p>
        </w:tc>
      </w:tr>
      <w:tr w:rsidR="005F220D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0.301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36.6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36.7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35.6</w:t>
            </w:r>
          </w:p>
        </w:tc>
      </w:tr>
    </w:tbl>
    <w:p w:rsidR="005F220D" w:rsidRPr="008F23CF" w:rsidRDefault="008F23CF">
      <w:pPr>
        <w:pStyle w:val="a3"/>
      </w:pPr>
      <w:r>
        <w:t>Примечание: В1 - вспашка, Б - безотвальная обработка, М - мелкая обработка.</w:t>
      </w:r>
    </w:p>
    <w:p w:rsidR="005F220D" w:rsidRDefault="008F23CF">
      <w:pPr>
        <w:pStyle w:val="a3"/>
      </w:pPr>
      <w:r>
        <w:t>В таблице 1 приведены данные определения содержания щелочногидролизуемого азота в почве перед посевом озимой пшеницы. В слое почвы 0-30 см чернозема типичного на контрольном варианте отмечена низкая обеспеченность. В слое 30-50 см величина азота снижается примерно на 15-20 мг/кг. На содержание легкогидролизуемого азота влияют больше удобрения, чем приемы основной обработки почвы.</w:t>
      </w:r>
    </w:p>
    <w:p w:rsidR="005F220D" w:rsidRDefault="008F23CF">
      <w:pPr>
        <w:pStyle w:val="a3"/>
      </w:pPr>
      <w:r>
        <w:t>Обеспеченность легкогидролизуемым азотом отмечается на всех удобренных вариантах опыта средняя. При этом на фоне двойных доз удобрений содержание этой формы азота возрастает и приближается к повышенной степени. Максимальное содержание щелочногидролизуемого азота в почве наблюдается при совместном внесении двойной дозы органических и минеральных удобрений. Установлено, что с увеличением количества вносимых удобрений влияние приемов основной обработки почвы на содержание легкогидролизуемого азота нивелируется.</w:t>
      </w:r>
    </w:p>
    <w:p w:rsidR="005F220D" w:rsidRDefault="008F23CF">
      <w:pPr>
        <w:pStyle w:val="a3"/>
      </w:pPr>
      <w:r>
        <w:t>Полученные нами результаты свидетельствуют о том, что изучаемые приёмы привели к изменению нитрификационной способности почвы. При этом наиболее заметное влияние оказали удобрения. Наиболее активно проходит процесс нитрификации в пахотном слое почвы (см. табл. 1).</w:t>
      </w:r>
    </w:p>
    <w:p w:rsidR="005F220D" w:rsidRDefault="008F23CF">
      <w:pPr>
        <w:pStyle w:val="a3"/>
      </w:pPr>
      <w:r>
        <w:t>При внесении минеральных удобрений нитрификация увеличилась в слое 0-30 см в</w:t>
      </w:r>
    </w:p>
    <w:p w:rsidR="005F220D" w:rsidRDefault="008F23CF">
      <w:pPr>
        <w:pStyle w:val="a3"/>
      </w:pPr>
      <w:r>
        <w:t>4, а в слое 30-50 см - в 1.7 раза. Нитрификационная способность почвы значительно повышалась при внесении навоза, что особенно выражено в варианте с внесением 16 т/га севооборотной площади. Причём активность возросла не только в обрабатываемом слое, но и в подпахотном. Так если в слое 0-30 см она в среднем увеличилась в 1.8 раза, то в подпахотном слое в 3.4 раза. Приемы обработки в этом случае мало влияли на нитрификационную способность почвы.</w:t>
      </w:r>
    </w:p>
    <w:p w:rsidR="005F220D" w:rsidRDefault="008F23CF">
      <w:pPr>
        <w:pStyle w:val="a3"/>
      </w:pPr>
      <w:r>
        <w:t>Совместное внесение минеральных удобрений и навоза в одинарных, двойных дозах и их комбинациях привело к ещё более значительному росту нитрификационной способности почвы. При одинарных дозах минеральных удобрений на фоне 8 и 16 т/га навоза нитрифика- ционная способность почвы в пахотном слое увеличилась в 1.9 раза, а в подпахотном в 4.3 раза. При внесении двойных доз минеральных удобрений количество нитратного азота после компостирования в слое 0-30 см в среднем увеличилось в 2 раза и в слое 30-50 см в 4.6 раза.</w:t>
      </w:r>
    </w:p>
    <w:p w:rsidR="005F220D" w:rsidRDefault="008F23CF">
      <w:pPr>
        <w:pStyle w:val="a3"/>
      </w:pPr>
      <w:r>
        <w:t>Таким образом, процесс нитрификации проходит более интенсивно в подпахотном слое почвы. Минеральная, органическая и особенно органо-минеральная системы удобрения позволяют увеличить данный показатель. Приемы обработки не оказывают влияния на активность бактерий, способных накапливать азот нитратов.</w:t>
      </w:r>
    </w:p>
    <w:p w:rsidR="005F220D" w:rsidRDefault="008F23CF">
      <w:pPr>
        <w:pStyle w:val="a3"/>
      </w:pPr>
      <w:r>
        <w:t>Наблюдения за содержанием нитратного азота в почве под озимой пшеницей в начале вегетации позволили выявить следующие особенности. Содержание данной формы азота в слое почвы 0-30 см по вариантам опыта было в основном низкое (менее 20 мг/кг почвы). Исключение составляет вариант совместного внесения навоза и минеральных удобрений в двойных дозах. На абсолютном контроле содержание нитратного азота в слое 0-30 см в начале вегетации колебалось в пределах 7.1-8.0 мг/кг и незначительно снижалось к уборке. С глубиной его количество уменьшалось. Это было выражено и в целом для слоя почвы 0-100 см (табл. 2).</w:t>
      </w:r>
    </w:p>
    <w:p w:rsidR="005F220D" w:rsidRDefault="008F23CF">
      <w:pPr>
        <w:pStyle w:val="a3"/>
      </w:pPr>
      <w:r>
        <w:t>Применение одинарной дозы минеральных удобрений увеличивало содержание нитратного азота в среднем по приемам обработки в слое 0-30 см до 10.4 мг/кг, а двойной дозы - до 13.8 мг/кг. Примерно такое же количество их обнаруживается и в слое почвы 50-100 см. Происходит миграция нитратов в нижние слои почвы.</w:t>
      </w:r>
    </w:p>
    <w:p w:rsidR="005F220D" w:rsidRDefault="008F23CF">
      <w:pPr>
        <w:pStyle w:val="a3"/>
      </w:pPr>
      <w:r>
        <w:t>При совместном внесении минеральных удобрений и навоза содержание нитратного азота возрастает в слое почвы 0-30 см, примерно в 1.5-2.5 раза, а в целом в метровом слое - в 3.2 раза. Кроме того, чётко прослеживается закономерность локализации основной части минерального азота (80-90%) в начале вегетации озимой пшеницы в слоях 0-30 и 50-100 см. Наибольшие значения доступной растениям формы азота отмечались по мелкой обработке почвы, наименьшие - по вспашке.</w:t>
      </w:r>
    </w:p>
    <w:p w:rsidR="005F220D" w:rsidRDefault="008F23CF">
      <w:pPr>
        <w:pStyle w:val="a3"/>
      </w:pPr>
      <w:r>
        <w:t>Таблица 2</w:t>
      </w:r>
    </w:p>
    <w:p w:rsidR="005F220D" w:rsidRDefault="008F23C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240"/>
        <w:gridCol w:w="240"/>
        <w:gridCol w:w="80"/>
        <w:gridCol w:w="80"/>
        <w:gridCol w:w="80"/>
        <w:gridCol w:w="80"/>
      </w:tblGrid>
      <w:tr w:rsidR="005F220D">
        <w:trPr>
          <w:trHeight w:val="48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220D" w:rsidRDefault="008F23CF">
            <w:r>
              <w:t>Внесено удобрений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Глубина почвы, см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F220D" w:rsidRDefault="008F23CF">
            <w:r>
              <w:t>Прием обработки почвы и срок определения (1 - в начале вегетации, 2 - перед уборкой)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навоз,</w:t>
            </w:r>
          </w:p>
          <w:p w:rsidR="005F220D" w:rsidRPr="008F23CF" w:rsidRDefault="008F23CF">
            <w:pPr>
              <w:pStyle w:val="a3"/>
            </w:pPr>
            <w:r w:rsidRPr="008F23CF">
              <w:t>т/га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минеральные, доза</w:t>
            </w:r>
          </w:p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gridSpan w:val="2"/>
            <w:vAlign w:val="center"/>
            <w:hideMark/>
          </w:tcPr>
          <w:p w:rsidR="005F220D" w:rsidRDefault="008F23CF">
            <w:r>
              <w:t>вспашка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220D" w:rsidRDefault="008F23CF">
            <w:r>
              <w:t>безотвальная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220D" w:rsidRDefault="008F23CF">
            <w:r>
              <w:t>мелкая</w:t>
            </w:r>
          </w:p>
        </w:tc>
      </w:tr>
      <w:tr w:rsidR="005F220D">
        <w:trPr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Pr="008F23CF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6.5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4.0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2.7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4.4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11.3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9.3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11-3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10.2</w:t>
            </w:r>
          </w:p>
        </w:tc>
      </w:tr>
      <w:tr w:rsidR="005F220D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10.3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19.5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12.9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11.7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9.3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7.1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3.2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7.5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8.9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10.1</w:t>
            </w:r>
          </w:p>
        </w:tc>
      </w:tr>
      <w:tr w:rsidR="005F220D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10.0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17.2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14.0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14.0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15.0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9.8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5.3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6.5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4.0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7.2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17.0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8.9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10.9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6.8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10.1</w:t>
            </w:r>
          </w:p>
        </w:tc>
      </w:tr>
      <w:tr w:rsidR="005F220D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11.2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12.6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0-30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22.7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28.2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21.8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22.9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23.3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18.6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30-50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19.1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19.3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15.2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50-100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17.9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12.3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17.0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14.3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13.3</w:t>
            </w:r>
          </w:p>
        </w:tc>
      </w:tr>
      <w:tr w:rsidR="005F220D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0-100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18.5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17.6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19.7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16.8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15.7</w:t>
            </w:r>
          </w:p>
        </w:tc>
      </w:tr>
    </w:tbl>
    <w:p w:rsidR="005F220D" w:rsidRPr="008F23CF" w:rsidRDefault="008F23CF">
      <w:pPr>
        <w:pStyle w:val="a3"/>
      </w:pPr>
      <w:r>
        <w:t>Влияние приемов обработки и удобрений на содержание нитратного азота в посевах озимой пшеницы, мг/кг по завершении 4-ой ротации севооборота</w:t>
      </w:r>
    </w:p>
    <w:p w:rsidR="005F220D" w:rsidRDefault="008F23CF">
      <w:pPr>
        <w:pStyle w:val="a3"/>
      </w:pPr>
      <w:r>
        <w:t>Преимущество приемов рыхления почвы без оборота пласта в накоплении азота объяснимо тем, что растительные остатки предшествующей культуры (гороха) и удобрений заделываются в поверхностном слое почвы. В дальнейшем, за счёт большей интенсивности разложения фитомассы, содержание нитратов увеличивается. Вспашка обеспечивает более равномерное распределение растительных остатков по обрабатываемому слою и менее интенсивную их минерализацию.</w:t>
      </w:r>
    </w:p>
    <w:p w:rsidR="005F220D" w:rsidRDefault="008F23CF">
      <w:pPr>
        <w:pStyle w:val="a3"/>
      </w:pPr>
      <w:r>
        <w:t>Содержание нитратов к уборке озимой пшеницы выравнивалось по всем приемам основной обработки почвы и изменялось при внесении удобрений. Однако распределение их по слоям почвы по вспашке было более равномерным, в то время, как по безотвальной и мелкой обработкам наблюдалось увеличение в слое 0-10 см.</w:t>
      </w:r>
    </w:p>
    <w:p w:rsidR="005F220D" w:rsidRDefault="008F23CF">
      <w:pPr>
        <w:pStyle w:val="a3"/>
      </w:pPr>
      <w:r>
        <w:t>Нами определены коэффициенты парной корреляции между формами азота, показателями плодородия почвы, урожайностью и качеством зерна озимой пшеницы (табл. 3).</w:t>
      </w:r>
    </w:p>
    <w:p w:rsidR="005F220D" w:rsidRDefault="008F23CF">
      <w:pPr>
        <w:pStyle w:val="a3"/>
      </w:pPr>
      <w:r>
        <w:t>Таблица 3</w:t>
      </w:r>
    </w:p>
    <w:p w:rsidR="005F220D" w:rsidRDefault="008F23CF">
      <w:pPr>
        <w:pStyle w:val="a3"/>
      </w:pPr>
      <w:r>
        <w:t>Коэффициенты парной корреляции (r) между формами азота, показателями плодородия почвы, урожайностью и качеством зерна озимой пшеницы</w:t>
      </w:r>
    </w:p>
    <w:p w:rsidR="005F220D" w:rsidRDefault="008F23C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60"/>
        <w:gridCol w:w="160"/>
        <w:gridCol w:w="160"/>
        <w:gridCol w:w="480"/>
        <w:gridCol w:w="480"/>
        <w:gridCol w:w="120"/>
        <w:gridCol w:w="120"/>
        <w:gridCol w:w="120"/>
        <w:gridCol w:w="120"/>
      </w:tblGrid>
      <w:tr w:rsidR="005F220D">
        <w:trPr>
          <w:trHeight w:val="720"/>
          <w:tblCellSpacing w:w="0" w:type="dxa"/>
        </w:trPr>
        <w:tc>
          <w:tcPr>
            <w:tcW w:w="0" w:type="auto"/>
            <w:vAlign w:val="center"/>
            <w:hideMark/>
          </w:tcPr>
          <w:p w:rsidR="005F220D" w:rsidRDefault="008F23CF">
            <w: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Запасы влаги в почве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220D" w:rsidRDefault="008F23CF">
            <w:r>
              <w:t>Содержание в почве гумуса и подвижных элементов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Гидролитическая</w:t>
            </w:r>
          </w:p>
          <w:p w:rsidR="005F220D" w:rsidRPr="008F23CF" w:rsidRDefault="008F23CF">
            <w:pPr>
              <w:pStyle w:val="a3"/>
            </w:pPr>
            <w:r w:rsidRPr="008F23CF">
              <w:t>кислотность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220D" w:rsidRDefault="008F23CF">
            <w:r>
              <w:t>Урожайность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F220D" w:rsidRDefault="008F23CF">
            <w:r>
              <w:t>Содержание в зерне</w:t>
            </w:r>
          </w:p>
        </w:tc>
      </w:tr>
      <w:tr w:rsidR="005F220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5F220D" w:rsidRDefault="008F23CF">
            <w:r>
              <w:t>Показатели</w:t>
            </w:r>
          </w:p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Default="008F23CF">
            <w:r>
              <w:t>гумуса</w:t>
            </w:r>
          </w:p>
        </w:tc>
        <w:tc>
          <w:tcPr>
            <w:tcW w:w="0" w:type="auto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а</w:t>
            </w:r>
          </w:p>
          <w:p w:rsidR="005F220D" w:rsidRPr="008F23CF" w:rsidRDefault="008F23CF">
            <w:pPr>
              <w:pStyle w:val="a3"/>
            </w:pPr>
            <w:r w:rsidRPr="008F23CF">
              <w:t>р</w:t>
            </w:r>
          </w:p>
          <w:p w:rsidR="005F220D" w:rsidRPr="008F23CF" w:rsidRDefault="008F23CF">
            <w:pPr>
              <w:pStyle w:val="a3"/>
            </w:pPr>
            <w:r w:rsidRPr="008F23CF">
              <w:t>о</w:t>
            </w:r>
          </w:p>
          <w:p w:rsidR="005F220D" w:rsidRPr="008F23CF" w:rsidRDefault="008F23CF">
            <w:pPr>
              <w:pStyle w:val="a3"/>
            </w:pPr>
            <w:r w:rsidRPr="008F23CF">
              <w:t>с</w:t>
            </w:r>
          </w:p>
          <w:p w:rsidR="005F220D" w:rsidRPr="008F23CF" w:rsidRDefault="008F23CF">
            <w:pPr>
              <w:pStyle w:val="a3"/>
            </w:pPr>
            <w:r w:rsidRPr="008F23CF">
              <w:t>о</w:t>
            </w:r>
          </w:p>
          <w:p w:rsidR="005F220D" w:rsidRPr="008F23CF" w:rsidRDefault="008F23CF">
            <w:pPr>
              <w:pStyle w:val="a3"/>
            </w:pPr>
            <w:r w:rsidRPr="008F23CF">
              <w:t>ф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калия</w:t>
            </w:r>
          </w:p>
        </w:tc>
        <w:tc>
          <w:tcPr>
            <w:tcW w:w="0" w:type="auto"/>
            <w:vMerge/>
            <w:vAlign w:val="center"/>
            <w:hideMark/>
          </w:tcPr>
          <w:p w:rsidR="005F220D" w:rsidRPr="008F23CF" w:rsidRDefault="005F220D"/>
        </w:tc>
        <w:tc>
          <w:tcPr>
            <w:tcW w:w="0" w:type="auto"/>
            <w:vMerge/>
            <w:vAlign w:val="center"/>
            <w:hideMark/>
          </w:tcPr>
          <w:p w:rsidR="005F220D" w:rsidRDefault="005F220D"/>
        </w:tc>
        <w:tc>
          <w:tcPr>
            <w:tcW w:w="0" w:type="auto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а</w:t>
            </w:r>
          </w:p>
          <w:p w:rsidR="005F220D" w:rsidRPr="008F23CF" w:rsidRDefault="008F23CF">
            <w:pPr>
              <w:pStyle w:val="a3"/>
            </w:pPr>
            <w:r w:rsidRPr="008F23CF">
              <w:t>н</w:t>
            </w:r>
          </w:p>
          <w:p w:rsidR="005F220D" w:rsidRPr="008F23CF" w:rsidRDefault="008F23CF">
            <w:pPr>
              <w:pStyle w:val="a3"/>
            </w:pPr>
            <w:r w:rsidRPr="008F23CF">
              <w:t>и</w:t>
            </w:r>
          </w:p>
          <w:p w:rsidR="005F220D" w:rsidRPr="008F23CF" w:rsidRDefault="008F23CF">
            <w:pPr>
              <w:pStyle w:val="a3"/>
            </w:pPr>
            <w:r w:rsidRPr="008F23CF">
              <w:t>£</w:t>
            </w:r>
          </w:p>
          <w:p w:rsidR="005F220D" w:rsidRPr="008F23CF" w:rsidRDefault="008F23CF">
            <w:pPr>
              <w:pStyle w:val="a3"/>
            </w:pPr>
            <w:r w:rsidRPr="008F23CF">
              <w:t>о</w:t>
            </w:r>
          </w:p>
          <w:p w:rsidR="005F220D" w:rsidRPr="008F23CF" w:rsidRDefault="008F23CF">
            <w:pPr>
              <w:pStyle w:val="a3"/>
            </w:pPr>
            <w:r w:rsidRPr="008F23CF">
              <w:t>р</w:t>
            </w:r>
          </w:p>
          <w:p w:rsidR="005F220D" w:rsidRPr="008F23CF" w:rsidRDefault="008F23CF">
            <w:pPr>
              <w:pStyle w:val="a3"/>
            </w:pPr>
            <w:r w:rsidRPr="008F23CF">
              <w:t>п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азота</w:t>
            </w:r>
          </w:p>
        </w:tc>
        <w:tc>
          <w:tcPr>
            <w:tcW w:w="0" w:type="auto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а</w:t>
            </w:r>
          </w:p>
          <w:p w:rsidR="005F220D" w:rsidRPr="008F23CF" w:rsidRDefault="008F23CF">
            <w:pPr>
              <w:pStyle w:val="a3"/>
            </w:pPr>
            <w:r w:rsidRPr="008F23CF">
              <w:t>р</w:t>
            </w:r>
          </w:p>
          <w:p w:rsidR="005F220D" w:rsidRPr="008F23CF" w:rsidRDefault="008F23CF">
            <w:pPr>
              <w:pStyle w:val="a3"/>
            </w:pPr>
            <w:r w:rsidRPr="008F23CF">
              <w:t>о</w:t>
            </w:r>
          </w:p>
          <w:p w:rsidR="005F220D" w:rsidRPr="008F23CF" w:rsidRDefault="008F23CF">
            <w:pPr>
              <w:pStyle w:val="a3"/>
            </w:pPr>
            <w:r w:rsidRPr="008F23CF">
              <w:t>с</w:t>
            </w:r>
          </w:p>
          <w:p w:rsidR="005F220D" w:rsidRPr="008F23CF" w:rsidRDefault="008F23CF">
            <w:pPr>
              <w:pStyle w:val="a3"/>
            </w:pPr>
            <w:r w:rsidRPr="008F23CF">
              <w:t>о</w:t>
            </w:r>
          </w:p>
          <w:p w:rsidR="005F220D" w:rsidRPr="008F23CF" w:rsidRDefault="008F23CF">
            <w:pPr>
              <w:pStyle w:val="a3"/>
            </w:pPr>
            <w:r w:rsidRPr="008F23CF">
              <w:t>ф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калия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5F220D" w:rsidRDefault="008F23CF">
            <w:r>
              <w:t>Азот общий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-0.96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0.86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0.72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0.04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0.59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0.45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0.45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0.11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-0.39</w:t>
            </w:r>
          </w:p>
        </w:tc>
      </w:tr>
      <w:tr w:rsidR="005F220D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5F220D" w:rsidRPr="008F23CF" w:rsidRDefault="008F23CF">
            <w:pPr>
              <w:pStyle w:val="a3"/>
            </w:pPr>
            <w:r w:rsidRPr="008F23CF">
              <w:t>Нитрификационная</w:t>
            </w:r>
          </w:p>
          <w:p w:rsidR="005F220D" w:rsidRPr="008F23CF" w:rsidRDefault="008F23CF">
            <w:pPr>
              <w:pStyle w:val="a3"/>
            </w:pPr>
            <w:r w:rsidRPr="008F23CF">
              <w:t>способность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-0.59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0.43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0.70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0.57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0.49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0.71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0.21</w:t>
            </w:r>
          </w:p>
        </w:tc>
      </w:tr>
      <w:tr w:rsidR="005F220D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5F220D" w:rsidRDefault="008F23CF">
            <w:r>
              <w:t>Азот гидролизуемый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-0.38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0.87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0.79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0.67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0.06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0.64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0.05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0.07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0.88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0.48</w:t>
            </w:r>
          </w:p>
        </w:tc>
      </w:tr>
      <w:tr w:rsidR="005F220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F220D" w:rsidRDefault="008F23CF">
            <w:r>
              <w:t>Азот нитратов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-0.91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0.17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0.84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0.71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-0.13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0.48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0.57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0.58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0.12</w:t>
            </w:r>
          </w:p>
        </w:tc>
        <w:tc>
          <w:tcPr>
            <w:tcW w:w="0" w:type="auto"/>
            <w:vAlign w:val="center"/>
            <w:hideMark/>
          </w:tcPr>
          <w:p w:rsidR="005F220D" w:rsidRDefault="008F23CF">
            <w:r>
              <w:t>-0.42</w:t>
            </w:r>
          </w:p>
        </w:tc>
      </w:tr>
    </w:tbl>
    <w:p w:rsidR="005F220D" w:rsidRPr="008F23CF" w:rsidRDefault="008F23CF">
      <w:pPr>
        <w:pStyle w:val="a3"/>
      </w:pPr>
      <w:r>
        <w:t>Так связь между запасами влаги в почве и содержанием форм азота обратная. С увеличением влажности почвы содержание форм азота снижается. Установлена сильная обратная связь между запасами влаги и такими формами азота, как общий и нитратный. Содержание щелочногидролизуемой формы азота в большей степени зависит от содержания в почве гумуса.</w:t>
      </w:r>
    </w:p>
    <w:p w:rsidR="005F220D" w:rsidRDefault="008F23CF">
      <w:pPr>
        <w:pStyle w:val="a3"/>
      </w:pPr>
      <w:r>
        <w:t>Установлена прямая связь между содержанием различных форм азота и содержанием подвижного фосфора и калия в почве. Связь между кислотностью почвы и общим азотом слабая. Накопление нитратного азота в почве приводит к подкислению почвы.</w:t>
      </w:r>
    </w:p>
    <w:p w:rsidR="005F220D" w:rsidRDefault="008F23CF">
      <w:pPr>
        <w:pStyle w:val="a3"/>
      </w:pPr>
      <w:r>
        <w:t>Связь между содержанием азота в почве и урожайностью озимой пшеницы средняя прямая. Это означает, что с увеличением содержания азота в почве повышается и урожай зерна. Установлена высокая корреляционная зависимость между урожайностью и содержанием в почве общего и гидролизуемого азота.</w:t>
      </w:r>
    </w:p>
    <w:p w:rsidR="005F220D" w:rsidRDefault="008F23CF">
      <w:pPr>
        <w:pStyle w:val="a3"/>
      </w:pPr>
      <w:r>
        <w:t>Азотный режим почвы оказывает влияние на качество зерна озимой пшеницы. Накопление общего и нитратного азота в почве приводит к повышению содержания протеина и азота, но снижает содержание калия в зерне. Содержание фосфора в зерне имеет сильную прямую связь с нитрификационной способностью почвы и содержанием гидролизуемого азота.</w:t>
      </w:r>
    </w:p>
    <w:p w:rsidR="005F220D" w:rsidRDefault="008F23CF">
      <w:pPr>
        <w:pStyle w:val="a3"/>
      </w:pPr>
      <w:r>
        <w:t>Заключение</w:t>
      </w:r>
    </w:p>
    <w:p w:rsidR="005F220D" w:rsidRDefault="008F23CF">
      <w:pPr>
        <w:pStyle w:val="a3"/>
      </w:pPr>
      <w:r>
        <w:t>Накопление общего азота в почве происходит более активно при совместном применении минеральных удобрений и навоза. Приемы обработки почвы не влияли на содержание данной формы азота.</w:t>
      </w:r>
    </w:p>
    <w:p w:rsidR="005F220D" w:rsidRDefault="008F23CF">
      <w:pPr>
        <w:pStyle w:val="a3"/>
      </w:pPr>
      <w:r>
        <w:t>Наибольшее влияние на соотношение углерода к азоту оказывают удобрения, чем приемы обработки почвы. Насыщение гумуса азотом наблюдается при внесении минеральных удобрений и навоза. Доля азота в составе гумуса возрастает с увеличением дозы удобрений.</w:t>
      </w:r>
    </w:p>
    <w:p w:rsidR="005F220D" w:rsidRDefault="008F23CF">
      <w:pPr>
        <w:pStyle w:val="a3"/>
      </w:pPr>
      <w:r>
        <w:t>На содержание легкогидролизуемого азота влияют больше удобрения, чем приемы основной обработки почвы. Максимальное содержание данной формы азота в почве наблюдается при совместном внесении двойной дозы навоза и минеральных удобрений.</w:t>
      </w:r>
    </w:p>
    <w:p w:rsidR="005F220D" w:rsidRDefault="008F23CF">
      <w:pPr>
        <w:pStyle w:val="a3"/>
      </w:pPr>
      <w:r>
        <w:t>Применение органо-минеральных удобрений способствует усилению процесса нитрификации в обрабатываемом слое почвы в среднем в 2 раза и в 4.5 раза в подпахотном. Приемы обработки не влияли на данный показатель. Содержание доступного растениям азота возрастает при совместном внесении минеральных удобрений и навоза в слое почвы 0-30 см, примерно, в 1.5-2.5 раза, а в целом в метровом слое в 3.2 раза. Отмечена локализация основной части минерального азота в начале вегетации озимой пшеницы в слоях 0-30 и 50-100 см.</w:t>
      </w:r>
    </w:p>
    <w:p w:rsidR="005F220D" w:rsidRDefault="008F23CF">
      <w:pPr>
        <w:pStyle w:val="a3"/>
      </w:pPr>
      <w:r>
        <w:t>Корреляционный анализ подчёркивает взаимосвязь между содержанием форм азота в почве, гумусом, подвижным фосфором и калием, величиной урожая пшеницы и его качеством.</w:t>
      </w:r>
    </w:p>
    <w:p w:rsidR="005F220D" w:rsidRDefault="008F23CF">
      <w:pPr>
        <w:pStyle w:val="a3"/>
      </w:pPr>
      <w:r>
        <w:t>Список литературы</w:t>
      </w:r>
    </w:p>
    <w:p w:rsidR="005F220D" w:rsidRDefault="008F23CF">
      <w:pPr>
        <w:pStyle w:val="a3"/>
      </w:pPr>
      <w:r>
        <w:t>Щербаков А.П., Рудай И.Д. Плодородие почв, круговорот и баланс питательных веществ - М.: Колос, 1983. - 189 с.</w:t>
      </w:r>
    </w:p>
    <w:p w:rsidR="005F220D" w:rsidRDefault="008F23CF">
      <w:pPr>
        <w:pStyle w:val="a3"/>
      </w:pPr>
      <w:r>
        <w:t>Лукин С.В., Четверикова Н.С., Ероховец М.А. Агроэкологическая оценка содержания азота в сельскохозяйственных растениях и почвах Белгородской области // Научные ведомости БелГУ. Сер. «Естественные науки». - 2011. - № 21 (116). Вып. 17. - С. 95-101.</w:t>
      </w:r>
    </w:p>
    <w:p w:rsidR="005F220D" w:rsidRDefault="008F23CF">
      <w:pPr>
        <w:pStyle w:val="a3"/>
      </w:pPr>
      <w:r>
        <w:t>Уваров Г.И. Агроэкологические проблемы плодородия почв лесостепи. - Белгород, 2005. - 203 с.</w:t>
      </w:r>
    </w:p>
    <w:p w:rsidR="005F220D" w:rsidRDefault="008F23CF">
      <w:pPr>
        <w:pStyle w:val="a3"/>
      </w:pPr>
      <w:r>
        <w:t>Уваров Г.И., Карабутов А.П. Изменение свойств в черноземе типичном при применении удобрений в длительном полевом опыте // Агрохимия. - 2012. - № 4. - С. 14-20.</w:t>
      </w:r>
    </w:p>
    <w:p w:rsidR="005F220D" w:rsidRDefault="008F23CF">
      <w:pPr>
        <w:pStyle w:val="a3"/>
      </w:pPr>
      <w:r>
        <w:t>Минакова О.А. Агроэкологические аспекты применения удобрений в зернопаропропашном севообороте лесостепи ЦЧР: Автореф. дис...докт. с.-х. наук. - Воронеж: ВГАУ, 2011. - 49 с.</w:t>
      </w:r>
    </w:p>
    <w:p w:rsidR="005F220D" w:rsidRDefault="008F23CF">
      <w:pPr>
        <w:pStyle w:val="a3"/>
      </w:pPr>
      <w:r>
        <w:t>Хабиров И.К, Простякова З.Г. Изменение азотного режима чернозёма типичного при минимальной обработке почвы // Почвоведение. - 1997. - № 7. - С. 866-869.</w:t>
      </w:r>
    </w:p>
    <w:p w:rsidR="005F220D" w:rsidRDefault="008F23CF">
      <w:pPr>
        <w:pStyle w:val="a3"/>
      </w:pPr>
      <w:r>
        <w:t>Уваров Г.И., Соловиченко В.Д. Азотный режим чернозема типичного при возделывании культур в севообороте // Агрохимия. - 2009. - № 4. - С. 5-10.</w:t>
      </w:r>
    </w:p>
    <w:p w:rsidR="005F220D" w:rsidRDefault="008F23CF">
      <w:pPr>
        <w:pStyle w:val="a3"/>
      </w:pPr>
      <w:r>
        <w:t>Агрохимические методы исследования почв. - М.: «Наука», 1975. - 656 с.</w:t>
      </w:r>
    </w:p>
    <w:p w:rsidR="005F220D" w:rsidRDefault="008F23CF">
      <w:pPr>
        <w:pStyle w:val="a3"/>
      </w:pPr>
      <w:r>
        <w:t>Доспехов Б.А. Методика полевого опыта. - М.: Агропромиздат, 1985. - 351 с.</w:t>
      </w:r>
    </w:p>
    <w:p w:rsidR="005F220D" w:rsidRDefault="008F23CF">
      <w:pPr>
        <w:pStyle w:val="a3"/>
      </w:pPr>
      <w:r>
        <w:t>Орлов Д.С. Химия почв. - Изд-во Московского университета, 1985. - 376 с.</w:t>
      </w:r>
      <w:bookmarkStart w:id="0" w:name="_GoBack"/>
      <w:bookmarkEnd w:id="0"/>
    </w:p>
    <w:sectPr w:rsidR="005F22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3CF"/>
    <w:rsid w:val="00070CF0"/>
    <w:rsid w:val="005F220D"/>
    <w:rsid w:val="008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768F6-EBB5-4E7D-B45B-5815DE8E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2750</Words>
  <Characters>15681</Characters>
  <Application>Microsoft Office Word</Application>
  <DocSecurity>0</DocSecurity>
  <Lines>130</Lines>
  <Paragraphs>36</Paragraphs>
  <ScaleCrop>false</ScaleCrop>
  <Company>diakov.net</Company>
  <LinksUpToDate>false</LinksUpToDate>
  <CharactersWithSpaces>18395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Азотный режим чернозема в зависимости от удобрений и приемов обработки</dc:title>
  <dc:subject/>
  <dc:creator>Irina</dc:creator>
  <cp:keywords/>
  <dc:description/>
  <cp:lastModifiedBy>Irina</cp:lastModifiedBy>
  <cp:revision>2</cp:revision>
  <dcterms:created xsi:type="dcterms:W3CDTF">2014-08-02T19:49:00Z</dcterms:created>
  <dcterms:modified xsi:type="dcterms:W3CDTF">2014-08-02T19:49:00Z</dcterms:modified>
</cp:coreProperties>
</file>