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63" w:rsidRDefault="009D00A3">
      <w:pPr>
        <w:pStyle w:val="1"/>
        <w:jc w:val="center"/>
      </w:pPr>
      <w:r>
        <w:t>Гидрогеологические и инженерногеологические особенности разработки Яковлевского железорудного месторождения</w:t>
      </w:r>
    </w:p>
    <w:p w:rsidR="007B6863" w:rsidRPr="009D00A3" w:rsidRDefault="009D00A3">
      <w:pPr>
        <w:pStyle w:val="a3"/>
      </w:pPr>
      <w:r>
        <w:t>Зайцев Д.А., Кирилов А.Н.</w:t>
      </w:r>
    </w:p>
    <w:p w:rsidR="007B6863" w:rsidRDefault="009D00A3">
      <w:pPr>
        <w:pStyle w:val="a3"/>
      </w:pPr>
      <w:r>
        <w:t>Яковлевское месторождение расположено в 30 км к северо-западу от г. Белгорода, у пос. Яковлево. Железорудные залежи месторождения прослежены буровыми скважинами на протяжении 42 км, практически вдоль шоссе Москва - Симферополь. Месторождение состоит из двух рудных полос - Яковлевской и Покровской и расчленяется на семь участков: Верхопенско-Ивнянский, Гремучинский, Центральный, Смородинский, Висловский, Непхаевский, Хохлово-Дальнеигуменский [1,2].</w:t>
      </w:r>
    </w:p>
    <w:p w:rsidR="007B6863" w:rsidRDefault="009D00A3">
      <w:pPr>
        <w:pStyle w:val="a3"/>
      </w:pPr>
      <w:r>
        <w:t>В орогидрографическом отношении месторождение расположено в области водораздела рек Псёл, Ворскла, Липовый Донец, рассеченного сетью оврагов и балок.</w:t>
      </w:r>
    </w:p>
    <w:p w:rsidR="007B6863" w:rsidRDefault="009D00A3">
      <w:pPr>
        <w:pStyle w:val="a3"/>
      </w:pPr>
      <w:r>
        <w:t>Железные руды месторождения представлены двумя типами:</w:t>
      </w:r>
    </w:p>
    <w:p w:rsidR="007B6863" w:rsidRDefault="009D00A3">
      <w:pPr>
        <w:pStyle w:val="a3"/>
      </w:pPr>
      <w:r>
        <w:t>богатыми железными рудами - рудами, пригодными для металлургического передела без предварительного обогащения;</w:t>
      </w:r>
    </w:p>
    <w:p w:rsidR="007B6863" w:rsidRDefault="009D00A3">
      <w:pPr>
        <w:pStyle w:val="a3"/>
      </w:pPr>
      <w:r>
        <w:t>железистыми кварцитами - остаточными (бедными) рудами, из которых производится высококачественное металлургическое сырье - магнетитовый концентрат.</w:t>
      </w:r>
    </w:p>
    <w:p w:rsidR="007B6863" w:rsidRDefault="009D00A3">
      <w:pPr>
        <w:pStyle w:val="a3"/>
      </w:pPr>
      <w:r>
        <w:t>Остаточные руды составляют основные запасы месторождения. По инженерно-геологическим признакам остаточные руды Яковлевского месторождения подразделяются на две основные группы - крепкие (плотные), с сопротивлением одноосному сжатию более 400 кг/см и руды малой крепости, с сопротивлением одноосному сжатию менее 400 кг/см .</w:t>
      </w:r>
    </w:p>
    <w:p w:rsidR="007B6863" w:rsidRDefault="009D00A3">
      <w:pPr>
        <w:pStyle w:val="a3"/>
      </w:pPr>
      <w:r>
        <w:t>На основании изучения структурно-текстурных особенностей и инженерно-геологических свойств была разработана более подробная классификация остаточных руд, по которым они подразделяются на:</w:t>
      </w:r>
    </w:p>
    <w:p w:rsidR="007B6863" w:rsidRDefault="009D00A3">
      <w:pPr>
        <w:pStyle w:val="a3"/>
      </w:pPr>
      <w:r>
        <w:t>крепкие;</w:t>
      </w:r>
    </w:p>
    <w:p w:rsidR="007B6863" w:rsidRDefault="009D00A3">
      <w:pPr>
        <w:pStyle w:val="a3"/>
      </w:pPr>
      <w:r>
        <w:t>средней крепости;</w:t>
      </w:r>
    </w:p>
    <w:p w:rsidR="007B6863" w:rsidRDefault="009D00A3">
      <w:pPr>
        <w:pStyle w:val="a3"/>
      </w:pPr>
      <w:r>
        <w:t>руды малой крепости, которые в свою очередь делятся на мягкие и легкоразрыхляемые.</w:t>
      </w:r>
    </w:p>
    <w:p w:rsidR="007B6863" w:rsidRDefault="009D00A3">
      <w:pPr>
        <w:pStyle w:val="a3"/>
      </w:pPr>
      <w:r>
        <w:t>Крепкие и средней крепости руды развиты главным образом в верхней части разреза, однако местами здесь встречаются и легкоразрыхляемые руды.</w:t>
      </w:r>
    </w:p>
    <w:p w:rsidR="007B6863" w:rsidRDefault="009D00A3">
      <w:pPr>
        <w:pStyle w:val="a3"/>
      </w:pPr>
      <w:r>
        <w:t>На долю крепких и средней крепости руд приходится 55 % от общей мощности, а остальные 45% представлены мягкими и легкоразрыхляемыми рудами.</w:t>
      </w:r>
    </w:p>
    <w:p w:rsidR="007B6863" w:rsidRDefault="009D00A3">
      <w:pPr>
        <w:pStyle w:val="a3"/>
      </w:pPr>
      <w:r>
        <w:t>К рудовмещающим породам на месторождении относятся железистые кварциты и сланцы.</w:t>
      </w:r>
    </w:p>
    <w:p w:rsidR="007B6863" w:rsidRDefault="009D00A3">
      <w:pPr>
        <w:pStyle w:val="a3"/>
      </w:pPr>
      <w:r>
        <w:t>Железистые кварциты слагают лежачий бок рудной залежи и являются крепкими рудами с сопротивлением сжатию порядка 2000-3000 кг/см , однако их трещиноватые и выветрелые разновидности обладают значительно меньшей прочностью.</w:t>
      </w:r>
    </w:p>
    <w:p w:rsidR="007B6863" w:rsidRDefault="009D00A3">
      <w:pPr>
        <w:pStyle w:val="a3"/>
      </w:pPr>
      <w:r>
        <w:t>Сланцы - филлитовые и углистые, метаморфизованные - залегают в висячем боку рудной залежи, образуя непосредственную кровлю для северовосточной ее части. Это довольно крепкие породы с временным сопротивлением сжатию 400-800 кг/см . Однако в верхней, выветрелой зоне сланцы обладают значительно меньшей прочностью и местами представляют собой глиноподобные, почти пластичные породы.</w:t>
      </w:r>
    </w:p>
    <w:p w:rsidR="007B6863" w:rsidRDefault="009D00A3">
      <w:pPr>
        <w:pStyle w:val="a3"/>
      </w:pPr>
      <w:r>
        <w:t>Из пород осадочной толщи наибольшее значение при разработке месторождения имеют их нижние горизонты, непосредственно залегающие в кровле железистых руд или вблизи от нее. В кровле богатых железных руд залегают сланцы висячего бока, переотложенные руды, а также бокситоподобные породы и известняки с прослоями глин каменноугольной системы. Мощность каменноугольных известняков равна 15-55 м. Известняки каменноугольной системы обладают большой прочностью: значение их временного сопротивления сжатию - 400-900 кг/см . Однако в пределах рудной полосы, известняки трещиноваты, закарстованы и переслаиваются с глинами, что значительно ослабевает их прочность.</w:t>
      </w:r>
    </w:p>
    <w:p w:rsidR="007B6863" w:rsidRDefault="009D00A3">
      <w:pPr>
        <w:pStyle w:val="a3"/>
      </w:pPr>
      <w:r>
        <w:t>Инженерно-геологические и гидрогеологические условия Яковлевского месторождения являются сложными, что обусловлено большой глубиной залегания полезного ископаемого, степенью устойчивости руд и вмещающих пород в горных выработках, состоянием осадочной толщи, перекрывающей руднокристаллический комплекс горных пород и имеющей мощность более 500 м. Значительная часть богатых железных руд месторождения (до 50%) представлена слабыми рыхлыми и глиноподобными разностями, которые в обводненном состоянии обладают низкими прочностными свойствами. Слабую устойчивость в зоне выветривания (30-50 м) имеют также сланцы лежачего и висячего боков месторождения.</w:t>
      </w:r>
    </w:p>
    <w:p w:rsidR="007B6863" w:rsidRDefault="009D00A3">
      <w:pPr>
        <w:pStyle w:val="a3"/>
      </w:pPr>
      <w:r>
        <w:t>Надрудная толща, включающая шесть водоносных горизонтов, большая часть из которых обладает высокими гидростатическими напорами, представлена комплексом осадочных отложений, состоящих как из крепких устойчивых горных пород, так и пород с проявлением плывунных свойств.</w:t>
      </w:r>
    </w:p>
    <w:p w:rsidR="007B6863" w:rsidRDefault="009D00A3">
      <w:pPr>
        <w:pStyle w:val="a3"/>
      </w:pPr>
      <w:r>
        <w:t>Физико-механические свойства горных пород осадочной толщи приведены в таблице 1 [3].</w:t>
      </w:r>
    </w:p>
    <w:p w:rsidR="007B6863" w:rsidRDefault="009D00A3">
      <w:pPr>
        <w:pStyle w:val="a3"/>
      </w:pPr>
      <w:r>
        <w:t>Таблица 1.</w:t>
      </w:r>
    </w:p>
    <w:p w:rsidR="007B6863" w:rsidRDefault="009D00A3">
      <w:pPr>
        <w:pStyle w:val="a3"/>
      </w:pPr>
      <w:r>
        <w:t>Показатели физико-механических свойств^ горных пород осадочной толщи</w:t>
      </w:r>
    </w:p>
    <w:p w:rsidR="007B6863" w:rsidRDefault="009D00A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B6863">
        <w:trPr>
          <w:trHeight w:val="1170"/>
          <w:tblCellSpacing w:w="0" w:type="dxa"/>
        </w:trPr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Инженерно-</w:t>
            </w:r>
          </w:p>
          <w:p w:rsidR="007B6863" w:rsidRPr="009D00A3" w:rsidRDefault="009D00A3">
            <w:pPr>
              <w:pStyle w:val="a3"/>
            </w:pPr>
            <w:r w:rsidRPr="009D00A3">
              <w:t>геологический</w:t>
            </w:r>
          </w:p>
          <w:p w:rsidR="007B6863" w:rsidRPr="009D00A3" w:rsidRDefault="009D00A3">
            <w:pPr>
              <w:pStyle w:val="a3"/>
            </w:pPr>
            <w:r w:rsidRPr="009D00A3">
              <w:t>комплекс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Наименован ие пород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Плотнос ть, 103</w:t>
            </w:r>
          </w:p>
          <w:p w:rsidR="007B6863" w:rsidRPr="009D00A3" w:rsidRDefault="009D00A3">
            <w:pPr>
              <w:pStyle w:val="a3"/>
            </w:pPr>
            <w:r w:rsidRPr="009D00A3">
              <w:t>кг/м3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Пористос ть, %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Естеств. влажнос ть, %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Водоотда ча, %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Число пластичнос ти, %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Сопро</w:t>
            </w:r>
          </w:p>
          <w:p w:rsidR="007B6863" w:rsidRPr="009D00A3" w:rsidRDefault="009D00A3">
            <w:pPr>
              <w:pStyle w:val="a3"/>
            </w:pPr>
            <w:r w:rsidRPr="009D00A3">
              <w:t>т.</w:t>
            </w:r>
          </w:p>
          <w:p w:rsidR="007B6863" w:rsidRPr="009D00A3" w:rsidRDefault="009D00A3">
            <w:pPr>
              <w:pStyle w:val="a3"/>
            </w:pPr>
            <w:r w:rsidRPr="009D00A3">
              <w:t>сжати</w:t>
            </w:r>
          </w:p>
          <w:p w:rsidR="007B6863" w:rsidRPr="009D00A3" w:rsidRDefault="009D00A3">
            <w:pPr>
              <w:pStyle w:val="a3"/>
            </w:pPr>
            <w:r w:rsidRPr="009D00A3">
              <w:t>ю,</w:t>
            </w:r>
          </w:p>
          <w:p w:rsidR="007B6863" w:rsidRPr="009D00A3" w:rsidRDefault="009D00A3">
            <w:pPr>
              <w:pStyle w:val="a3"/>
            </w:pPr>
            <w:r w:rsidRPr="009D00A3">
              <w:t>МПа</w:t>
            </w:r>
          </w:p>
        </w:tc>
      </w:tr>
      <w:tr w:rsidR="007B6863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Нижнекаменноуголь</w:t>
            </w:r>
          </w:p>
          <w:p w:rsidR="007B6863" w:rsidRPr="009D00A3" w:rsidRDefault="009D00A3">
            <w:pPr>
              <w:pStyle w:val="a3"/>
            </w:pPr>
            <w:r w:rsidRPr="009D00A3">
              <w:t>ный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Известняк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2,51-3,06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0,35-18,70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4,36</w:t>
            </w:r>
          </w:p>
          <w:p w:rsidR="007B6863" w:rsidRPr="009D00A3" w:rsidRDefault="009D00A3">
            <w:pPr>
              <w:pStyle w:val="a3"/>
            </w:pPr>
            <w:r w:rsidRPr="009D00A3">
              <w:t>59,41</w:t>
            </w:r>
          </w:p>
        </w:tc>
      </w:tr>
      <w:tr w:rsidR="007B6863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7B6863" w:rsidRDefault="009D00A3">
            <w:r>
              <w:t>Бат-байосский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Глина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1,96-2,75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23,30</w:t>
            </w:r>
          </w:p>
          <w:p w:rsidR="007B6863" w:rsidRPr="009D00A3" w:rsidRDefault="009D00A3">
            <w:pPr>
              <w:pStyle w:val="a3"/>
            </w:pPr>
            <w:r w:rsidRPr="009D00A3">
              <w:t>37,00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13,30</w:t>
            </w:r>
          </w:p>
          <w:p w:rsidR="007B6863" w:rsidRPr="009D00A3" w:rsidRDefault="009D00A3">
            <w:pPr>
              <w:pStyle w:val="a3"/>
            </w:pPr>
            <w:r w:rsidRPr="009D00A3">
              <w:t>25,30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20-40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0,30</w:t>
            </w:r>
          </w:p>
          <w:p w:rsidR="007B6863" w:rsidRPr="009D00A3" w:rsidRDefault="009D00A3">
            <w:pPr>
              <w:pStyle w:val="a3"/>
            </w:pPr>
            <w:r w:rsidRPr="009D00A3">
              <w:t>0,90</w:t>
            </w:r>
          </w:p>
        </w:tc>
      </w:tr>
      <w:tr w:rsidR="007B6863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7B6863" w:rsidRDefault="009D00A3">
            <w:r>
              <w:t>Келловейский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Песок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1,28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42,00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10-34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</w:tr>
      <w:tr w:rsidR="007B6863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Кимеридж-</w:t>
            </w:r>
          </w:p>
          <w:p w:rsidR="007B6863" w:rsidRPr="009D00A3" w:rsidRDefault="009D00A3">
            <w:pPr>
              <w:pStyle w:val="a3"/>
            </w:pPr>
            <w:r w:rsidRPr="009D00A3">
              <w:t>оксфордский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Глина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2,06-2,14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30-40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16-24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21-41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0,10</w:t>
            </w:r>
          </w:p>
          <w:p w:rsidR="007B6863" w:rsidRPr="009D00A3" w:rsidRDefault="009D00A3">
            <w:pPr>
              <w:pStyle w:val="a3"/>
            </w:pPr>
            <w:r w:rsidRPr="009D00A3">
              <w:t>2,00</w:t>
            </w:r>
          </w:p>
        </w:tc>
      </w:tr>
      <w:tr w:rsidR="007B6863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7B6863" w:rsidRDefault="009D00A3">
            <w:r>
              <w:t>Волжский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Песчаник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1,98-2,49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37,70</w:t>
            </w:r>
          </w:p>
          <w:p w:rsidR="007B6863" w:rsidRPr="009D00A3" w:rsidRDefault="009D00A3">
            <w:pPr>
              <w:pStyle w:val="a3"/>
            </w:pPr>
            <w:r w:rsidRPr="009D00A3">
              <w:t>53,00</w:t>
            </w:r>
          </w:p>
        </w:tc>
      </w:tr>
      <w:tr w:rsidR="007B6863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7B6863" w:rsidRDefault="009D00A3">
            <w:r>
              <w:t>Апт-неокомский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Глина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2,06-2,28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28,00</w:t>
            </w:r>
          </w:p>
          <w:p w:rsidR="007B6863" w:rsidRPr="009D00A3" w:rsidRDefault="009D00A3">
            <w:pPr>
              <w:pStyle w:val="a3"/>
            </w:pPr>
            <w:r w:rsidRPr="009D00A3">
              <w:t>37,50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16,70</w:t>
            </w:r>
          </w:p>
          <w:p w:rsidR="007B6863" w:rsidRPr="009D00A3" w:rsidRDefault="009D00A3">
            <w:pPr>
              <w:pStyle w:val="a3"/>
            </w:pPr>
            <w:r w:rsidRPr="009D00A3">
              <w:t>19,40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5,80-18,10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1,0</w:t>
            </w:r>
          </w:p>
        </w:tc>
      </w:tr>
      <w:tr w:rsidR="007B6863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7B6863" w:rsidRDefault="009D00A3">
            <w:r>
              <w:t>Сеноман-альбский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Мел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1,97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40,00</w:t>
            </w:r>
          </w:p>
          <w:p w:rsidR="007B6863" w:rsidRPr="009D00A3" w:rsidRDefault="009D00A3">
            <w:pPr>
              <w:pStyle w:val="a3"/>
            </w:pPr>
            <w:r w:rsidRPr="009D00A3">
              <w:t>46,00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16,90</w:t>
            </w:r>
          </w:p>
          <w:p w:rsidR="007B6863" w:rsidRPr="009D00A3" w:rsidRDefault="009D00A3">
            <w:pPr>
              <w:pStyle w:val="a3"/>
            </w:pPr>
            <w:r w:rsidRPr="009D00A3">
              <w:t>35,20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4,20</w:t>
            </w:r>
          </w:p>
          <w:p w:rsidR="007B6863" w:rsidRPr="009D00A3" w:rsidRDefault="009D00A3">
            <w:pPr>
              <w:pStyle w:val="a3"/>
            </w:pPr>
            <w:r w:rsidRPr="009D00A3">
              <w:t>5,00</w:t>
            </w:r>
          </w:p>
        </w:tc>
      </w:tr>
      <w:tr w:rsidR="007B6863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7B6863" w:rsidRDefault="009D00A3">
            <w:r>
              <w:t>Сантонский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Мергель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1,88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39,00</w:t>
            </w:r>
          </w:p>
          <w:p w:rsidR="007B6863" w:rsidRPr="009D00A3" w:rsidRDefault="009D00A3">
            <w:pPr>
              <w:pStyle w:val="a3"/>
            </w:pPr>
            <w:r w:rsidRPr="009D00A3">
              <w:t>60,00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19,10</w:t>
            </w:r>
          </w:p>
          <w:p w:rsidR="007B6863" w:rsidRPr="009D00A3" w:rsidRDefault="009D00A3">
            <w:pPr>
              <w:pStyle w:val="a3"/>
            </w:pPr>
            <w:r w:rsidRPr="009D00A3">
              <w:t>41,60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1,60</w:t>
            </w:r>
          </w:p>
          <w:p w:rsidR="007B6863" w:rsidRPr="009D00A3" w:rsidRDefault="009D00A3">
            <w:pPr>
              <w:pStyle w:val="a3"/>
            </w:pPr>
            <w:r w:rsidRPr="009D00A3">
              <w:t>11,30</w:t>
            </w:r>
          </w:p>
        </w:tc>
      </w:tr>
      <w:tr w:rsidR="007B6863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7B6863" w:rsidRDefault="009D00A3">
            <w:r>
              <w:t>Маастрихтский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Мел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1,82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42,00</w:t>
            </w:r>
          </w:p>
          <w:p w:rsidR="007B6863" w:rsidRPr="009D00A3" w:rsidRDefault="009D00A3">
            <w:pPr>
              <w:pStyle w:val="a3"/>
            </w:pPr>
            <w:r w:rsidRPr="009D00A3">
              <w:t>52,00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30,00</w:t>
            </w:r>
          </w:p>
          <w:p w:rsidR="007B6863" w:rsidRPr="009D00A3" w:rsidRDefault="009D00A3">
            <w:pPr>
              <w:pStyle w:val="a3"/>
            </w:pPr>
            <w:r w:rsidRPr="009D00A3">
              <w:t>40,00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11,40-14,90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0,50</w:t>
            </w:r>
          </w:p>
          <w:p w:rsidR="007B6863" w:rsidRPr="009D00A3" w:rsidRDefault="009D00A3">
            <w:pPr>
              <w:pStyle w:val="a3"/>
            </w:pPr>
            <w:r w:rsidRPr="009D00A3">
              <w:t>1,90</w:t>
            </w:r>
          </w:p>
        </w:tc>
      </w:tr>
      <w:tr w:rsidR="007B6863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Палеоген-</w:t>
            </w:r>
          </w:p>
          <w:p w:rsidR="007B6863" w:rsidRPr="009D00A3" w:rsidRDefault="009D00A3">
            <w:pPr>
              <w:pStyle w:val="a3"/>
            </w:pPr>
            <w:r w:rsidRPr="009D00A3">
              <w:t>неогеновый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Суглинок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1,90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47,10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10,90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</w:tr>
      <w:tr w:rsidR="007B6863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Палеоген-</w:t>
            </w:r>
          </w:p>
          <w:p w:rsidR="007B6863" w:rsidRPr="009D00A3" w:rsidRDefault="009D00A3">
            <w:pPr>
              <w:pStyle w:val="a3"/>
            </w:pPr>
            <w:r w:rsidRPr="009D00A3">
              <w:t>неогеновый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Супесь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1,56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40,00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5,50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</w:tr>
      <w:tr w:rsidR="007B686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B6863" w:rsidRDefault="009D00A3">
            <w:r>
              <w:t>Четвертичный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Суглинок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1,71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36,80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13,20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-</w:t>
            </w:r>
          </w:p>
        </w:tc>
      </w:tr>
    </w:tbl>
    <w:p w:rsidR="007B6863" w:rsidRPr="009D00A3" w:rsidRDefault="009D00A3">
      <w:pPr>
        <w:pStyle w:val="a3"/>
      </w:pPr>
      <w:r>
        <w:t>Обобщенные показатели физико-механических свойств горных пород и руд руднокристаллического комплекса приведены в таблице 2 [3].</w:t>
      </w:r>
    </w:p>
    <w:p w:rsidR="007B6863" w:rsidRDefault="009D00A3">
      <w:pPr>
        <w:pStyle w:val="a3"/>
      </w:pPr>
      <w:r>
        <w:t>Таблица 2.</w:t>
      </w:r>
    </w:p>
    <w:p w:rsidR="007B6863" w:rsidRDefault="009D00A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7B6863">
        <w:trPr>
          <w:trHeight w:val="1020"/>
          <w:tblCellSpacing w:w="0" w:type="dxa"/>
        </w:trPr>
        <w:tc>
          <w:tcPr>
            <w:tcW w:w="0" w:type="auto"/>
            <w:vAlign w:val="center"/>
            <w:hideMark/>
          </w:tcPr>
          <w:p w:rsidR="007B6863" w:rsidRDefault="009D00A3">
            <w:r>
              <w:t>Наименование пород и руд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Плотность, 103, кг/м3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Пористость,</w:t>
            </w:r>
          </w:p>
          <w:p w:rsidR="007B6863" w:rsidRPr="009D00A3" w:rsidRDefault="009D00A3">
            <w:pPr>
              <w:pStyle w:val="a3"/>
            </w:pPr>
            <w:r w:rsidRPr="009D00A3">
              <w:t>%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Угол</w:t>
            </w:r>
          </w:p>
          <w:p w:rsidR="007B6863" w:rsidRPr="009D00A3" w:rsidRDefault="009D00A3">
            <w:pPr>
              <w:pStyle w:val="a3"/>
            </w:pPr>
            <w:r w:rsidRPr="009D00A3">
              <w:t>внутр.</w:t>
            </w:r>
          </w:p>
          <w:p w:rsidR="007B6863" w:rsidRPr="009D00A3" w:rsidRDefault="009D00A3">
            <w:pPr>
              <w:pStyle w:val="a3"/>
            </w:pPr>
            <w:r w:rsidRPr="009D00A3">
              <w:t>трения,</w:t>
            </w:r>
          </w:p>
          <w:p w:rsidR="007B6863" w:rsidRPr="009D00A3" w:rsidRDefault="009D00A3">
            <w:pPr>
              <w:pStyle w:val="a3"/>
            </w:pPr>
            <w:r w:rsidRPr="009D00A3">
              <w:t>град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Удельное</w:t>
            </w:r>
          </w:p>
          <w:p w:rsidR="007B6863" w:rsidRPr="009D00A3" w:rsidRDefault="009D00A3">
            <w:pPr>
              <w:pStyle w:val="a3"/>
            </w:pPr>
            <w:r w:rsidRPr="009D00A3">
              <w:t>сцепление,</w:t>
            </w:r>
          </w:p>
          <w:p w:rsidR="007B6863" w:rsidRPr="009D00A3" w:rsidRDefault="009D00A3">
            <w:pPr>
              <w:pStyle w:val="a3"/>
            </w:pPr>
            <w:r w:rsidRPr="009D00A3">
              <w:t>МПа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Сопрот.</w:t>
            </w:r>
          </w:p>
          <w:p w:rsidR="007B6863" w:rsidRPr="009D00A3" w:rsidRDefault="009D00A3">
            <w:pPr>
              <w:pStyle w:val="a3"/>
            </w:pPr>
            <w:r w:rsidRPr="009D00A3">
              <w:t>сжатию,</w:t>
            </w:r>
          </w:p>
          <w:p w:rsidR="007B6863" w:rsidRPr="009D00A3" w:rsidRDefault="009D00A3">
            <w:pPr>
              <w:pStyle w:val="a3"/>
            </w:pPr>
            <w:r w:rsidRPr="009D00A3">
              <w:t>МПа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Модуль упругости, 1010, Па</w:t>
            </w:r>
          </w:p>
        </w:tc>
      </w:tr>
      <w:tr w:rsidR="007B6863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7B6863" w:rsidRDefault="009D00A3">
            <w:r>
              <w:t>Руда гидрогематит- мартитовая, крепкая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4,29-5,12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15,80-29,50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35-42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2,51-7,00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7,80</w:t>
            </w:r>
          </w:p>
          <w:p w:rsidR="007B6863" w:rsidRPr="009D00A3" w:rsidRDefault="009D00A3">
            <w:pPr>
              <w:pStyle w:val="a3"/>
            </w:pPr>
            <w:r w:rsidRPr="009D00A3">
              <w:t>31,94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2,20-3,00</w:t>
            </w:r>
          </w:p>
        </w:tc>
      </w:tr>
      <w:tr w:rsidR="007B6863">
        <w:trPr>
          <w:trHeight w:val="780"/>
          <w:tblCellSpacing w:w="0" w:type="dxa"/>
        </w:trPr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Руда мартит-</w:t>
            </w:r>
          </w:p>
          <w:p w:rsidR="007B6863" w:rsidRPr="009D00A3" w:rsidRDefault="009D00A3">
            <w:pPr>
              <w:pStyle w:val="a3"/>
            </w:pPr>
            <w:r w:rsidRPr="009D00A3">
              <w:t>железнослюдковая,</w:t>
            </w:r>
          </w:p>
          <w:p w:rsidR="007B6863" w:rsidRPr="009D00A3" w:rsidRDefault="009D00A3">
            <w:pPr>
              <w:pStyle w:val="a3"/>
            </w:pPr>
            <w:r w:rsidRPr="009D00A3">
              <w:t>рыхлая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2,98-5,01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8,32-29,90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27-38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0,17-0,40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0,62-1,70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1,30</w:t>
            </w:r>
          </w:p>
        </w:tc>
      </w:tr>
      <w:tr w:rsidR="007B6863">
        <w:trPr>
          <w:trHeight w:val="1020"/>
          <w:tblCellSpacing w:w="0" w:type="dxa"/>
        </w:trPr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Руда</w:t>
            </w:r>
          </w:p>
          <w:p w:rsidR="007B6863" w:rsidRPr="009D00A3" w:rsidRDefault="009D00A3">
            <w:pPr>
              <w:pStyle w:val="a3"/>
            </w:pPr>
            <w:r w:rsidRPr="009D00A3">
              <w:t>железнослюдково-</w:t>
            </w:r>
          </w:p>
          <w:p w:rsidR="007B6863" w:rsidRPr="009D00A3" w:rsidRDefault="009D00A3">
            <w:pPr>
              <w:pStyle w:val="a3"/>
            </w:pPr>
            <w:r w:rsidRPr="009D00A3">
              <w:t>мартитовая,</w:t>
            </w:r>
          </w:p>
          <w:p w:rsidR="007B6863" w:rsidRPr="009D00A3" w:rsidRDefault="009D00A3">
            <w:pPr>
              <w:pStyle w:val="a3"/>
            </w:pPr>
            <w:r w:rsidRPr="009D00A3">
              <w:t>хлоритизированная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4,38-5,01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24,40-26,70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36-44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1,65-1,67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6,35-6,39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1,90-4,50</w:t>
            </w:r>
          </w:p>
        </w:tc>
      </w:tr>
      <w:tr w:rsidR="007B6863">
        <w:trPr>
          <w:trHeight w:val="1275"/>
          <w:tblCellSpacing w:w="0" w:type="dxa"/>
        </w:trPr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Руда</w:t>
            </w:r>
          </w:p>
          <w:p w:rsidR="007B6863" w:rsidRPr="009D00A3" w:rsidRDefault="009D00A3">
            <w:pPr>
              <w:pStyle w:val="a3"/>
            </w:pPr>
            <w:r w:rsidRPr="009D00A3">
              <w:t>железнослюдково-</w:t>
            </w:r>
          </w:p>
          <w:p w:rsidR="007B6863" w:rsidRPr="009D00A3" w:rsidRDefault="009D00A3">
            <w:pPr>
              <w:pStyle w:val="a3"/>
            </w:pPr>
            <w:r w:rsidRPr="009D00A3">
              <w:t>мартитовая,</w:t>
            </w:r>
          </w:p>
          <w:p w:rsidR="007B6863" w:rsidRPr="009D00A3" w:rsidRDefault="009D00A3">
            <w:pPr>
              <w:pStyle w:val="a3"/>
            </w:pPr>
            <w:r w:rsidRPr="009D00A3">
              <w:t>карбонатизированная</w:t>
            </w:r>
          </w:p>
          <w:p w:rsidR="007B6863" w:rsidRPr="009D00A3" w:rsidRDefault="009D00A3">
            <w:pPr>
              <w:pStyle w:val="a3"/>
            </w:pPr>
            <w:r w:rsidRPr="009D00A3">
              <w:t>плотная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4,47-4,90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25,90-29,40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42-43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3,51-7,20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15,81</w:t>
            </w:r>
          </w:p>
          <w:p w:rsidR="007B6863" w:rsidRPr="009D00A3" w:rsidRDefault="009D00A3">
            <w:pPr>
              <w:pStyle w:val="a3"/>
            </w:pPr>
            <w:r w:rsidRPr="009D00A3">
              <w:t>23,53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3,10-3,92</w:t>
            </w:r>
          </w:p>
        </w:tc>
      </w:tr>
      <w:tr w:rsidR="007B6863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7B6863" w:rsidRDefault="009D00A3">
            <w:r>
              <w:t>Сланец хлорит- серицитовый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3,20-4,21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10,00-28,50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34-42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5,20-11,70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19,90</w:t>
            </w:r>
          </w:p>
          <w:p w:rsidR="007B6863" w:rsidRPr="009D00A3" w:rsidRDefault="009D00A3">
            <w:pPr>
              <w:pStyle w:val="a3"/>
            </w:pPr>
            <w:r w:rsidRPr="009D00A3">
              <w:t>50,20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2,80-2,95</w:t>
            </w:r>
          </w:p>
        </w:tc>
      </w:tr>
      <w:tr w:rsidR="007B6863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7B6863" w:rsidRDefault="009D00A3">
            <w:r>
              <w:t>Кварцит мартит- железнослюдковый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3,85-4,02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9,00-18,20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38-41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12,46</w:t>
            </w:r>
          </w:p>
          <w:p w:rsidR="007B6863" w:rsidRPr="009D00A3" w:rsidRDefault="009D00A3">
            <w:pPr>
              <w:pStyle w:val="a3"/>
            </w:pPr>
            <w:r w:rsidRPr="009D00A3">
              <w:t>27,80</w:t>
            </w:r>
          </w:p>
        </w:tc>
        <w:tc>
          <w:tcPr>
            <w:tcW w:w="0" w:type="auto"/>
            <w:vAlign w:val="center"/>
            <w:hideMark/>
          </w:tcPr>
          <w:p w:rsidR="007B6863" w:rsidRPr="009D00A3" w:rsidRDefault="009D00A3">
            <w:pPr>
              <w:pStyle w:val="a3"/>
            </w:pPr>
            <w:r w:rsidRPr="009D00A3">
              <w:t>55,49</w:t>
            </w:r>
          </w:p>
          <w:p w:rsidR="007B6863" w:rsidRPr="009D00A3" w:rsidRDefault="009D00A3">
            <w:pPr>
              <w:pStyle w:val="a3"/>
            </w:pPr>
            <w:r w:rsidRPr="009D00A3">
              <w:t>121,30</w:t>
            </w:r>
          </w:p>
        </w:tc>
        <w:tc>
          <w:tcPr>
            <w:tcW w:w="0" w:type="auto"/>
            <w:vAlign w:val="center"/>
            <w:hideMark/>
          </w:tcPr>
          <w:p w:rsidR="007B6863" w:rsidRDefault="009D00A3">
            <w:r>
              <w:t>6,00-14,10</w:t>
            </w:r>
          </w:p>
        </w:tc>
      </w:tr>
    </w:tbl>
    <w:p w:rsidR="007B6863" w:rsidRPr="009D00A3" w:rsidRDefault="009D00A3">
      <w:pPr>
        <w:pStyle w:val="a3"/>
      </w:pPr>
      <w:r>
        <w:t>Отказ от комбинированной системы осушения, которая была запроектирована институтом ВИОГЕМ, определяет дальнейшие особенности ведения горных работ в условиях Яковлевского месторождения. В соответствии с новыми техническими решениями по защите рудника от подземных вод предполагается все дренажные мероприятия осуществлять и развивать только в руднокристаллическом водоносном комплексе, то есть фактически не затрагивая нижнекаменноугольный водоносный комплекс. Наличие высоконапорного (Н=400-450 м) нижнекаменноугольного водоносного комплекса в кровле рудного тела позволяет в данных условиях классифицировать отрабатываемое месторождение, как месторождение, работы на котором осуществляются под водным объектом. Соответственно в данных условиях возможно проявление и развитие опасных инженерногеологических процессов [3,4].</w:t>
      </w:r>
    </w:p>
    <w:p w:rsidR="007B6863" w:rsidRDefault="009D00A3">
      <w:pPr>
        <w:pStyle w:val="a3"/>
      </w:pPr>
      <w:r>
        <w:t>Безопасность ведения горных работ требует осушения нижнекаменноугольного водоносного комплекса, снятия высоких гидростатических напоров на кровлю руднокристаллической толщи, но по экономическим соображениям содержание системы водопонижающих скважин с поверхности земли потребует весьма значительных эксплуатационных затрат на откачку воды. В связи с этим, естественный предохранительный целик обеспечивает некий паритет в решении данного вопроса, позволяет достаточно надежно, при выполнении определенного комплекса мероприятий, обеспечить изоляцию вод карбона от зоны ведения горно-капитальных, подготовительных и очистных работ.</w:t>
      </w:r>
    </w:p>
    <w:p w:rsidR="007B6863" w:rsidRDefault="009D00A3">
      <w:pPr>
        <w:pStyle w:val="a3"/>
      </w:pPr>
      <w:r>
        <w:t>Ведение горных работ на Яковлевском руднике под неосушенным нижнекарбоновым водоносным комплексом следует рассматривать с позиций полного исключения прорывов подземных вод из вышерасположенного водоносного комплекса. Вместе с тем, в НИЦ НТУ «НОВОТЭК» подчеркивается, что экстремальный водоприток из предполагаемой зоны дробления может достигать 1000 м /ч, что не исключает развития плывунных свойств в руде на отдельных участках месторождения, не защищенных защитным целиком.</w:t>
      </w:r>
    </w:p>
    <w:p w:rsidR="007B6863" w:rsidRDefault="009D00A3">
      <w:pPr>
        <w:pStyle w:val="a3"/>
      </w:pPr>
      <w:r>
        <w:t>Комплекс вопросов, связанных с развитием возможных опасных инженерно-геологических процессов и явлений, представляется весьма неоднозначным и сложным. По некоторым негативным проявлениям изменений физико-механических и инженерно-геологических свойств горных пород, развитию явлений, связанных с техногенной нагрузкой на горный массив при ведении горно-капитальных, горно-подготовительных и добычных работ отсутствуют отечественные, зарубежные и мировые аналоги. При завершении строительства и дальнейшей отработке месторождения проявление любых возможных негативных процессов и явлений отрицательно скажется на безопасности работ, объемах добычи полезного ископаемого, экономической эффективности предприятия.</w:t>
      </w:r>
    </w:p>
    <w:p w:rsidR="007B6863" w:rsidRDefault="009D00A3">
      <w:pPr>
        <w:pStyle w:val="a3"/>
      </w:pPr>
      <w:r>
        <w:t>В связи с вышеизложенным, в обязательном порядке для Яковлевского месторождения необходимо проведение систематических, непрерывных, методически правильно поставленных качественных гидрогеомеханических наблюдений за состоянием горного массива и водопроявлениями, то есть создание и выполнение постоянно действующей системы мониторинга, охватывающего как подземные горные выработки, так и дневную поверхность рудника. Комплекс работ по наблюдениям должен охватывать весь период отработки месторождения по полной отработке полезного ископаемого, включая период ликвидации либо консервации шахты [3].</w:t>
      </w:r>
    </w:p>
    <w:p w:rsidR="007B6863" w:rsidRDefault="009D00A3">
      <w:pPr>
        <w:pStyle w:val="a3"/>
      </w:pPr>
      <w:r>
        <w:t>Список литературы</w:t>
      </w:r>
    </w:p>
    <w:p w:rsidR="007B6863" w:rsidRDefault="009D00A3">
      <w:pPr>
        <w:pStyle w:val="a3"/>
      </w:pPr>
      <w:r>
        <w:t>Геология, гидрогеология и железные руды бассейна КМА: том II / под ред. Д.Н. Утехина, В.Д. Полищук, А.Т. Бобрышева. - М.: изд-во Недра, 1972.</w:t>
      </w:r>
    </w:p>
    <w:p w:rsidR="007B6863" w:rsidRDefault="009D00A3">
      <w:pPr>
        <w:pStyle w:val="a3"/>
      </w:pPr>
      <w:r>
        <w:t>Горная промышленность Белгородской области. Учебное пособие. / В.Я. Анцибор, М.М. Яковчук. - Белгород: изд-во БелГУ, 2002.</w:t>
      </w:r>
    </w:p>
    <w:p w:rsidR="007B6863" w:rsidRDefault="009D00A3">
      <w:pPr>
        <w:pStyle w:val="a3"/>
      </w:pPr>
      <w:r>
        <w:t>Изучение характера деформаций пород под влиянием осушения. /Чуйко В.М. - Белгород: ВИОГЕМ, 1976.</w:t>
      </w:r>
    </w:p>
    <w:p w:rsidR="007B6863" w:rsidRDefault="009D00A3">
      <w:pPr>
        <w:pStyle w:val="a3"/>
      </w:pPr>
      <w:r>
        <w:t>Гидрогеологические иинженерно-геологическиеусловия железорудных месторождений КМА. / И.Н. Павлов, СП. Прохоров - М.: ГОСГЕОЛТЕХИЗДАТ, 1959.</w:t>
      </w:r>
      <w:bookmarkStart w:id="0" w:name="_GoBack"/>
      <w:bookmarkEnd w:id="0"/>
    </w:p>
    <w:sectPr w:rsidR="007B68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0A3"/>
    <w:rsid w:val="00705FF3"/>
    <w:rsid w:val="007B6863"/>
    <w:rsid w:val="009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B335B-A7FF-4124-9AF3-0CD3B94D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1485</Words>
  <Characters>8466</Characters>
  <Application>Microsoft Office Word</Application>
  <DocSecurity>0</DocSecurity>
  <Lines>70</Lines>
  <Paragraphs>19</Paragraphs>
  <ScaleCrop>false</ScaleCrop>
  <Company>diakov.net</Company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Гидрогеологические и инженерногеологические особенности разработки Яковлевского железорудного месторождения</dc:title>
  <dc:subject/>
  <dc:creator>Irina</dc:creator>
  <cp:keywords/>
  <dc:description/>
  <cp:lastModifiedBy>Irina</cp:lastModifiedBy>
  <cp:revision>2</cp:revision>
  <dcterms:created xsi:type="dcterms:W3CDTF">2014-07-19T02:01:00Z</dcterms:created>
  <dcterms:modified xsi:type="dcterms:W3CDTF">2014-07-19T02:01:00Z</dcterms:modified>
</cp:coreProperties>
</file>