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61" w:rsidRDefault="00F62061" w:rsidP="002C4A17">
      <w:pPr>
        <w:pStyle w:val="2"/>
        <w:spacing w:line="240" w:lineRule="auto"/>
        <w:ind w:left="-1260" w:right="-365"/>
        <w:jc w:val="both"/>
        <w:rPr>
          <w:i/>
          <w:iCs/>
          <w:sz w:val="24"/>
          <w:szCs w:val="24"/>
        </w:rPr>
      </w:pPr>
    </w:p>
    <w:p w:rsidR="002C4A17" w:rsidRPr="002C4A17" w:rsidRDefault="002C4A17" w:rsidP="002C4A17">
      <w:pPr>
        <w:pStyle w:val="2"/>
        <w:spacing w:line="240" w:lineRule="auto"/>
        <w:ind w:left="-1260" w:right="-365"/>
        <w:jc w:val="both"/>
        <w:rPr>
          <w:i/>
          <w:iCs/>
          <w:sz w:val="24"/>
          <w:szCs w:val="24"/>
        </w:rPr>
      </w:pPr>
      <w:r w:rsidRPr="002C4A17">
        <w:rPr>
          <w:i/>
          <w:iCs/>
          <w:sz w:val="24"/>
          <w:szCs w:val="24"/>
        </w:rPr>
        <w:t>1.3. СРАВНЕНИЕ ЭКОНОМИЧЕСКИХ СИСТЕМ ПО СПОСОБУ АЛЛОКАЦИИ РЕСУРСОВ</w:t>
      </w:r>
    </w:p>
    <w:p w:rsidR="002C4A17" w:rsidRPr="002C4A17" w:rsidRDefault="002C4A17" w:rsidP="002C4A17">
      <w:pPr>
        <w:pStyle w:val="2"/>
        <w:ind w:left="-1260" w:right="-365"/>
        <w:jc w:val="both"/>
        <w:rPr>
          <w:b w:val="0"/>
          <w:bCs w:val="0"/>
        </w:rPr>
      </w:pPr>
      <w:r w:rsidRPr="002C4A17">
        <w:rPr>
          <w:b w:val="0"/>
          <w:bCs w:val="0"/>
        </w:rPr>
        <w:t xml:space="preserve">Различные типы экономических систем явным образом отличаются друг от друга способами аллокации ресурсов. Эти различия во многом зависят от существующей материальной основы производства (уровня развития производительных сил). 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 xml:space="preserve">Для экономики беднейших развивающихся стран, опирающихся во многом на архаические структуры (или значимые пережитки) общинной организации ручного сельскохозяйственного и ремесленного производства, носящего преимущественно натуральный характер, главенствующим в этой сфере способом аллокации ресурсов выступает </w:t>
      </w:r>
      <w:r w:rsidRPr="002C4A17">
        <w:rPr>
          <w:b w:val="0"/>
          <w:bCs w:val="0"/>
          <w:i/>
          <w:iCs/>
        </w:rPr>
        <w:t>традиция</w:t>
      </w:r>
      <w:r w:rsidRPr="002C4A17">
        <w:rPr>
          <w:b w:val="0"/>
          <w:bCs w:val="0"/>
        </w:rPr>
        <w:t xml:space="preserve">. В сфере интенсивного товарного сельского хозяйства и индустрии на первое место выходят </w:t>
      </w:r>
      <w:r w:rsidRPr="002C4A17">
        <w:rPr>
          <w:b w:val="0"/>
          <w:bCs w:val="0"/>
          <w:i/>
          <w:iCs/>
        </w:rPr>
        <w:t>рыночные формы</w:t>
      </w:r>
      <w:r w:rsidRPr="002C4A17">
        <w:rPr>
          <w:b w:val="0"/>
          <w:bCs w:val="0"/>
        </w:rPr>
        <w:t xml:space="preserve"> аллокации ресурсов. Однако эти формы в значительной мере </w:t>
      </w:r>
      <w:r w:rsidRPr="002C4A17">
        <w:rPr>
          <w:b w:val="0"/>
          <w:bCs w:val="0"/>
          <w:i/>
          <w:iCs/>
        </w:rPr>
        <w:t>подвержены влиянию пережитков дорыночных и внеэкономических форм</w:t>
      </w:r>
      <w:r w:rsidRPr="002C4A17">
        <w:rPr>
          <w:b w:val="0"/>
          <w:bCs w:val="0"/>
        </w:rPr>
        <w:t xml:space="preserve">, исторически унаследованных от </w:t>
      </w:r>
      <w:r w:rsidRPr="002C4A17">
        <w:rPr>
          <w:b w:val="0"/>
          <w:bCs w:val="0"/>
          <w:i/>
          <w:iCs/>
        </w:rPr>
        <w:t>колониальной эпохи</w:t>
      </w:r>
      <w:r w:rsidRPr="002C4A17">
        <w:rPr>
          <w:b w:val="0"/>
          <w:bCs w:val="0"/>
        </w:rPr>
        <w:t xml:space="preserve"> и (или) от </w:t>
      </w:r>
      <w:r w:rsidRPr="002C4A17">
        <w:rPr>
          <w:b w:val="0"/>
          <w:bCs w:val="0"/>
          <w:i/>
          <w:iCs/>
        </w:rPr>
        <w:t>восточного деспотизма</w:t>
      </w:r>
      <w:r w:rsidRPr="002C4A17">
        <w:rPr>
          <w:b w:val="0"/>
          <w:bCs w:val="0"/>
        </w:rPr>
        <w:t>. Речь идет о гипертрофии бюрократического вмешательства в экономику, о коррупции, о значительной роли теневой и прямо криминальной экономической деятельности, искажающих действие рыночных механизмов.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>Для развивающихся стран с промежуточной моделью экономической системы удельный вес дорыночных механизмов аллокации ресурсов относительно ниже. Но им приходится сталкиваться с теми же проблемами в сфере рыночных форм аллокации ресурсов, что и наименее развитым странам.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>Новые индустриальные страны 2-го эшелона в общем имеют дело с теми же самыми проблемами, но их характерной особенностью является способность найти более или менее действенные способы преодоления негативных явлений в сфере рыночной аллокации ресурсов. Для НИС 1-го эшелона большая часть данных проблем так или иначе осталась в прошлом и они уже выстраивают рыночные формы аллокации ресурсов и соответствующие им институты по образцу развитых капиталистических государств.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 xml:space="preserve">В государствах с развитой капиталистической рыночной экономикой </w:t>
      </w:r>
      <w:r w:rsidRPr="002C4A17">
        <w:rPr>
          <w:b w:val="0"/>
          <w:bCs w:val="0"/>
          <w:i/>
          <w:iCs/>
        </w:rPr>
        <w:t>рыночный способ аллокации ресурсов является господствующим</w:t>
      </w:r>
      <w:r w:rsidRPr="002C4A17">
        <w:rPr>
          <w:b w:val="0"/>
          <w:bCs w:val="0"/>
        </w:rPr>
        <w:t xml:space="preserve">. Рыночные отношения в этих странах имеют сложную структуру, отражая разные ступени эволюции рынка и рыночных институтов в капиталистическом хозяйстве. Кроме того, существенную роль играет государственное и общественное регулирование рыночных отношений. Определенную значимость в последнее время приобретают и </w:t>
      </w:r>
      <w:r w:rsidRPr="002C4A17">
        <w:rPr>
          <w:b w:val="0"/>
          <w:bCs w:val="0"/>
          <w:i/>
          <w:iCs/>
        </w:rPr>
        <w:t>внерыночные и пострыночные формы аллокации ресурсов</w:t>
      </w:r>
      <w:r w:rsidRPr="002C4A17">
        <w:rPr>
          <w:b w:val="0"/>
          <w:bCs w:val="0"/>
        </w:rPr>
        <w:t>, хотя они ни в коей мере не могут претендовать на определяющее влияние. Факты такого рода можно найти в сфере деятельности неправительственных организаций, где используется значительный массив добровольного неоплачиваемого труда; в сфере креативной деятельности, где по меньшей мере часть ресурсов распределяется не на основе рыночной эффективности, а на основе учета творческих мотивов деятельности; в информационной сфере, где растет значение бесплатно распространяемой информации и т.д.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 xml:space="preserve">В определенной мере в развитых странах можно встретиться и с </w:t>
      </w:r>
      <w:r w:rsidRPr="002C4A17">
        <w:rPr>
          <w:b w:val="0"/>
          <w:bCs w:val="0"/>
          <w:i/>
          <w:iCs/>
        </w:rPr>
        <w:t>архаическими формами аллокации ресурсов либо с их пережитками</w:t>
      </w:r>
      <w:r w:rsidRPr="002C4A17">
        <w:rPr>
          <w:b w:val="0"/>
          <w:bCs w:val="0"/>
        </w:rPr>
        <w:t xml:space="preserve">. Например, аллокация ресурсов внутри </w:t>
      </w:r>
      <w:r w:rsidRPr="002C4A17">
        <w:rPr>
          <w:b w:val="0"/>
          <w:bCs w:val="0"/>
          <w:i/>
          <w:iCs/>
        </w:rPr>
        <w:t>семейного хозяйства</w:t>
      </w:r>
      <w:r w:rsidRPr="002C4A17">
        <w:rPr>
          <w:b w:val="0"/>
          <w:bCs w:val="0"/>
        </w:rPr>
        <w:t xml:space="preserve"> не полностью подчиняется рыночным формам, а несет на себе существенный отпечаток пережитков отношений, свойственных патриархальной семье (хотя сама эта форма семьи подвергается прогрессирующему разложению).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 xml:space="preserve">Страны с трансформационной (переходной) экономикой демонстрируют сложное сочетание зрелых и незрелых институтов рыночного регулирования, обремененных остаточными элементами того способа аллокации ресурсов, который был свойственен плановому хозяйству. Эта ситуация складывается объективно, </w:t>
      </w:r>
      <w:r w:rsidRPr="002C4A17">
        <w:rPr>
          <w:b w:val="0"/>
          <w:bCs w:val="0"/>
          <w:i/>
          <w:iCs/>
        </w:rPr>
        <w:t>в силу невозможности в сжатые исторические сроки сформировать зрелые институты современного рыночного хозяйства</w:t>
      </w:r>
      <w:r w:rsidRPr="002C4A17">
        <w:rPr>
          <w:b w:val="0"/>
          <w:bCs w:val="0"/>
        </w:rPr>
        <w:t xml:space="preserve"> (особенно, если для этого предварительно не сложились достаточные предпосылки). Кроме того, для многих стран с трансформационной экономикой, сталкивающихся со сложностями в формировании полноценной эффективной системы рыночной аллокации ресурсов, свойственны проблемы, схожие с проблемами развивающихся стран. </w:t>
      </w:r>
      <w:r w:rsidRPr="002C4A17">
        <w:rPr>
          <w:b w:val="0"/>
          <w:bCs w:val="0"/>
          <w:i/>
          <w:iCs/>
        </w:rPr>
        <w:t>Ситуация не полного разложения прежних форм хозяйства в сочетании с недостаточной зрелостью новых рыночных форм</w:t>
      </w:r>
      <w:r w:rsidRPr="002C4A17">
        <w:rPr>
          <w:b w:val="0"/>
          <w:bCs w:val="0"/>
        </w:rPr>
        <w:t>, и связанный с этим культурный конфликт и  конфликт традиционного менталитета, также способствуют развитию явлений, подобных коррупции, теневой экономике, маргинального экономического поведения и т.д. Эти проблемы, естественно, создают препятствия на пути эффективной аллокации ресурсов.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 xml:space="preserve">Итак, мы видим, что разные типы экономических систем демонстрируют нам широкий спектр форм аллокации ресурсов, отражающий </w:t>
      </w:r>
      <w:r w:rsidRPr="002C4A17">
        <w:rPr>
          <w:b w:val="0"/>
          <w:bCs w:val="0"/>
          <w:i/>
          <w:iCs/>
        </w:rPr>
        <w:t>весь путь исторической эволюции этих форм от традиционного натурального хозяйства через различные формы рыночного к пострыночному</w:t>
      </w:r>
      <w:r w:rsidRPr="002C4A17">
        <w:rPr>
          <w:b w:val="0"/>
          <w:bCs w:val="0"/>
        </w:rPr>
        <w:t xml:space="preserve">. При этом следует учитывать многообразие форм (и ступеней исторической эволюции) как традиционных форм аллокации ресурсов, основанных на натуральном хозяйстве, так и рыночных форм. При этом многие из данных форм </w:t>
      </w:r>
      <w:r w:rsidRPr="002C4A17">
        <w:rPr>
          <w:b w:val="0"/>
          <w:bCs w:val="0"/>
          <w:i/>
          <w:iCs/>
        </w:rPr>
        <w:t>проявляют себя не в «классическом» виде, а в виде пережитков, либо находятся на разных стадиях своего разложения</w:t>
      </w:r>
      <w:r w:rsidRPr="002C4A17">
        <w:rPr>
          <w:b w:val="0"/>
          <w:bCs w:val="0"/>
        </w:rPr>
        <w:t>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>Следует избегать заблуждения, что само по себе наличие архаических или относительно менее зрелых форм аллокации ресурсов однозначно свидетельствует об их неэффективности. Бессмысленно регулировать мотыжное земледелие в Экваториальной Африке через инструменты современного фондового рынка, или требовать от горнодобывающей промышленности в Боливии или Колумбии следования европейским стандартам рекультивации земель. Как раз наоборот – попытка подчинить подобные хозяйственные уклады современным формам высокоразвитой рыночной экономики, разрушив те формы, которые представляются архаическими, приводит к неизбежному упадку, а подчас и гибели такого хозяйства.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 xml:space="preserve">Проблема как раз и заключается </w:t>
      </w:r>
      <w:r w:rsidRPr="002C4A17">
        <w:rPr>
          <w:b w:val="0"/>
          <w:bCs w:val="0"/>
          <w:i/>
          <w:iCs/>
        </w:rPr>
        <w:t>в неэффективном сочетании архаичных и современных критериев аллокации ресурсов</w:t>
      </w:r>
      <w:r w:rsidRPr="002C4A17">
        <w:rPr>
          <w:b w:val="0"/>
          <w:bCs w:val="0"/>
        </w:rPr>
        <w:t>. Может происходить: 1) подрыв старых форм регуляции экономической деятельности при неспособности новых (современных рыночных) обеспечить эффективное воспроизводство в данном секторе экономики; 2) превращение пережитков старых форм регулирования экономики в паразитические наросты на рыночных формах аллокации ресурсов.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>Одним из исторических примеров первого случая является переход ряда охотничьих племен североамериканских индейцев к интенсивной добыче пушнины под воздействием массовой скупки пушнины европейскими колонистами и получения доступа к огнестрельному оружию. Этот экономический (развитие рыночных отношений) и технический (доступ к огнестрельному оружию) прогресс привел к таким последствиям, как истощение ресурсов пушнины на традиционных охотничьих угодьях, приведшее к внешней экспансии и кровавым столкновениям с соседними племенами, а также резкое сокращение охотничьего промысла для добычи продовольствия, что привело к массовым голодовкам и вымиранию целых общин.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>К схожим последствиям нередко приводит рост товарности традиционного полунатурального сельского хозяйства: происходит переход к монокультуре, подрывающий продовольственную безопасность; либо начинается интенсивное истощение плодородия почвы; либо разорение крестьянства, не выдерживающего рыночной конкуренции с импортными сельскохозяйственными продуктами.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 xml:space="preserve">Второй случай – это уже неоднократно упоминавшееся развитие форм внеэкономического вмешательства в хозяйственную деятельность, как способа реализации интересов господствующих классов через бюрократический контроль и коррупцию. 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>Широко распространенная теневая экономика как раз и является следствием невозможности вовлечения хозяйственных ресурсов в эффективное использование на основе сложившихся легальных рыночных форм аллокации ресурсов, и развития в результате нелегальной занятости и нелегального производства.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 xml:space="preserve">Поэтому </w:t>
      </w:r>
      <w:r w:rsidRPr="002C4A17">
        <w:rPr>
          <w:b w:val="0"/>
          <w:bCs w:val="0"/>
          <w:i/>
          <w:iCs/>
        </w:rPr>
        <w:t>проблема перехода от архаичных форм аллокации ресурсов к современным не может решаться просто путем навязывания отсталым хозяйственным укладам стандартов современной капиталистической экономики</w:t>
      </w:r>
      <w:r w:rsidRPr="002C4A17">
        <w:rPr>
          <w:b w:val="0"/>
          <w:bCs w:val="0"/>
        </w:rPr>
        <w:t xml:space="preserve">. Нужен путь постепенного преобразования архаических форм, учитывающий: 1) этнокультурные и цивилизационные особенности соответствующих стран и народов; 2) необходимость поиска соответствия эволюции уровня развития материальных условий производства и форм аллокации ресурсов; 3) длительность процесса формирования соответствующих институтов и необходимость обеспечивать их совместимость со сложившейся системой социально-экономических отношений. </w:t>
      </w:r>
    </w:p>
    <w:p w:rsidR="002C4A17" w:rsidRPr="002C4A17" w:rsidRDefault="002C4A17" w:rsidP="002C4A17">
      <w:pPr>
        <w:pStyle w:val="2"/>
        <w:ind w:left="-1260" w:right="-365" w:firstLine="709"/>
        <w:jc w:val="both"/>
        <w:rPr>
          <w:b w:val="0"/>
          <w:bCs w:val="0"/>
        </w:rPr>
      </w:pPr>
      <w:r w:rsidRPr="002C4A17">
        <w:rPr>
          <w:b w:val="0"/>
          <w:bCs w:val="0"/>
        </w:rPr>
        <w:t>Рассматривая современные рыночные формы аллокации ресурсов как наиболее эффективные, не стоит абсолютизировать этот подход и относиться к ним как к раз и навсегда достигнутому и абсолютно завершенному идеалу. Эти формы аллокации ресурсов, несмотря на их очевидную эффективность, также обременены определенными недостатками (например, развитие нерационального, расточительного потребления; неспособность адекватного выделения ресурсов на решение экологических проблем; ограниченность мотивации развития творческих способностей человека и т.п.) и претерпевают историческую эволюцию, ведущую, в конечном счете, к формированию пострыночных форм.</w:t>
      </w:r>
      <w:bookmarkStart w:id="0" w:name="_GoBack"/>
      <w:bookmarkEnd w:id="0"/>
    </w:p>
    <w:sectPr w:rsidR="002C4A17" w:rsidRPr="002C4A1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6AD" w:rsidRDefault="001656AD">
      <w:r>
        <w:separator/>
      </w:r>
    </w:p>
  </w:endnote>
  <w:endnote w:type="continuationSeparator" w:id="0">
    <w:p w:rsidR="001656AD" w:rsidRDefault="0016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A17" w:rsidRDefault="002C4A17" w:rsidP="001656A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4A17" w:rsidRDefault="002C4A17" w:rsidP="002C4A1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A17" w:rsidRDefault="002C4A17" w:rsidP="001656A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2061">
      <w:rPr>
        <w:rStyle w:val="a4"/>
        <w:noProof/>
      </w:rPr>
      <w:t>1</w:t>
    </w:r>
    <w:r>
      <w:rPr>
        <w:rStyle w:val="a4"/>
      </w:rPr>
      <w:fldChar w:fldCharType="end"/>
    </w:r>
  </w:p>
  <w:p w:rsidR="002C4A17" w:rsidRDefault="002C4A17" w:rsidP="002C4A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6AD" w:rsidRDefault="001656AD">
      <w:r>
        <w:separator/>
      </w:r>
    </w:p>
  </w:footnote>
  <w:footnote w:type="continuationSeparator" w:id="0">
    <w:p w:rsidR="001656AD" w:rsidRDefault="00165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A17"/>
    <w:rsid w:val="001656AD"/>
    <w:rsid w:val="001C0B50"/>
    <w:rsid w:val="002C4A17"/>
    <w:rsid w:val="002D54A7"/>
    <w:rsid w:val="00302971"/>
    <w:rsid w:val="00420713"/>
    <w:rsid w:val="004579F1"/>
    <w:rsid w:val="00460978"/>
    <w:rsid w:val="004C78A0"/>
    <w:rsid w:val="0050355C"/>
    <w:rsid w:val="007263D6"/>
    <w:rsid w:val="0078357E"/>
    <w:rsid w:val="007F704B"/>
    <w:rsid w:val="008E4C66"/>
    <w:rsid w:val="0098251B"/>
    <w:rsid w:val="009D66F9"/>
    <w:rsid w:val="00A874C2"/>
    <w:rsid w:val="00B748EC"/>
    <w:rsid w:val="00C1095F"/>
    <w:rsid w:val="00C67978"/>
    <w:rsid w:val="00E05A53"/>
    <w:rsid w:val="00E15E6B"/>
    <w:rsid w:val="00E36AEE"/>
    <w:rsid w:val="00F32181"/>
    <w:rsid w:val="00F6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D8258-B2F4-48FB-A93F-CB1A0A00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2C4A17"/>
    <w:pPr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rsid w:val="002C4A1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Jay</dc:creator>
  <cp:keywords/>
  <dc:description/>
  <cp:lastModifiedBy>Irina</cp:lastModifiedBy>
  <cp:revision>2</cp:revision>
  <dcterms:created xsi:type="dcterms:W3CDTF">2014-08-15T15:31:00Z</dcterms:created>
  <dcterms:modified xsi:type="dcterms:W3CDTF">2014-08-15T15:31:00Z</dcterms:modified>
</cp:coreProperties>
</file>