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40F6C" w:rsidRDefault="00B40F6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02E7C" w:rsidRPr="00502E7C" w:rsidRDefault="00502E7C" w:rsidP="00502E7C">
      <w:pPr>
        <w:tabs>
          <w:tab w:val="left" w:pos="5245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bCs/>
          <w:iCs/>
          <w:sz w:val="28"/>
          <w:szCs w:val="28"/>
        </w:rPr>
        <w:t>Оценка</w:t>
      </w:r>
      <w:r>
        <w:rPr>
          <w:rFonts w:ascii="Times New Roman" w:hAnsi="Times New Roman"/>
          <w:bCs/>
          <w:iCs/>
          <w:caps/>
          <w:sz w:val="28"/>
          <w:szCs w:val="28"/>
        </w:rPr>
        <w:t xml:space="preserve"> </w:t>
      </w:r>
      <w:r w:rsidRPr="00502E7C">
        <w:rPr>
          <w:rFonts w:ascii="Times New Roman" w:hAnsi="Times New Roman"/>
          <w:bCs/>
          <w:iCs/>
          <w:sz w:val="28"/>
          <w:szCs w:val="28"/>
        </w:rPr>
        <w:t>экономической</w:t>
      </w:r>
      <w:r>
        <w:rPr>
          <w:rFonts w:ascii="Times New Roman" w:hAnsi="Times New Roman"/>
          <w:bCs/>
          <w:iCs/>
          <w:caps/>
          <w:sz w:val="28"/>
          <w:szCs w:val="28"/>
        </w:rPr>
        <w:t xml:space="preserve"> </w:t>
      </w:r>
      <w:r w:rsidRPr="00502E7C">
        <w:rPr>
          <w:rFonts w:ascii="Times New Roman" w:hAnsi="Times New Roman"/>
          <w:bCs/>
          <w:iCs/>
          <w:sz w:val="28"/>
          <w:szCs w:val="28"/>
        </w:rPr>
        <w:t>эффективности</w:t>
      </w:r>
      <w:r w:rsidRPr="00502E7C">
        <w:rPr>
          <w:rFonts w:ascii="Times New Roman" w:hAnsi="Times New Roman"/>
          <w:bCs/>
          <w:iCs/>
          <w:caps/>
          <w:sz w:val="28"/>
          <w:szCs w:val="28"/>
        </w:rPr>
        <w:t xml:space="preserve"> </w:t>
      </w:r>
      <w:r w:rsidRPr="00502E7C">
        <w:rPr>
          <w:rFonts w:ascii="Times New Roman" w:hAnsi="Times New Roman"/>
          <w:bCs/>
          <w:iCs/>
          <w:sz w:val="28"/>
          <w:szCs w:val="28"/>
        </w:rPr>
        <w:t>инвестиционного проекта</w:t>
      </w:r>
    </w:p>
    <w:p w:rsidR="00502E7C" w:rsidRPr="00502E7C" w:rsidRDefault="00502E7C" w:rsidP="00502E7C">
      <w:pPr>
        <w:tabs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E7C" w:rsidRDefault="00502E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2F7B" w:rsidRPr="00502E7C" w:rsidRDefault="00502E7C" w:rsidP="00502E7C">
      <w:pPr>
        <w:tabs>
          <w:tab w:val="left" w:pos="524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Содержание</w:t>
      </w:r>
    </w:p>
    <w:p w:rsidR="00012F7B" w:rsidRPr="00502E7C" w:rsidRDefault="00012F7B" w:rsidP="00502E7C">
      <w:pPr>
        <w:tabs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2F7B" w:rsidRPr="00502E7C" w:rsidRDefault="00502E7C" w:rsidP="00502E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Введение</w:t>
      </w:r>
    </w:p>
    <w:p w:rsidR="00012F7B" w:rsidRPr="00502E7C" w:rsidRDefault="00012F7B" w:rsidP="00502E7C">
      <w:pPr>
        <w:pStyle w:val="1"/>
        <w:spacing w:before="0" w:after="0"/>
        <w:jc w:val="both"/>
        <w:rPr>
          <w:caps w:val="0"/>
          <w:szCs w:val="28"/>
        </w:rPr>
      </w:pPr>
      <w:r w:rsidRPr="00502E7C">
        <w:rPr>
          <w:caps w:val="0"/>
          <w:szCs w:val="28"/>
        </w:rPr>
        <w:t>1. Инвестиции, их экономическая сущность и разновидности</w:t>
      </w:r>
    </w:p>
    <w:p w:rsidR="00012F7B" w:rsidRPr="00502E7C" w:rsidRDefault="00012F7B" w:rsidP="00502E7C">
      <w:pPr>
        <w:pStyle w:val="1"/>
        <w:spacing w:before="0" w:after="0"/>
        <w:jc w:val="both"/>
        <w:rPr>
          <w:caps w:val="0"/>
          <w:szCs w:val="28"/>
        </w:rPr>
      </w:pPr>
      <w:r w:rsidRPr="00502E7C">
        <w:rPr>
          <w:caps w:val="0"/>
          <w:szCs w:val="28"/>
        </w:rPr>
        <w:t>2. Расчет показателей эффективности Капитальных вложений</w:t>
      </w:r>
    </w:p>
    <w:p w:rsidR="00012F7B" w:rsidRPr="00502E7C" w:rsidRDefault="00012F7B" w:rsidP="00502E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2.1 Инвестирование денежных средств в действующее производство</w:t>
      </w:r>
    </w:p>
    <w:p w:rsidR="00012F7B" w:rsidRPr="00502E7C" w:rsidRDefault="00012F7B" w:rsidP="00502E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2.2</w:t>
      </w:r>
      <w:r w:rsidRPr="00502E7C">
        <w:rPr>
          <w:rFonts w:ascii="Times New Roman" w:hAnsi="Times New Roman"/>
          <w:sz w:val="28"/>
          <w:szCs w:val="28"/>
          <w:lang w:val="en-US"/>
        </w:rPr>
        <w:t> </w:t>
      </w:r>
      <w:r w:rsidRPr="00502E7C">
        <w:rPr>
          <w:rFonts w:ascii="Times New Roman" w:hAnsi="Times New Roman"/>
          <w:sz w:val="28"/>
          <w:szCs w:val="28"/>
        </w:rPr>
        <w:t>Оценка эффективности капитальных вложений в действующее производство</w:t>
      </w:r>
    </w:p>
    <w:p w:rsidR="00012F7B" w:rsidRPr="00502E7C" w:rsidRDefault="00012F7B" w:rsidP="00502E7C">
      <w:pPr>
        <w:pStyle w:val="1"/>
        <w:spacing w:before="0" w:after="0"/>
        <w:jc w:val="both"/>
        <w:rPr>
          <w:bCs/>
          <w:iCs/>
          <w:caps w:val="0"/>
          <w:color w:val="000000"/>
          <w:kern w:val="0"/>
          <w:szCs w:val="28"/>
        </w:rPr>
      </w:pPr>
      <w:r w:rsidRPr="00502E7C">
        <w:rPr>
          <w:bCs/>
          <w:iCs/>
          <w:caps w:val="0"/>
          <w:color w:val="000000"/>
          <w:kern w:val="0"/>
          <w:szCs w:val="28"/>
        </w:rPr>
        <w:t>2.3 Оценка эффективности капитальных вложений в новое производство, предполагающее выпуск новой номенклатуры</w:t>
      </w:r>
    </w:p>
    <w:p w:rsidR="00012F7B" w:rsidRPr="00502E7C" w:rsidRDefault="00012F7B" w:rsidP="00502E7C">
      <w:pPr>
        <w:pStyle w:val="content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color w:val="auto"/>
          <w:sz w:val="28"/>
          <w:szCs w:val="28"/>
        </w:rPr>
        <w:t xml:space="preserve">2.4 </w:t>
      </w:r>
      <w:r w:rsidRPr="00502E7C">
        <w:rPr>
          <w:rFonts w:ascii="Times New Roman" w:hAnsi="Times New Roman" w:cs="Times New Roman"/>
          <w:sz w:val="28"/>
          <w:szCs w:val="28"/>
        </w:rPr>
        <w:t>Инвестирование в производство п/ф на внедренном оборудовании</w:t>
      </w:r>
    </w:p>
    <w:p w:rsidR="00502E7C" w:rsidRDefault="00502E7C" w:rsidP="00502E7C">
      <w:pPr>
        <w:pStyle w:val="1"/>
        <w:spacing w:before="0" w:after="0"/>
        <w:jc w:val="both"/>
        <w:rPr>
          <w:caps w:val="0"/>
          <w:szCs w:val="28"/>
        </w:rPr>
      </w:pPr>
      <w:r w:rsidRPr="00502E7C">
        <w:rPr>
          <w:caps w:val="0"/>
          <w:szCs w:val="28"/>
        </w:rPr>
        <w:t>Заключение</w:t>
      </w:r>
    </w:p>
    <w:p w:rsidR="00012F7B" w:rsidRPr="00502E7C" w:rsidRDefault="00502E7C" w:rsidP="00502E7C">
      <w:pPr>
        <w:pStyle w:val="1"/>
        <w:spacing w:before="0" w:after="0"/>
        <w:jc w:val="both"/>
        <w:rPr>
          <w:caps w:val="0"/>
          <w:szCs w:val="28"/>
        </w:rPr>
      </w:pPr>
      <w:r w:rsidRPr="00502E7C">
        <w:rPr>
          <w:caps w:val="0"/>
          <w:szCs w:val="28"/>
        </w:rPr>
        <w:t>Библиографический список</w:t>
      </w:r>
    </w:p>
    <w:p w:rsidR="00012F7B" w:rsidRPr="00502E7C" w:rsidRDefault="00012F7B" w:rsidP="00502E7C">
      <w:pPr>
        <w:pStyle w:val="11"/>
        <w:ind w:firstLine="709"/>
        <w:rPr>
          <w:szCs w:val="28"/>
        </w:rPr>
      </w:pPr>
    </w:p>
    <w:p w:rsidR="00012F7B" w:rsidRPr="00502E7C" w:rsidRDefault="00012F7B" w:rsidP="00502E7C">
      <w:pPr>
        <w:pStyle w:val="11"/>
        <w:ind w:firstLine="709"/>
        <w:jc w:val="left"/>
        <w:rPr>
          <w:szCs w:val="28"/>
        </w:rPr>
      </w:pPr>
      <w:r w:rsidRPr="00502E7C">
        <w:rPr>
          <w:szCs w:val="28"/>
        </w:rPr>
        <w:br w:type="page"/>
      </w:r>
      <w:bookmarkStart w:id="0" w:name="_Toc199859694"/>
      <w:r w:rsidR="00502E7C" w:rsidRPr="00502E7C">
        <w:rPr>
          <w:szCs w:val="28"/>
        </w:rPr>
        <w:t>Введение</w:t>
      </w:r>
      <w:bookmarkEnd w:id="0"/>
    </w:p>
    <w:p w:rsidR="00502E7C" w:rsidRDefault="00502E7C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Процесс инвестирования играет важную роль в экономике любой страны. Инвестирование в значительной степени определяет экономический рост государства, занятость населения и составляет существенный элемент базы, на которой основывается экономическое развитие общества. Поэтому проблема, связанная с эффективным управлением инвестициями крайне актуальна, особенно в настоящее время, в связи с укрупнением субъектов рыночных отношений и передела собственности.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Инвестиции сегодня представляют собой применение финансовых ресурсов в форме долгосрочных вложений капитала (капиталовложений). Осуществление инвестиций протяженный во времени процесс.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Объектом курсовой работы являются: инвестиционный проект.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Таким образом, целью курсовой работы является оценить эффективность, финансовую реализуемость и степень риска запланированного на предприятии инвестиционного проекта. В соответствии с поставленной целью в работе, поставлены следующие задачи: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1. Рассмотреть происхождение, основные понятия, сущность и виды инвестиций;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2. Нормативно-правая база инвестирования в России;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3. Определить эффективность инвестиционного проекта;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4. Оценить эффективность капитальных вложений в новое производство;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5. Проанализировать целесообразность инвестирования в новое оборудование;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6. Оценить степень риска планируемого проекта.</w:t>
      </w:r>
    </w:p>
    <w:p w:rsidR="00012F7B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E7C" w:rsidRDefault="00502E7C">
      <w:pPr>
        <w:rPr>
          <w:rFonts w:ascii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2F7B" w:rsidRPr="00502E7C" w:rsidRDefault="00012F7B" w:rsidP="00502E7C">
      <w:pPr>
        <w:pStyle w:val="1"/>
        <w:spacing w:before="0" w:after="0"/>
        <w:ind w:firstLine="709"/>
        <w:jc w:val="left"/>
        <w:rPr>
          <w:szCs w:val="28"/>
        </w:rPr>
      </w:pPr>
      <w:r w:rsidRPr="00502E7C">
        <w:rPr>
          <w:szCs w:val="28"/>
        </w:rPr>
        <w:t xml:space="preserve">1. </w:t>
      </w:r>
      <w:r w:rsidR="00502E7C" w:rsidRPr="00502E7C">
        <w:rPr>
          <w:caps w:val="0"/>
          <w:szCs w:val="28"/>
        </w:rPr>
        <w:t>Инвестиции, их экономическая сущность и разновидности</w:t>
      </w:r>
    </w:p>
    <w:p w:rsidR="00502E7C" w:rsidRDefault="00502E7C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Исследование проблем инвестирования всегда находилось в центре экономической науки. Это обусловлено тем, что инвестиции затрагивают самые глубинные основы хозяйственной деятельности, определяя процесс экономического роста в целом.</w:t>
      </w:r>
    </w:p>
    <w:p w:rsidR="00012F7B" w:rsidRPr="00502E7C" w:rsidRDefault="00502E7C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 “</w:t>
      </w:r>
      <w:r w:rsidR="00012F7B" w:rsidRPr="00502E7C">
        <w:rPr>
          <w:rFonts w:ascii="Times New Roman" w:hAnsi="Times New Roman"/>
          <w:sz w:val="28"/>
          <w:szCs w:val="28"/>
        </w:rPr>
        <w:t>инвестиции</w:t>
      </w:r>
      <w:r w:rsidR="00DA000F">
        <w:rPr>
          <w:rFonts w:ascii="Times New Roman" w:hAnsi="Times New Roman"/>
          <w:sz w:val="28"/>
          <w:szCs w:val="28"/>
        </w:rPr>
        <w:t>”</w:t>
      </w:r>
      <w:r w:rsidR="00012F7B" w:rsidRPr="00502E7C">
        <w:rPr>
          <w:rFonts w:ascii="Times New Roman" w:hAnsi="Times New Roman"/>
          <w:sz w:val="28"/>
          <w:szCs w:val="28"/>
        </w:rPr>
        <w:t xml:space="preserve"> происходит от латинского слова </w:t>
      </w:r>
      <w:r w:rsidR="00012F7B" w:rsidRPr="00502E7C">
        <w:rPr>
          <w:rFonts w:ascii="Times New Roman" w:hAnsi="Times New Roman"/>
          <w:sz w:val="28"/>
          <w:szCs w:val="28"/>
          <w:lang w:val="en-US"/>
        </w:rPr>
        <w:t>Investire</w:t>
      </w:r>
      <w:r w:rsidR="00012F7B" w:rsidRPr="00502E7C">
        <w:rPr>
          <w:rFonts w:ascii="Times New Roman" w:hAnsi="Times New Roman"/>
          <w:sz w:val="28"/>
          <w:szCs w:val="28"/>
        </w:rPr>
        <w:t xml:space="preserve"> – облачать. В рамках централизованной плановой экономики он не использовался, а речь всегда шла о капитальных вложениях, т.е. о затратах, направляемых на производство основных фондов, их увеличении и совершенствовании. Под инвестициями подразумевалось долгосрочное вложение капитала в различные отрасли экономики, иными словами, инвестиции отождествлялись с капитальными вложениями. С началом осуществления в нашей стране рыночных преобразований точка зрения на содержание категории «инвестиции» изменилась, что нашло свое отражение в российском законодательстве,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соответствии с Феде</w:t>
      </w:r>
      <w:r w:rsidR="00DA000F">
        <w:rPr>
          <w:rFonts w:ascii="Times New Roman" w:hAnsi="Times New Roman"/>
          <w:sz w:val="28"/>
          <w:szCs w:val="28"/>
        </w:rPr>
        <w:t>ральным законом “</w:t>
      </w:r>
      <w:r w:rsidR="00012F7B" w:rsidRPr="00502E7C">
        <w:rPr>
          <w:rFonts w:ascii="Times New Roman" w:hAnsi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DA000F">
        <w:rPr>
          <w:rFonts w:ascii="Times New Roman" w:hAnsi="Times New Roman"/>
          <w:sz w:val="28"/>
          <w:szCs w:val="28"/>
        </w:rPr>
        <w:t>”</w:t>
      </w:r>
      <w:r w:rsidR="00012F7B" w:rsidRPr="00502E7C">
        <w:rPr>
          <w:rFonts w:ascii="Times New Roman" w:hAnsi="Times New Roman"/>
          <w:sz w:val="28"/>
          <w:szCs w:val="28"/>
        </w:rPr>
        <w:t xml:space="preserve"> № 39-ФЗ от 25.02.99.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Инвестиции – это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Также в федеральном законе дано определение инвестиционной деятельности – это вложение инвестиций и осуществление практических действий в целях получения прибыли и (или) достижения иного полезного эффекта.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Регулирование инвестиционной деятельности – это совокупность государственных подходов и решений, закрепленных законодательством, организационно-правовых норм, в рамках которых инвестор осуществляет свою деятельность.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Для осуществления инвестиционной деятельности, необходимо детально представлять существующие виды и типы инвестиций, для этого все инвестиции можно классифицировать по различным признакам.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1. В зависимости от объектов вложения капитала: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реальные (капиталообразующие) инвестиции представляют собой средства, направляемые на увеличение основных и/или оборотных средств в целях последующего получения каких-либо результатов (чаще всего – дохода);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К реальным инвестициям относятся вложения:</w:t>
      </w:r>
    </w:p>
    <w:p w:rsidR="00012F7B" w:rsidRPr="00502E7C" w:rsidRDefault="00012F7B" w:rsidP="00502E7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основной капитал – это капитальные вложения, которые осуществляются в форме вложения финансовых и материально-технических ресурсов в создание и воспроизводство основных фондов путем нового строительства, реконструкции, технического перевооружения, поддержание мощностей действующего производства; - это инвестиции в недвижимость (земля, а так же все, что находится под поверхностью земли, включая все объекты присоединенные к ней, независимо от того, имеют ли они природное происхождение или созданы руками человека.</w:t>
      </w:r>
    </w:p>
    <w:p w:rsidR="00012F7B" w:rsidRPr="00502E7C" w:rsidRDefault="00012F7B" w:rsidP="00502E7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материально-производственные запасы</w:t>
      </w:r>
    </w:p>
    <w:p w:rsidR="00012F7B" w:rsidRPr="00502E7C" w:rsidRDefault="00012F7B" w:rsidP="00502E7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нематериальные активы – это права пользование земельными участками, природными ресурсами, патенты, лицензии, ноу-хау, программные продукты, монопольные права, торговые марки, научно-исследовательские разработки, проектно-изыскательские работы.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финансовые – вложение денежных средств в различные финансовые активы: ценные бумаги, акции, облигации, паи, долевые участия, банковские депозиты и т.д.;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интеллектуальные – вложение капитала в производство путем покупки патентов, лицензий, ноу-хау, оплаты НИОКР, финансирование подготовки и переподготовки персонала.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 По характеру участия инвестора в инвестиционном процессе:</w:t>
      </w:r>
    </w:p>
    <w:p w:rsidR="00DA000F" w:rsidRDefault="00DA000F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прямые – непосредственное участие инвестора в выборе объектов и инструментов инвестирование и вложении капитала;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косвенные (непрямые) – инвестирование посредством других лиц, т.е. через инвестиционных или финансовых посредников.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3. По периоду инвестирования: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долгосрочные – это вложение капитала на период от трех и более лет;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среднесрочные – это вложения от одного до трех лет;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краткосрочные – это вложения на период одного года.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4. По региональному признаку: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внутренние (отечественные) – осуществляются в объекты инвестирование, находящиеся внутри страны;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внешние (зарубежные) – осуществляются в объекты инвестирование, находящиеся за ее пределами.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5. по формам собственности используемого инвестором капитала: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частные – представляют собой вложения капитала физическими и юридическими лицами негосударственной формы собственности.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государственные – вложение капитала, осуществляемые центральными и местными органами власти и управления за счет бюджетов, внебюджетных фондов и заемных средств, а так же вложения, осуществляемые государственными предприятиями за счет собственных и заемных средств.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совместные – осуществляются совместно субъектами страны и иностранных государств.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иностранные – вложение капитала нерезидентами (как юридическими, так и физическими лицами) в объекты и финансовые инструменты другого государства. В свою очередь иностранные инвестиции подразделяются на:</w:t>
      </w:r>
    </w:p>
    <w:p w:rsidR="00012F7B" w:rsidRPr="00502E7C" w:rsidRDefault="00012F7B" w:rsidP="00502E7C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прямые – вложение капитала, обеспечивающие контроль инвестора над зарубежными предприятиями.</w:t>
      </w:r>
    </w:p>
    <w:p w:rsidR="00012F7B" w:rsidRPr="00502E7C" w:rsidRDefault="00012F7B" w:rsidP="00502E7C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портфельные – вложение капитала в акции зарубежных предприятий (без приобретения контрольного пакета), облигации, другие ценные бумаги иностранных государств, международных валютно-кредитных организаций, еврооблигации с целью получения повышенного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дохода на капитал за счет налоговых льгот, изменения валютного курса и т.д.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 xml:space="preserve">Подавляющая часть реальных инвестиции представляют собой капитальные вложения. В Федеральном законе от 25 февраля </w:t>
      </w:r>
      <w:smartTag w:uri="urn:schemas-microsoft-com:office:smarttags" w:element="metricconverter">
        <w:smartTagPr>
          <w:attr w:name="ProductID" w:val="1999 г"/>
        </w:smartTagPr>
        <w:r w:rsidRPr="00502E7C">
          <w:rPr>
            <w:rFonts w:ascii="Times New Roman" w:hAnsi="Times New Roman"/>
            <w:sz w:val="28"/>
            <w:szCs w:val="28"/>
          </w:rPr>
          <w:t>1999 г</w:t>
        </w:r>
      </w:smartTag>
      <w:r w:rsidRPr="00502E7C">
        <w:rPr>
          <w:rFonts w:ascii="Times New Roman" w:hAnsi="Times New Roman"/>
          <w:sz w:val="28"/>
          <w:szCs w:val="28"/>
        </w:rPr>
        <w:t>. №39-ФЗ «Об инвестиционной деятельности в Российской Федерации, осуществляемой в форме капитальных вложений» дается определение понятия капитальных вложений: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Капитальные вложения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- инвестиции в основной капитал (основные средства), в том числе затраты на новое строительство, расширение, реконструкцию и техническое перевооружение действующих предприятий, приобретение машин, оборудование, инструмента, инвентаря, проектно-изыскательские работы и другие затраты.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Значение состава и структуры капитальных вложений позволяет представить их более детально, получать объективную информацию о динамике капитальных вложений, определять тенденции их изменения и на этой основе формировать эффективную инвестиционную политику и влиять на ее реализацию на конкретном предприятии.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Состав и структура капитальных вложений зависят: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1. От формы собственности: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государственные капитальные вложения;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капитальные вложения собственников (акционерных обществ, товариществ и др.)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Реализация государственных капитальных вложений тесно связана с инвестиционной политикой государства, а реализация капитальных вложений других собственников – с конкретной инвестиционной политикой.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Государственные капитальные вложения по источникам финансирования подразделяются на:</w:t>
      </w:r>
    </w:p>
    <w:p w:rsidR="00012F7B" w:rsidRPr="00502E7C" w:rsidRDefault="00012F7B" w:rsidP="00502E7C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централизованные государственные капитальные вложения – осуществляются государством, как правило, в новое строительство и крупномасштабное расширение производства и финансируются главным образом за счет бюджета и внебюджетных фондов.</w:t>
      </w:r>
    </w:p>
    <w:p w:rsidR="00012F7B" w:rsidRPr="00502E7C" w:rsidRDefault="00012F7B" w:rsidP="00502E7C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нецентрализованные государственные капитальные вложения осуществляются государственными предприятиями и организациями, планируются ими самостоятельно и реализуются по своему усмотрению за счет собственных и заемных средств.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 По характеру воспроизводства основных фондов различают капитальные вложения, направляемые: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на новое строительство – осуществляется на новых площадях в соответствии с вновь утвержденным проектом.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на расширение действующего производства – строительство дополнительных производств на действующих предприятиях; строительство новых либо расширение существующих цехов и объектов основного и обслуживающего производства, но в рамках территории действующего предприятия или на примыкающих к ней площадях.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на реконструкцию: переустройства производства, его усовершенствование, связанное с повышением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технико-экономического уровня в целях увеличения производственных мощностей; улучшение качества и номенклатуры продукции без увеличения численности работающих.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на техническое перевооружение действующих основных фондов предприятия – проведение комплекса мероприятий по повышению технико-экономического уровня отдельных производств на основе внедрения достижения НТП.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3. По составу затрат капитальные вложения складываются из трех основных элементов: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расходы на строительно-монтажные работы;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расходы на приобретение оборудование, инструмента и инвентаря;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прочие капитальные затраты (проектно-изыскательские работы, на содержание дирекции строящегося здания)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4. По назначению капитальных вложений выделяют капитальные вложения в объекты: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производственного назначения, которые после завершения будут функционировать в сфере материального производства;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- непроизводственного назначения, которые после завершения будут функционировать в сфере нематериального.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 xml:space="preserve">В соответствии с Федеральном законом </w:t>
      </w:r>
      <w:r w:rsidR="00DA000F">
        <w:rPr>
          <w:rFonts w:ascii="Times New Roman" w:hAnsi="Times New Roman"/>
          <w:sz w:val="28"/>
          <w:szCs w:val="28"/>
        </w:rPr>
        <w:t>“</w:t>
      </w:r>
      <w:r w:rsidRPr="00502E7C">
        <w:rPr>
          <w:rFonts w:ascii="Times New Roman" w:hAnsi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DA000F">
        <w:rPr>
          <w:rFonts w:ascii="Times New Roman" w:hAnsi="Times New Roman"/>
          <w:sz w:val="28"/>
          <w:szCs w:val="28"/>
        </w:rPr>
        <w:t>”</w:t>
      </w:r>
      <w:r w:rsidRPr="00502E7C">
        <w:rPr>
          <w:rFonts w:ascii="Times New Roman" w:hAnsi="Times New Roman"/>
          <w:sz w:val="28"/>
          <w:szCs w:val="28"/>
        </w:rPr>
        <w:t xml:space="preserve"> № 39-ФЗ статья 4, в инвестиционной деятельности принимают участи следующие субъекты: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1. инвесторы - это физические и юридические лица, принимающие решение и вкладывающие собственные, привлеченные или заемные средства в объекты инвестиционной деятельности.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Если инвестор обладает правами на земельный участок под застройку, то он называется застройщиком.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Инвесторы,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вкладывающие собственные средства и присваивающие результаты инвестиционной деятельности, называются индивидуальными инвесторами.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Инвесторы, осуществляющие прямые инвестиции с целью увеличение капитала и участия в управлении производством, называются стратегическими инвесторами.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Инвесторы, осуществляющие свою деятельность за счет средств других физических и юридических лиц в целях владельцев средств и распределяющие результаты инвестирование между собственниками, называются институциональными инвесторами.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Инвесторы, осуществляющие свою деятельность с целью увеличения текущего дохода, - это портфельные инвесторы.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 заказчики - уполномоченные на то инвесторами физические и юридические лица, которые осуществляют реализацию инвестиционных проектов. Заказчиками могут быть и инвесторы.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3. подрядчики - физические и юридические лица, которые выполняют работы по договору подряда и (или) государственному или муниципальному контракту, заключаемым с заказчиками в соответствии с Гражданским кодексом Российской Федерации.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4. Пользователи объектов капитальных вложений могут быть инвесторы, а так же другие физические и юридические лица, государственные и муниципальные органы, иностранные государства и международные организации, для которых создается объект инвестиционной деятельности.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Реализация целей инвестирования предполагает формирование инвестиционных проектов, которые обеспечивают инвесторов и других участников проектов необходимой информацией для принятия решения об инвестировании. В Федеральном законе «Об инвестиционной деятельности в Российской федерации, осуществляемой форме капитальных вложений» дается определение инвестиционного проекта – это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практических действий по осуществлению инвестиции.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Реализация любого инвестиционного проекта преследует определенную цель. Для разных проектов эти цели могут быть различными, однако в целом их можно свести в четыре группы: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1. сохранение продукции на рынке;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 расширение объемов производства и улучшение качества продукции;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3. выпуск новой продукции;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4. расширение социальных и экономических задач.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Определенная цель может быть достигнута разными путями, поэтому большая часть реализуемых проектов носит конфликтующий характер, когда прорабатываются пути достижения одной и той же цели.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Промежуток времени между моментом появления проекта и моментом окончания его реализации называется жизненный цикл проекта (или проектным циклом.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Сроком окупаемости инвестиционного проекта является -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199859696"/>
      <w:r w:rsidRPr="00502E7C">
        <w:rPr>
          <w:rFonts w:ascii="Times New Roman" w:hAnsi="Times New Roman"/>
          <w:sz w:val="28"/>
          <w:szCs w:val="28"/>
        </w:rPr>
        <w:t>Экономическая целесообразность инвестиционного проекта выражается такими категориями как:</w:t>
      </w:r>
    </w:p>
    <w:p w:rsidR="00012F7B" w:rsidRPr="00502E7C" w:rsidRDefault="00012F7B" w:rsidP="00502E7C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Эффективность проекта, т.е. выгодность для инвестора.</w:t>
      </w:r>
    </w:p>
    <w:p w:rsidR="00012F7B" w:rsidRPr="00502E7C" w:rsidRDefault="00012F7B" w:rsidP="00502E7C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Финансовая реализуемость проекта.</w:t>
      </w:r>
    </w:p>
    <w:p w:rsidR="00012F7B" w:rsidRPr="00502E7C" w:rsidRDefault="00012F7B" w:rsidP="00502E7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Приемлемый уровень риска реализации проекта.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Эффективность проекта оценивается определёнными количественными характеристиками – показателями эффективности, отражающими соответствие результатов и затрат в том или ином аспекте, удовлетворение интересов каждого из участников реализации проекта. При этом необходимо учитывать разнообразие интересов всех участников проекта. Экономическая эффективность сама по себе не рассчитывается, а выявляется через показатели эффективности.</w:t>
      </w:r>
    </w:p>
    <w:p w:rsidR="00012F7B" w:rsidRPr="00502E7C" w:rsidRDefault="00012F7B" w:rsidP="00502E7C">
      <w:pPr>
        <w:pStyle w:val="1"/>
        <w:tabs>
          <w:tab w:val="left" w:pos="1968"/>
        </w:tabs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DA000F">
      <w:pPr>
        <w:pStyle w:val="1"/>
        <w:spacing w:before="0" w:after="0"/>
        <w:ind w:firstLine="709"/>
        <w:jc w:val="left"/>
        <w:rPr>
          <w:szCs w:val="28"/>
        </w:rPr>
      </w:pPr>
      <w:r w:rsidRPr="00502E7C">
        <w:rPr>
          <w:szCs w:val="28"/>
        </w:rPr>
        <w:br w:type="page"/>
      </w:r>
      <w:bookmarkEnd w:id="1"/>
      <w:r w:rsidRPr="00502E7C">
        <w:rPr>
          <w:szCs w:val="28"/>
        </w:rPr>
        <w:t xml:space="preserve">2. </w:t>
      </w:r>
      <w:r w:rsidR="00DA000F" w:rsidRPr="00502E7C">
        <w:rPr>
          <w:caps w:val="0"/>
          <w:szCs w:val="28"/>
        </w:rPr>
        <w:t>Расчет показателей эффективности капитальных вложений</w:t>
      </w:r>
    </w:p>
    <w:p w:rsidR="00DA000F" w:rsidRDefault="00DA000F" w:rsidP="00DA000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DA000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2. 1 Инвестирование денежных средств в действующее производство</w:t>
      </w:r>
    </w:p>
    <w:p w:rsidR="00DA000F" w:rsidRDefault="00DA000F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На предприятии планируется осуществить инвестиционный проект. Исходные данные приведены в таблице 1.</w:t>
      </w:r>
    </w:p>
    <w:p w:rsidR="00DA000F" w:rsidRPr="00502E7C" w:rsidRDefault="00DA000F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DA000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</w:t>
      </w:r>
      <w:r w:rsidR="00DA000F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Исходные данные (млн. руб)</w:t>
      </w: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516"/>
        <w:gridCol w:w="4445"/>
        <w:gridCol w:w="1843"/>
        <w:gridCol w:w="2268"/>
      </w:tblGrid>
      <w:tr w:rsidR="00012F7B" w:rsidRPr="00502E7C">
        <w:trPr>
          <w:trHeight w:val="3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Базовые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Проектные значения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Производственная мощность, тыс. т./год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1000,50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1101,00</w:t>
            </w:r>
          </w:p>
        </w:tc>
      </w:tr>
      <w:tr w:rsidR="00012F7B" w:rsidRPr="00502E7C">
        <w:trPr>
          <w:trHeight w:val="1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Загруженность мощностей,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79,10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90,10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Рентабельность продукции,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Объем производства, тыс. т./год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791,40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992,00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Капитальные вложения, млн. руб.,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436,00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 затраты на приобретение основных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</w:tr>
      <w:tr w:rsidR="00012F7B" w:rsidRPr="00502E7C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 затраты на увеличение оборотных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Норма доходности,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Рисковая надбавка,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6,10</w:t>
            </w:r>
          </w:p>
        </w:tc>
      </w:tr>
      <w:tr w:rsidR="00012F7B" w:rsidRPr="00502E7C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Расчетный период,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012F7B" w:rsidRPr="00502E7C">
        <w:trPr>
          <w:trHeight w:val="2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Численность основных рабочих,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012F7B" w:rsidRPr="00502E7C">
        <w:trPr>
          <w:trHeight w:val="30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Среднемесячная заработная плата, тыс.руб./чел.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таблице 2 показана структура затрат на приобретаемые основные средства. Амортизационные начисления рассчитываются линейным способом.</w:t>
      </w:r>
    </w:p>
    <w:p w:rsidR="00DA000F" w:rsidRPr="00502E7C" w:rsidRDefault="00DA000F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12F7B" w:rsidRPr="00502E7C" w:rsidRDefault="00012F7B" w:rsidP="00DA000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  <w:lang w:val="en-US"/>
        </w:rPr>
        <w:t>Таблица</w:t>
      </w:r>
      <w:r w:rsidRPr="00502E7C">
        <w:rPr>
          <w:rFonts w:ascii="Times New Roman" w:hAnsi="Times New Roman"/>
          <w:sz w:val="28"/>
          <w:szCs w:val="28"/>
        </w:rPr>
        <w:t xml:space="preserve"> 2</w:t>
      </w:r>
      <w:r w:rsidR="00DA000F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амортизационных отчислений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140"/>
        <w:gridCol w:w="1276"/>
        <w:gridCol w:w="1134"/>
        <w:gridCol w:w="1417"/>
        <w:gridCol w:w="1134"/>
        <w:gridCol w:w="1276"/>
      </w:tblGrid>
      <w:tr w:rsidR="00012F7B" w:rsidRPr="00DA000F">
        <w:trPr>
          <w:trHeight w:val="835"/>
        </w:trPr>
        <w:tc>
          <w:tcPr>
            <w:tcW w:w="1695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Объекты основных средств</w:t>
            </w:r>
          </w:p>
        </w:tc>
        <w:tc>
          <w:tcPr>
            <w:tcW w:w="1140" w:type="dxa"/>
            <w:noWrap/>
            <w:vAlign w:val="center"/>
          </w:tcPr>
          <w:p w:rsidR="00012F7B" w:rsidRPr="00DA000F" w:rsidRDefault="00DA000F" w:rsidP="00DA000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Структура,</w:t>
            </w:r>
            <w:r w:rsidR="00012F7B" w:rsidRPr="00DA000F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134" w:type="dxa"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Амортизационная группа</w:t>
            </w:r>
          </w:p>
        </w:tc>
        <w:tc>
          <w:tcPr>
            <w:tcW w:w="1417" w:type="dxa"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Срок полезного использования</w:t>
            </w:r>
          </w:p>
        </w:tc>
        <w:tc>
          <w:tcPr>
            <w:tcW w:w="1134" w:type="dxa"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Норма амортизации</w:t>
            </w:r>
          </w:p>
        </w:tc>
        <w:tc>
          <w:tcPr>
            <w:tcW w:w="1276" w:type="dxa"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00F">
              <w:rPr>
                <w:rFonts w:ascii="Times New Roman" w:hAnsi="Times New Roman"/>
                <w:bCs/>
                <w:sz w:val="20"/>
                <w:szCs w:val="20"/>
              </w:rPr>
              <w:t>Амортизационные отчисления</w:t>
            </w:r>
          </w:p>
        </w:tc>
      </w:tr>
      <w:tr w:rsidR="00012F7B" w:rsidRPr="00DA000F">
        <w:trPr>
          <w:trHeight w:val="263"/>
        </w:trPr>
        <w:tc>
          <w:tcPr>
            <w:tcW w:w="1695" w:type="dxa"/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 Оборудование</w:t>
            </w:r>
          </w:p>
        </w:tc>
        <w:tc>
          <w:tcPr>
            <w:tcW w:w="1140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0,31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2,118</w:t>
            </w:r>
          </w:p>
        </w:tc>
      </w:tr>
      <w:tr w:rsidR="00012F7B" w:rsidRPr="00DA000F">
        <w:trPr>
          <w:trHeight w:val="263"/>
        </w:trPr>
        <w:tc>
          <w:tcPr>
            <w:tcW w:w="1695" w:type="dxa"/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2 Оборудование</w:t>
            </w:r>
          </w:p>
        </w:tc>
        <w:tc>
          <w:tcPr>
            <w:tcW w:w="1140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4,703</w:t>
            </w:r>
          </w:p>
        </w:tc>
      </w:tr>
      <w:tr w:rsidR="00012F7B" w:rsidRPr="00DA000F">
        <w:trPr>
          <w:trHeight w:val="263"/>
        </w:trPr>
        <w:tc>
          <w:tcPr>
            <w:tcW w:w="1695" w:type="dxa"/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1.1. Оборудование</w:t>
            </w:r>
          </w:p>
        </w:tc>
        <w:tc>
          <w:tcPr>
            <w:tcW w:w="1140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2,819</w:t>
            </w:r>
          </w:p>
        </w:tc>
      </w:tr>
      <w:tr w:rsidR="00012F7B" w:rsidRPr="00DA000F">
        <w:trPr>
          <w:trHeight w:val="263"/>
        </w:trPr>
        <w:tc>
          <w:tcPr>
            <w:tcW w:w="1695" w:type="dxa"/>
            <w:noWrap/>
            <w:vAlign w:val="bottom"/>
          </w:tcPr>
          <w:p w:rsidR="00012F7B" w:rsidRPr="00DA000F" w:rsidRDefault="00DA000F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="00012F7B" w:rsidRPr="00DA000F">
              <w:rPr>
                <w:rFonts w:ascii="Times New Roman" w:hAnsi="Times New Roman"/>
                <w:sz w:val="20"/>
                <w:szCs w:val="20"/>
              </w:rPr>
              <w:t>Оборудование</w:t>
            </w:r>
          </w:p>
        </w:tc>
        <w:tc>
          <w:tcPr>
            <w:tcW w:w="1140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1,180</w:t>
            </w:r>
          </w:p>
        </w:tc>
      </w:tr>
      <w:tr w:rsidR="00012F7B" w:rsidRPr="00DA000F">
        <w:trPr>
          <w:trHeight w:val="263"/>
        </w:trPr>
        <w:tc>
          <w:tcPr>
            <w:tcW w:w="1695" w:type="dxa"/>
            <w:noWrap/>
            <w:vAlign w:val="bottom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40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012F7B" w:rsidRPr="00DA000F" w:rsidRDefault="00012F7B" w:rsidP="00DA000F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0F">
              <w:rPr>
                <w:rFonts w:ascii="Times New Roman" w:hAnsi="Times New Roman"/>
                <w:sz w:val="20"/>
                <w:szCs w:val="20"/>
              </w:rPr>
              <w:t>10,820</w:t>
            </w:r>
          </w:p>
        </w:tc>
      </w:tr>
    </w:tbl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таблице 3 представлена калькуляция полной себестоимости с изменениями по полугодиям.</w:t>
      </w:r>
    </w:p>
    <w:p w:rsidR="00DA000F" w:rsidRDefault="00DA000F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00F" w:rsidRPr="00502E7C" w:rsidRDefault="00DA000F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2F7B" w:rsidRPr="00502E7C" w:rsidSect="00502E7C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2" w:name="_Toc458861081"/>
      <w:bookmarkStart w:id="3" w:name="_Toc458861163"/>
      <w:bookmarkStart w:id="4" w:name="_Toc458861295"/>
    </w:p>
    <w:tbl>
      <w:tblPr>
        <w:tblpPr w:leftFromText="180" w:rightFromText="180" w:vertAnchor="page" w:horzAnchor="margin" w:tblpXSpec="center" w:tblpY="2266"/>
        <w:tblW w:w="14709" w:type="dxa"/>
        <w:tblLook w:val="0000" w:firstRow="0" w:lastRow="0" w:firstColumn="0" w:lastColumn="0" w:noHBand="0" w:noVBand="0"/>
      </w:tblPr>
      <w:tblGrid>
        <w:gridCol w:w="516"/>
        <w:gridCol w:w="3023"/>
        <w:gridCol w:w="1247"/>
        <w:gridCol w:w="992"/>
        <w:gridCol w:w="993"/>
        <w:gridCol w:w="992"/>
        <w:gridCol w:w="992"/>
        <w:gridCol w:w="1134"/>
        <w:gridCol w:w="992"/>
        <w:gridCol w:w="993"/>
        <w:gridCol w:w="992"/>
        <w:gridCol w:w="992"/>
        <w:gridCol w:w="866"/>
      </w:tblGrid>
      <w:tr w:rsidR="00CF1F2A" w:rsidRPr="00502E7C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Статьи затрат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Доля постоянных затрат,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Норма расхода, т/т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Цена,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1 шаг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2 шаг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3 шаг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4 шаг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5 шаг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6 шаг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7 шаг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Задано в производство,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возвратные отходы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133,20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безвозвратные отходы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брак невосполнимый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брак используемый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tabs>
                <w:tab w:val="left" w:pos="612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ИТОГО задано за вычетом отходов и брака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3972,60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Расходы по переделу,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1281,08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1042,71</w:t>
            </w:r>
          </w:p>
        </w:tc>
      </w:tr>
      <w:tr w:rsidR="00CF1F2A" w:rsidRPr="00502E7C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основная и дополнительная заработная плата основных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страховые взносы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прочие затраты по переделу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1159,95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1159,93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1280,99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1042,65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Прочие общецеховые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263,27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263,27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263,27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263,27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263,27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Общезаводские затраты,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446,76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446,76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446,76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7,98</w:t>
            </w:r>
          </w:p>
        </w:tc>
      </w:tr>
      <w:tr w:rsidR="00CF1F2A" w:rsidRPr="00502E7C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6035,24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6035,24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5993,66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5766,62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5766,26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5765,92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5765,55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5765,21</w:t>
            </w:r>
          </w:p>
        </w:tc>
      </w:tr>
      <w:tr w:rsidR="00CF1F2A" w:rsidRPr="00502E7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Коммерческие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71,80</w:t>
            </w:r>
          </w:p>
        </w:tc>
      </w:tr>
      <w:tr w:rsidR="00CF1F2A" w:rsidRPr="00502E7C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Полная себестоимость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6125,24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6125,24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6102,45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5838,42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5838,06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5837,72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5837,35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5837,01</w:t>
            </w:r>
          </w:p>
        </w:tc>
      </w:tr>
    </w:tbl>
    <w:p w:rsidR="00CF1F2A" w:rsidRPr="00CF1F2A" w:rsidRDefault="00CF1F2A" w:rsidP="00CF1F2A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caps w:val="0"/>
          <w:szCs w:val="28"/>
        </w:rPr>
        <w:t>Таблица 3</w:t>
      </w:r>
      <w:r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Калькуляция себестоимости 1т. продукции</w:t>
      </w:r>
      <w:r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(млн.руб)</w:t>
      </w:r>
      <w:r>
        <w:rPr>
          <w:caps w:val="0"/>
          <w:szCs w:val="28"/>
        </w:rPr>
        <w:t xml:space="preserve"> </w:t>
      </w:r>
    </w:p>
    <w:p w:rsidR="00012F7B" w:rsidRPr="00502E7C" w:rsidRDefault="00012F7B" w:rsidP="00CF1F2A">
      <w:pPr>
        <w:framePr w:w="15767" w:wrap="auto" w:hAnchor="text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2F7B" w:rsidRPr="00502E7C" w:rsidSect="00502E7C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12F7B" w:rsidRPr="00502E7C" w:rsidRDefault="00012F7B" w:rsidP="00CF1F2A">
      <w:pPr>
        <w:pStyle w:val="1"/>
        <w:tabs>
          <w:tab w:val="right" w:pos="9637"/>
        </w:tabs>
        <w:spacing w:before="0" w:after="0"/>
        <w:ind w:firstLine="709"/>
        <w:jc w:val="left"/>
        <w:rPr>
          <w:szCs w:val="28"/>
        </w:rPr>
      </w:pPr>
      <w:r w:rsidRPr="00502E7C">
        <w:rPr>
          <w:szCs w:val="28"/>
        </w:rPr>
        <w:t xml:space="preserve">2. 2 </w:t>
      </w:r>
      <w:r w:rsidR="00CF1F2A">
        <w:rPr>
          <w:caps w:val="0"/>
          <w:szCs w:val="28"/>
        </w:rPr>
        <w:t>О</w:t>
      </w:r>
      <w:r w:rsidR="00CF1F2A" w:rsidRPr="00502E7C">
        <w:rPr>
          <w:caps w:val="0"/>
          <w:szCs w:val="28"/>
        </w:rPr>
        <w:t>ценка эффективности капитальных вложений в действующее производство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таблице 4 представлен расчёт налога на имущество.</w:t>
      </w:r>
    </w:p>
    <w:p w:rsidR="00CF1F2A" w:rsidRDefault="00CF1F2A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CF1F2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</w:t>
      </w:r>
      <w:r w:rsidR="00CF1F2A">
        <w:rPr>
          <w:rFonts w:ascii="Times New Roman" w:hAnsi="Times New Roman"/>
          <w:sz w:val="28"/>
          <w:szCs w:val="28"/>
        </w:rPr>
        <w:t xml:space="preserve"> 4 </w:t>
      </w:r>
      <w:r w:rsidRPr="00502E7C">
        <w:rPr>
          <w:rFonts w:ascii="Times New Roman" w:hAnsi="Times New Roman"/>
          <w:sz w:val="28"/>
          <w:szCs w:val="28"/>
        </w:rPr>
        <w:t>Расчёт величины налога на имущество, млн. руб.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407"/>
        <w:gridCol w:w="1983"/>
        <w:gridCol w:w="922"/>
        <w:gridCol w:w="871"/>
        <w:gridCol w:w="860"/>
        <w:gridCol w:w="849"/>
        <w:gridCol w:w="838"/>
        <w:gridCol w:w="797"/>
        <w:gridCol w:w="817"/>
        <w:gridCol w:w="870"/>
      </w:tblGrid>
      <w:tr w:rsidR="00CF1F2A" w:rsidRPr="00502E7C">
        <w:trPr>
          <w:trHeight w:val="30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базовый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F1F2A" w:rsidRPr="00502E7C">
        <w:trPr>
          <w:trHeight w:val="78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Первоначальная стоимость основных средств, вводимых в эксплуатацию по проекту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</w:tr>
      <w:tr w:rsidR="00CF1F2A" w:rsidRPr="00502E7C">
        <w:trPr>
          <w:trHeight w:val="78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Амортизационные отчисления на основные средства, введеные в эксплуатацию по проекту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</w:tr>
      <w:tr w:rsidR="00CF1F2A" w:rsidRPr="00502E7C">
        <w:trPr>
          <w:trHeight w:val="26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То же нарастающим итогом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21,64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32,46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43,28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54,10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64,92</w:t>
            </w:r>
          </w:p>
        </w:tc>
      </w:tr>
      <w:tr w:rsidR="00CF1F2A" w:rsidRPr="00502E7C">
        <w:trPr>
          <w:trHeight w:val="52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отстаточная стоимость основных средств, вводимых в эксплуатацию по проекту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399,18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388,36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377,54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366,72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355,90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345,08</w:t>
            </w:r>
          </w:p>
        </w:tc>
      </w:tr>
      <w:tr w:rsidR="00CF1F2A" w:rsidRPr="00502E7C">
        <w:trPr>
          <w:trHeight w:val="78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Амортизационные отчисления на основные средства, введеные в эксплуатацию в базовом (допроектном) периоде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CF1F2A" w:rsidRPr="00502E7C">
        <w:trPr>
          <w:trHeight w:val="78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отстаточная стоимость основных средств, вводимых в эксплуатацию в базовом (допроектном) периоде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CF1F2A" w:rsidRPr="00502E7C">
        <w:trPr>
          <w:trHeight w:val="26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Налоговая база налога на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227,50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219,59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211,68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203,77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195,86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187,95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180,04</w:t>
            </w:r>
          </w:p>
        </w:tc>
      </w:tr>
      <w:tr w:rsidR="00CF1F2A" w:rsidRPr="00502E7C">
        <w:trPr>
          <w:trHeight w:val="27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4,48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4,31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3,96</w:t>
            </w:r>
          </w:p>
        </w:tc>
      </w:tr>
    </w:tbl>
    <w:p w:rsidR="00CF1F2A" w:rsidRDefault="00CF1F2A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szCs w:val="28"/>
        </w:rPr>
        <w:t xml:space="preserve">В </w:t>
      </w:r>
      <w:r w:rsidRPr="00502E7C">
        <w:rPr>
          <w:caps w:val="0"/>
          <w:szCs w:val="28"/>
        </w:rPr>
        <w:t>таблице 5 представлен расчёт величины процентов за кредит и график погашения основного долга.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CF1F2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5</w:t>
      </w:r>
      <w:r w:rsidR="00CF1F2A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величины процентов за кредит млн. руб.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930" w:type="dxa"/>
        <w:tblInd w:w="250" w:type="dxa"/>
        <w:tblLook w:val="0000" w:firstRow="0" w:lastRow="0" w:firstColumn="0" w:lastColumn="0" w:noHBand="0" w:noVBand="0"/>
      </w:tblPr>
      <w:tblGrid>
        <w:gridCol w:w="407"/>
        <w:gridCol w:w="3280"/>
        <w:gridCol w:w="766"/>
        <w:gridCol w:w="792"/>
        <w:gridCol w:w="850"/>
        <w:gridCol w:w="709"/>
        <w:gridCol w:w="709"/>
        <w:gridCol w:w="709"/>
        <w:gridCol w:w="708"/>
      </w:tblGrid>
      <w:tr w:rsidR="00012F7B" w:rsidRPr="00CF1F2A">
        <w:trPr>
          <w:trHeight w:val="25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 (полугодия)</w:t>
            </w:r>
          </w:p>
        </w:tc>
      </w:tr>
      <w:tr w:rsidR="00CF1F2A" w:rsidRPr="00CF1F2A">
        <w:trPr>
          <w:trHeight w:val="25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F2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CF1F2A" w:rsidRPr="00CF1F2A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Капитальные вложения в основные средства, финансируемые за счет собственных средств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246,00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1F2A" w:rsidRPr="00CF1F2A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Капитальные вложения в основные средства, финансируемые за счет кредита банка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164,00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1F2A" w:rsidRPr="00CF1F2A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Возврат (погашение) кредита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</w:tr>
      <w:tr w:rsidR="00CF1F2A" w:rsidRPr="00CF1F2A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Остаток кредита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164,00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136,67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109,33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1F2A" w:rsidRPr="00CF1F2A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Проценты за кредит, в том числе: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</w:tr>
      <w:tr w:rsidR="00CF1F2A" w:rsidRPr="00CF1F2A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проценты, включаемые в расходы, учитываемые в целях налогообложения прибыли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CF1F2A" w:rsidRPr="00CF1F2A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проценты, включаемые в расходы, неучитываемые в целях налогообложения прибыли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CF1F2A" w:rsidRDefault="00012F7B" w:rsidP="00CF1F2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F2A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</w:tbl>
    <w:p w:rsidR="00CF1F2A" w:rsidRDefault="00CF1F2A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</w:p>
    <w:p w:rsidR="00012F7B" w:rsidRPr="00502E7C" w:rsidRDefault="00012F7B" w:rsidP="00DA0234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caps w:val="0"/>
          <w:szCs w:val="28"/>
        </w:rPr>
        <w:t>Таблица 6</w:t>
      </w:r>
      <w:r w:rsidR="00CF1F2A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Расчёт величины выручки и валовой (суммарной) полной себестоимости продукции, млн. руб.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992"/>
        <w:gridCol w:w="851"/>
        <w:gridCol w:w="850"/>
        <w:gridCol w:w="851"/>
        <w:gridCol w:w="850"/>
        <w:gridCol w:w="851"/>
        <w:gridCol w:w="708"/>
        <w:gridCol w:w="709"/>
      </w:tblGrid>
      <w:tr w:rsidR="00012F7B" w:rsidRPr="00502E7C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Базовый период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DA0234" w:rsidRPr="00502E7C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23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DA0234" w:rsidRPr="00502E7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Объем производства продукции, тыс.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395,70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327,36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496,</w:t>
            </w:r>
          </w:p>
        </w:tc>
      </w:tr>
      <w:tr w:rsidR="00DA0234" w:rsidRPr="00502E7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_Hlk274315578"/>
            <w:r w:rsidRPr="00DA0234">
              <w:rPr>
                <w:rFonts w:ascii="Times New Roman" w:hAnsi="Times New Roman"/>
                <w:sz w:val="20"/>
                <w:szCs w:val="20"/>
              </w:rPr>
              <w:t>Цена продукции, руб./т.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</w:t>
            </w:r>
            <w:r w:rsidR="00384F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FE5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6990</w:t>
            </w:r>
          </w:p>
        </w:tc>
      </w:tr>
      <w:bookmarkEnd w:id="5"/>
      <w:tr w:rsidR="00DA0234" w:rsidRPr="00502E7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Полная себестоимость 1 тонны (без учета процентов за кредит)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6125,24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5837</w:t>
            </w:r>
          </w:p>
        </w:tc>
      </w:tr>
      <w:tr w:rsidR="00DA0234" w:rsidRPr="00502E7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Выручка (доход) от реализации продукции, без НДС, млн.руб.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2766,10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3467</w:t>
            </w:r>
          </w:p>
        </w:tc>
      </w:tr>
      <w:tr w:rsidR="00012F7B" w:rsidRPr="00502E7C">
        <w:trPr>
          <w:trHeight w:val="7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A0234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НДС начисленный, млн.руб.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359,59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359,59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297,49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450,7</w:t>
            </w:r>
          </w:p>
        </w:tc>
      </w:tr>
      <w:tr w:rsidR="00012F7B" w:rsidRPr="00502E7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Валовая полная себестоимость продукции, млн.руб.,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2424,24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2901,1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2899</w:t>
            </w:r>
          </w:p>
        </w:tc>
      </w:tr>
      <w:tr w:rsidR="00012F7B" w:rsidRPr="00502E7C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расходы, учитываемые в целях налогообложения прибыли (включаемые в полную себестоимость),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2424,24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2428,7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384FE5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2899</w:t>
            </w:r>
          </w:p>
        </w:tc>
      </w:tr>
      <w:tr w:rsidR="00012F7B" w:rsidRPr="00502E7C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15,82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15,82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15,82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15,82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15,82</w:t>
            </w:r>
          </w:p>
        </w:tc>
      </w:tr>
      <w:tr w:rsidR="00012F7B" w:rsidRPr="00502E7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проценты за кредит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012F7B" w:rsidRPr="00502E7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3,96</w:t>
            </w:r>
          </w:p>
        </w:tc>
      </w:tr>
      <w:tr w:rsidR="00012F7B" w:rsidRPr="00502E7C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расходы, не учитываемые в целях налогообложения прибыли (включаемые в полную себестоимость),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012F7B" w:rsidRPr="00502E7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проценты за кредит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A0234" w:rsidRDefault="00012F7B" w:rsidP="00DA023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234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</w:tbl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В этой таблице представлены потоки основных экономических параметров проекта, а также базовые экономические показатели. Значения объема производства даны в полугодие, т. е. в два раза меньше годовой величины. Коэффициент дисконтирования рассчитывается исходя из нормы дисконта, которая составляет 8% при этом норма дисконта уменьшается на половину, т. к. шаг равен полугодию. Сумма дисконтированного прироста рассчитывается, для того чтобы в дальнейшем рассчитать рентабельность инвестиций.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Дисконтированный прирост на отдельном шаге рассчитывается как произведение прироста чистой прибыли на этом шаге и соответствующего коэффициента дисконтирования.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Из таблицы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видно, что выручка от реализации, прибыль до налогообложения и чистая прибыль повысились ввиду увеличения объема производства и снижения полной себестоимости.</w:t>
      </w:r>
    </w:p>
    <w:p w:rsidR="00012F7B" w:rsidRPr="00502E7C" w:rsidRDefault="00012F7B" w:rsidP="00502E7C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7C">
        <w:rPr>
          <w:rFonts w:ascii="Times New Roman" w:hAnsi="Times New Roman" w:cs="Times New Roman"/>
          <w:sz w:val="28"/>
          <w:szCs w:val="28"/>
        </w:rPr>
        <w:t>Расчет налога на прибыль представлен в таблице 7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384FE5">
      <w:pPr>
        <w:tabs>
          <w:tab w:val="left" w:pos="238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7</w:t>
      </w:r>
      <w:r w:rsidR="00384FE5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величины налога на прибыль, млн.руб.</w:t>
      </w:r>
    </w:p>
    <w:tbl>
      <w:tblPr>
        <w:tblW w:w="924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851"/>
        <w:gridCol w:w="850"/>
        <w:gridCol w:w="993"/>
        <w:gridCol w:w="992"/>
        <w:gridCol w:w="992"/>
        <w:gridCol w:w="1024"/>
        <w:gridCol w:w="992"/>
        <w:gridCol w:w="992"/>
      </w:tblGrid>
      <w:tr w:rsidR="00B65F46" w:rsidRPr="00384FE5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Базовый период</w:t>
            </w: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2314,39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B65F46" w:rsidRPr="00384FE5">
        <w:trPr>
          <w:trHeight w:val="76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доходы, учитываемые при определении налоговой базы налога на прибыль,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доходы от</w:t>
            </w:r>
            <w:r w:rsidR="00502E7C" w:rsidRPr="00384F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FE5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65F46" w:rsidRPr="00384FE5">
        <w:trPr>
          <w:trHeight w:val="76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доходы, не учитываемые при определении налоговой базы налога на прибыль,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FE5">
              <w:rPr>
                <w:rFonts w:ascii="Times New Roman" w:hAnsi="Times New Roman"/>
                <w:bCs/>
                <w:sz w:val="20"/>
                <w:szCs w:val="20"/>
              </w:rPr>
              <w:t>Расходы,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2024,95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2922,25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2921,21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2919,13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2918,10</w:t>
            </w:r>
          </w:p>
        </w:tc>
      </w:tr>
      <w:tr w:rsidR="00B65F46" w:rsidRPr="00384FE5">
        <w:trPr>
          <w:trHeight w:val="76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расходы, учитываемые в целях налогообложения прибыли,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2003,72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2900,95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2900,41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2899,86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2899,32</w:t>
            </w:r>
          </w:p>
        </w:tc>
      </w:tr>
      <w:tr w:rsidR="00B65F46" w:rsidRPr="00384FE5">
        <w:trPr>
          <w:trHeight w:val="5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расходы, связанные с производством и реализацией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B65F46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2002,53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2900,52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2900,16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2899,82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2899,47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2899,12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B65F46" w:rsidRPr="00384FE5">
        <w:trPr>
          <w:trHeight w:val="5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расходы, не учитываемые в целях налогообложения прибыли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19,76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19,27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18,78</w:t>
            </w:r>
          </w:p>
        </w:tc>
      </w:tr>
      <w:tr w:rsidR="00B65F46" w:rsidRPr="00384FE5">
        <w:trPr>
          <w:trHeight w:val="5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Налоговая база налога на прибыль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337,35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566,30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567,94</w:t>
            </w:r>
          </w:p>
        </w:tc>
      </w:tr>
      <w:tr w:rsidR="00B65F46" w:rsidRPr="00384FE5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33,73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28,47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56,63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384FE5" w:rsidRDefault="00012F7B" w:rsidP="00384F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FE5">
              <w:rPr>
                <w:rFonts w:ascii="Times New Roman" w:hAnsi="Times New Roman"/>
                <w:sz w:val="20"/>
                <w:szCs w:val="20"/>
              </w:rPr>
              <w:t>56,79</w:t>
            </w:r>
          </w:p>
        </w:tc>
      </w:tr>
    </w:tbl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Прибыль до налогообложения повысилась ввиду увеличения объема производства.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таблице 8 представлен расчет интегрального экономического эффекта.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Капитальные вложения осваиваются следующим образом: в первом полугодии – приобретение и монтаж объектов основных средств, во втором полугодии авансируется в оборотные средства дополнительная величина средств, так как возрастает объем производства.</w:t>
      </w:r>
    </w:p>
    <w:p w:rsidR="00012F7B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Операционные затраты определяется как разность между полной валовой себестоимостью и величиной амортизационных отчислений.</w:t>
      </w:r>
    </w:p>
    <w:p w:rsidR="00B65F46" w:rsidRDefault="00B65F46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5F46" w:rsidRDefault="00B65F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2F7B" w:rsidRPr="00502E7C" w:rsidRDefault="00012F7B" w:rsidP="00B65F46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szCs w:val="28"/>
        </w:rPr>
        <w:t>Т</w:t>
      </w:r>
      <w:r w:rsidRPr="00502E7C">
        <w:rPr>
          <w:caps w:val="0"/>
          <w:szCs w:val="28"/>
        </w:rPr>
        <w:t>аблица 8</w:t>
      </w:r>
      <w:r w:rsidR="00B65F46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Расчёт интегрального экономического эффекта млн. руб.</w:t>
      </w:r>
    </w:p>
    <w:tbl>
      <w:tblPr>
        <w:tblW w:w="91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937"/>
      </w:tblGrid>
      <w:tr w:rsidR="00012F7B" w:rsidRPr="00502E7C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Базовый период</w:t>
            </w:r>
          </w:p>
        </w:tc>
        <w:tc>
          <w:tcPr>
            <w:tcW w:w="68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465F4D" w:rsidRPr="00502E7C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Приток средств,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2766,10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2766,10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465F4D" w:rsidRPr="00502E7C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2766,10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2766,10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46">
              <w:rPr>
                <w:rFonts w:ascii="Times New Roman" w:hAnsi="Times New Roman"/>
                <w:bCs/>
                <w:sz w:val="20"/>
                <w:szCs w:val="20"/>
              </w:rPr>
              <w:t>Отток средств,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2453,43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2867,48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2071,21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2970,85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2970,10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2969,36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2968,62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2967,88</w:t>
            </w:r>
          </w:p>
        </w:tc>
      </w:tr>
      <w:tr w:rsidR="00465F4D" w:rsidRPr="00502E7C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капитальные вложения за счет собственных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операционные 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2419,24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2423,75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1989,41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2886,94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2886,14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2885,35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2884,54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2883,75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возврат (погашение) кредита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56,57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56,63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56,68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56,74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56,79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Чистый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312,67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-101,39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217,18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496,40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497,15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497,89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498,64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499,38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Прирост чистого дохода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-414,05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-95,49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183,73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184,48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185,22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185,97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186,71</w:t>
            </w:r>
          </w:p>
        </w:tc>
      </w:tr>
      <w:tr w:rsidR="00465F4D" w:rsidRPr="00502E7C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</w:tr>
      <w:tr w:rsidR="00465F4D" w:rsidRPr="00502E7C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Дисконтированный прирост чистого дохода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-396,23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-87,44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161,01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154,71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148,64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142,82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137,21</w:t>
            </w:r>
          </w:p>
        </w:tc>
      </w:tr>
      <w:tr w:rsidR="00465F4D" w:rsidRPr="00502E7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То же нарастающим итогом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-396,23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-483,67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-322,66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-167,95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-19,31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123,50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B65F46" w:rsidRDefault="00012F7B" w:rsidP="00B65F4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46">
              <w:rPr>
                <w:rFonts w:ascii="Times New Roman" w:hAnsi="Times New Roman"/>
                <w:sz w:val="20"/>
                <w:szCs w:val="20"/>
              </w:rPr>
              <w:t>260,71</w:t>
            </w:r>
          </w:p>
        </w:tc>
      </w:tr>
    </w:tbl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Капитальные вложения осваиваются следующим образом: в первом полугодии – приобретение и монтаж основных объектов основных средств, во втором – авансируется в оборотные средства дополнительная величина средств, т.к. возрастет объем производства. Операционные затраты определяются как разность между полной валовой себестоимостью и величиной амортизационных отчислений. Из таблицы 8 видно, ИЭЭ инвестиционного проекта составил 260,71 млн. руб. Поскольку ИЭЭ получился больше нуля, то проект является эффективным.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ИЭЭ= 260,71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 xml:space="preserve">Срок окупаемости наступает на </w:t>
      </w:r>
      <w:r w:rsidRPr="00502E7C">
        <w:rPr>
          <w:rFonts w:ascii="Times New Roman" w:hAnsi="Times New Roman"/>
          <w:color w:val="000000"/>
          <w:sz w:val="28"/>
          <w:szCs w:val="28"/>
        </w:rPr>
        <w:t>5 шаге</w:t>
      </w:r>
      <w:r w:rsidRPr="00502E7C">
        <w:rPr>
          <w:rFonts w:ascii="Times New Roman" w:hAnsi="Times New Roman"/>
          <w:sz w:val="28"/>
          <w:szCs w:val="28"/>
        </w:rPr>
        <w:t>. При этом можно более точно определить срок окупаемости по формуле: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16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3pt" o:ole="">
            <v:imagedata r:id="rId9" o:title=""/>
          </v:shape>
          <o:OLEObject Type="Embed" ProgID="Equation.3" ShapeID="_x0000_i1025" DrawAspect="Content" ObjectID="_1458382105" r:id="rId10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(2)</w:t>
      </w:r>
    </w:p>
    <w:p w:rsidR="00761367" w:rsidRDefault="00761367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где:</w:t>
      </w: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026" type="#_x0000_t75" style="width:26.25pt;height:15.75pt" o:ole="">
            <v:imagedata r:id="rId11" o:title=""/>
          </v:shape>
          <o:OLEObject Type="Embed" ProgID="Equation.3" ShapeID="_x0000_i1026" DrawAspect="Content" ObjectID="_1458382106" r:id="rId12"/>
        </w:object>
      </w:r>
      <w:r w:rsidR="00012F7B" w:rsidRPr="00502E7C">
        <w:rPr>
          <w:rFonts w:ascii="Times New Roman" w:hAnsi="Times New Roman"/>
          <w:sz w:val="28"/>
          <w:szCs w:val="28"/>
        </w:rPr>
        <w:t>- чистая прибыль (после вычета расходов, не уменьшающих налоговую базу налога на прибыль, но включаемых в себестоимость) за период, руб./период;</w:t>
      </w: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13" o:title=""/>
          </v:shape>
          <o:OLEObject Type="Embed" ProgID="Equation.3" ShapeID="_x0000_i1027" DrawAspect="Content" ObjectID="_1458382107" r:id="rId14"/>
        </w:object>
      </w:r>
      <w:r w:rsidR="00012F7B" w:rsidRPr="00502E7C">
        <w:rPr>
          <w:rFonts w:ascii="Times New Roman" w:hAnsi="Times New Roman"/>
          <w:sz w:val="28"/>
          <w:szCs w:val="28"/>
        </w:rPr>
        <w:t xml:space="preserve"> - амортизационные отчисления за период, руб./период;</w:t>
      </w: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4"/>
          <w:sz w:val="28"/>
          <w:szCs w:val="28"/>
        </w:rPr>
        <w:object w:dxaOrig="400" w:dyaOrig="260">
          <v:shape id="_x0000_i1028" type="#_x0000_t75" style="width:20.25pt;height:12.75pt" o:ole="">
            <v:imagedata r:id="rId15" o:title=""/>
          </v:shape>
          <o:OLEObject Type="Embed" ProgID="Equation.3" ShapeID="_x0000_i1028" DrawAspect="Content" ObjectID="_1458382108" r:id="rId16"/>
        </w:object>
      </w:r>
      <w:r w:rsidR="00012F7B" w:rsidRPr="00502E7C">
        <w:rPr>
          <w:rFonts w:ascii="Times New Roman" w:hAnsi="Times New Roman"/>
          <w:sz w:val="28"/>
          <w:szCs w:val="28"/>
        </w:rPr>
        <w:t xml:space="preserve"> - суммарная величина капитальных вложений, руб.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Рассчитаем срок окупаемости:</w:t>
      </w: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2340" w:dyaOrig="660">
          <v:shape id="_x0000_i1029" type="#_x0000_t75" style="width:117pt;height:33pt" o:ole="">
            <v:imagedata r:id="rId17" o:title=""/>
          </v:shape>
          <o:OLEObject Type="Embed" ProgID="Equation.3" ShapeID="_x0000_i1029" DrawAspect="Content" ObjectID="_1458382109" r:id="rId18"/>
        </w:object>
      </w:r>
      <w:r w:rsidR="00012F7B" w:rsidRPr="00502E7C">
        <w:rPr>
          <w:rFonts w:ascii="Times New Roman" w:hAnsi="Times New Roman"/>
          <w:sz w:val="28"/>
          <w:szCs w:val="28"/>
        </w:rPr>
        <w:t xml:space="preserve"> шага,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Поскольку срок окупаемости меньше расчетного периода, то это характеризует проект как эффективный.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На рисунке 1 представлен финансовый профиль инвестиционного проекта.</w:t>
      </w:r>
    </w:p>
    <w:p w:rsidR="00012F7B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Финансовый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профиль инвестиционного проекта</w:t>
      </w:r>
    </w:p>
    <w:p w:rsidR="00761367" w:rsidRDefault="00761367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367" w:rsidRDefault="00761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2F7B" w:rsidRPr="00502E7C" w:rsidRDefault="00E06402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6" o:spid="_x0000_i1030" type="#_x0000_t75" style="width:328.5pt;height:210.75pt;visibility:visible">
            <v:imagedata r:id="rId19" o:title=""/>
          </v:shape>
        </w:pict>
      </w:r>
    </w:p>
    <w:p w:rsidR="00012F7B" w:rsidRPr="00502E7C" w:rsidRDefault="00012F7B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szCs w:val="28"/>
        </w:rPr>
        <w:t>Р</w:t>
      </w:r>
      <w:r w:rsidRPr="00502E7C">
        <w:rPr>
          <w:caps w:val="0"/>
          <w:szCs w:val="28"/>
        </w:rPr>
        <w:t>ис. 1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761367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caps w:val="0"/>
          <w:szCs w:val="28"/>
        </w:rPr>
        <w:t>Таблица 9</w:t>
      </w:r>
      <w:r w:rsidR="00761367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Расчет суммы притоков и оттоков средств, млн. руб.</w:t>
      </w:r>
    </w:p>
    <w:tbl>
      <w:tblPr>
        <w:tblW w:w="893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134"/>
        <w:gridCol w:w="992"/>
        <w:gridCol w:w="851"/>
        <w:gridCol w:w="992"/>
        <w:gridCol w:w="992"/>
        <w:gridCol w:w="992"/>
        <w:gridCol w:w="993"/>
        <w:gridCol w:w="992"/>
        <w:gridCol w:w="995"/>
      </w:tblGrid>
      <w:tr w:rsidR="00012F7B" w:rsidRPr="00761367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Базовый период</w:t>
            </w:r>
          </w:p>
        </w:tc>
        <w:tc>
          <w:tcPr>
            <w:tcW w:w="6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761367" w:rsidRPr="00761367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36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761367" w:rsidRPr="0076136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Приток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2766,10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2766,1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761367" w:rsidRPr="0076136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Отток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2453,43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761367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2071,21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2970,85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2970,10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2969,36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2968,62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2967,88</w:t>
            </w:r>
          </w:p>
        </w:tc>
      </w:tr>
      <w:tr w:rsidR="00761367" w:rsidRPr="0076136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Прирост притока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-477,71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701,16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701,16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701,16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701,16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701,16</w:t>
            </w:r>
          </w:p>
        </w:tc>
      </w:tr>
      <w:tr w:rsidR="00761367" w:rsidRPr="0076136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Прирост оттока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-382,22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517,42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516,68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515,94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515,19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514,45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Прирост притока нарастающим итогом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-477,71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223,45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924,61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1625,77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2326,93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3028,09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Прирост оттока нарастающим итогом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549,26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1065,93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1581,87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2097,06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2611,51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Дисконтированный прирост притока</w:t>
            </w:r>
            <w:r w:rsidR="00502E7C" w:rsidRPr="007613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367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-437,46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614,44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587,99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562,68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538,45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515,27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Дисконтированный прирост оттока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396,23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-350,02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453,43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433,28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395,64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378,06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Прирост дисконтирванного притока нарастающим итогом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-437,46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176,98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764,97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1327,65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1866,11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2381,38</w:t>
            </w:r>
          </w:p>
        </w:tc>
      </w:tr>
      <w:tr w:rsidR="00761367" w:rsidRPr="00761367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Прирост дисконтирванного оттока нарастающим итогом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396,23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499,64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932,93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1346,96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1742,60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2120,67</w:t>
            </w:r>
          </w:p>
        </w:tc>
      </w:tr>
    </w:tbl>
    <w:p w:rsidR="00012F7B" w:rsidRPr="00761367" w:rsidRDefault="00012F7B" w:rsidP="00761367">
      <w:pPr>
        <w:tabs>
          <w:tab w:val="left" w:pos="12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Индексы доходности характеризуют «отдачу проекта» на вложенные средства. Они могут рассчитываться как для дисконтированных, так и для индексированных денежных потоков. При оценке эффективности часто используют:</w:t>
      </w:r>
    </w:p>
    <w:p w:rsidR="00012F7B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– индекс доходности затрат (ИДз) – отношение суммы притоков средств (накопленных поступлений) к сумме оттоков средств (накопленным платежам).</w:t>
      </w:r>
    </w:p>
    <w:p w:rsidR="00761367" w:rsidRPr="00502E7C" w:rsidRDefault="00761367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367" w:rsidRDefault="0062193C" w:rsidP="00761367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32"/>
          <w:sz w:val="28"/>
          <w:szCs w:val="28"/>
        </w:rPr>
        <w:object w:dxaOrig="1320" w:dyaOrig="740">
          <v:shape id="_x0000_i1031" type="#_x0000_t75" style="width:66pt;height:36.75pt" o:ole="">
            <v:imagedata r:id="rId20" o:title=""/>
          </v:shape>
          <o:OLEObject Type="Embed" ProgID="Equation.3" ShapeID="_x0000_i1031" DrawAspect="Content" ObjectID="_1458382110" r:id="rId21"/>
        </w:objec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(3)</w:t>
      </w:r>
      <w:r w:rsidR="00761367">
        <w:rPr>
          <w:rFonts w:ascii="Times New Roman" w:hAnsi="Times New Roman"/>
          <w:sz w:val="28"/>
          <w:szCs w:val="28"/>
        </w:rPr>
        <w:br w:type="page"/>
      </w:r>
    </w:p>
    <w:p w:rsidR="00012F7B" w:rsidRPr="00502E7C" w:rsidRDefault="0062193C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2200" w:dyaOrig="660">
          <v:shape id="_x0000_i1032" type="#_x0000_t75" style="width:110.25pt;height:33pt" o:ole="">
            <v:imagedata r:id="rId22" o:title=""/>
          </v:shape>
          <o:OLEObject Type="Embed" ProgID="Equation.3" ShapeID="_x0000_i1032" DrawAspect="Content" ObjectID="_1458382111" r:id="rId23"/>
        </w:objec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– индекс доходности дисконтированных затрат (ИДдз) – отношение суммы дисконтированных притоков средств (накопленных поступлений) к сумме дисконтированных оттоков средств(накопленным платежам).</w:t>
      </w:r>
    </w:p>
    <w:p w:rsidR="00761367" w:rsidRDefault="00761367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34"/>
          <w:sz w:val="28"/>
          <w:szCs w:val="28"/>
        </w:rPr>
        <w:object w:dxaOrig="1880" w:dyaOrig="800">
          <v:shape id="_x0000_i1033" type="#_x0000_t75" style="width:93.75pt;height:39.75pt" o:ole="">
            <v:imagedata r:id="rId24" o:title=""/>
          </v:shape>
          <o:OLEObject Type="Embed" ProgID="Equation.3" ShapeID="_x0000_i1033" DrawAspect="Content" ObjectID="_1458382112" r:id="rId25"/>
        </w:objec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(4)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2299" w:dyaOrig="660">
          <v:shape id="_x0000_i1034" type="#_x0000_t75" style="width:114.75pt;height:33pt" o:ole="">
            <v:imagedata r:id="rId26" o:title=""/>
          </v:shape>
          <o:OLEObject Type="Embed" ProgID="Equation.3" ShapeID="_x0000_i1034" DrawAspect="Content" ObjectID="_1458382113" r:id="rId27"/>
        </w:objec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– индекс доходности инвестиций (ИДи) – это увеличенное на единицу отношению экономического эффекта (ЭЭ) к накопленному объему инвестиций:</w:t>
      </w:r>
    </w:p>
    <w:p w:rsidR="00761367" w:rsidRDefault="00761367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64"/>
          <w:sz w:val="28"/>
          <w:szCs w:val="28"/>
        </w:rPr>
        <w:object w:dxaOrig="1860" w:dyaOrig="1020">
          <v:shape id="_x0000_i1035" type="#_x0000_t75" style="width:93pt;height:51pt" o:ole="">
            <v:imagedata r:id="rId28" o:title=""/>
          </v:shape>
          <o:OLEObject Type="Embed" ProgID="Equation.3" ShapeID="_x0000_i1035" DrawAspect="Content" ObjectID="_1458382114" r:id="rId29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(5)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3100" w:dyaOrig="660">
          <v:shape id="_x0000_i1036" type="#_x0000_t75" style="width:155.25pt;height:33pt" o:ole="">
            <v:imagedata r:id="rId30" o:title=""/>
          </v:shape>
          <o:OLEObject Type="Embed" ProgID="Equation.3" ShapeID="_x0000_i1036" DrawAspect="Content" ObjectID="_1458382115" r:id="rId31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– индекс доходности дисконтированных инвестиций (ИДди) равен увеличенному на единицу отношению ИЭЭ к накопленному дисконтированному объему инвестиций.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64"/>
          <w:sz w:val="28"/>
          <w:szCs w:val="28"/>
        </w:rPr>
        <w:object w:dxaOrig="2400" w:dyaOrig="1020">
          <v:shape id="_x0000_i1037" type="#_x0000_t75" style="width:120pt;height:51pt" o:ole="">
            <v:imagedata r:id="rId32" o:title=""/>
          </v:shape>
          <o:OLEObject Type="Embed" ProgID="Equation.3" ShapeID="_x0000_i1037" DrawAspect="Content" ObjectID="_1458382116" r:id="rId33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(6)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3760" w:dyaOrig="660">
          <v:shape id="_x0000_i1038" type="#_x0000_t75" style="width:188.25pt;height:33pt" o:ole="">
            <v:imagedata r:id="rId34" o:title=""/>
          </v:shape>
          <o:OLEObject Type="Embed" ProgID="Equation.3" ShapeID="_x0000_i1038" DrawAspect="Content" ObjectID="_1458382117" r:id="rId35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Так как все показатели больше единицы, то проект является эффективным.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Часто в дополнение к индексу доходности рассчитывают общую рентабельность инвестиций (</w:t>
      </w:r>
      <w:r w:rsidRPr="00502E7C">
        <w:rPr>
          <w:rFonts w:ascii="Times New Roman" w:hAnsi="Times New Roman"/>
          <w:sz w:val="28"/>
          <w:szCs w:val="28"/>
          <w:lang w:val="en-US"/>
        </w:rPr>
        <w:t>R</w:t>
      </w:r>
      <w:r w:rsidRPr="00502E7C">
        <w:rPr>
          <w:rFonts w:ascii="Times New Roman" w:hAnsi="Times New Roman"/>
          <w:sz w:val="28"/>
          <w:szCs w:val="28"/>
        </w:rPr>
        <w:t>о), которая определяется как отношение ИЭЭ проекта к дисконтированной стоимости инвестиционных затрат:</w:t>
      </w:r>
    </w:p>
    <w:p w:rsidR="00761367" w:rsidRDefault="00761367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  <w:lang w:val="en-US"/>
        </w:rPr>
        <w:t>Ro</w:t>
      </w:r>
      <w:r w:rsidRPr="00502E7C">
        <w:rPr>
          <w:rFonts w:ascii="Times New Roman" w:hAnsi="Times New Roman"/>
          <w:sz w:val="28"/>
          <w:szCs w:val="28"/>
        </w:rPr>
        <w:t>=ИДди-1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(7)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  <w:lang w:val="en-US"/>
        </w:rPr>
        <w:t>Ro</w:t>
      </w:r>
      <w:r w:rsidRPr="00502E7C">
        <w:rPr>
          <w:rFonts w:ascii="Times New Roman" w:hAnsi="Times New Roman"/>
          <w:sz w:val="28"/>
          <w:szCs w:val="28"/>
        </w:rPr>
        <w:t>=1,62-1=0,62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Из расчета видно, что проект эффективен, т.к. рентабельность равна 0,62 что больше нуля.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Простая рентабельность инвестиций (</w:t>
      </w:r>
      <w:r w:rsidRPr="00502E7C">
        <w:rPr>
          <w:rFonts w:ascii="Times New Roman" w:hAnsi="Times New Roman"/>
          <w:sz w:val="28"/>
          <w:szCs w:val="28"/>
          <w:lang w:val="en-US"/>
        </w:rPr>
        <w:t>R</w:t>
      </w:r>
      <w:r w:rsidRPr="00502E7C">
        <w:rPr>
          <w:rFonts w:ascii="Times New Roman" w:hAnsi="Times New Roman"/>
          <w:sz w:val="28"/>
          <w:szCs w:val="28"/>
        </w:rPr>
        <w:t>п) расчитываетя по формуле: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64"/>
          <w:sz w:val="28"/>
          <w:szCs w:val="28"/>
        </w:rPr>
        <w:object w:dxaOrig="1920" w:dyaOrig="1400">
          <v:shape id="_x0000_i1039" type="#_x0000_t75" style="width:96pt;height:69.75pt" o:ole="">
            <v:imagedata r:id="rId36" o:title=""/>
          </v:shape>
          <o:OLEObject Type="Embed" ProgID="Equation.3" ShapeID="_x0000_i1039" DrawAspect="Content" ObjectID="_1458382118" r:id="rId37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(8)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object w:dxaOrig="3300" w:dyaOrig="660">
          <v:shape id="_x0000_i1040" type="#_x0000_t75" style="width:165pt;height:33pt" o:ole="">
            <v:imagedata r:id="rId38" o:title=""/>
          </v:shape>
          <o:OLEObject Type="Embed" ProgID="Equation.3" ShapeID="_x0000_i1040" DrawAspect="Content" ObjectID="_1458382119" r:id="rId39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где: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ЧПр</w:t>
      </w:r>
      <w:r w:rsidRPr="00502E7C">
        <w:rPr>
          <w:rFonts w:ascii="Times New Roman" w:hAnsi="Times New Roman"/>
          <w:sz w:val="28"/>
          <w:szCs w:val="28"/>
          <w:lang w:val="en-US"/>
        </w:rPr>
        <w:t>i</w:t>
      </w:r>
      <w:r w:rsidRPr="00502E7C">
        <w:rPr>
          <w:rFonts w:ascii="Times New Roman" w:hAnsi="Times New Roman"/>
          <w:sz w:val="28"/>
          <w:szCs w:val="28"/>
        </w:rPr>
        <w:t xml:space="preserve"> – чистая прибыль на </w:t>
      </w:r>
      <w:r w:rsidRPr="00502E7C">
        <w:rPr>
          <w:rFonts w:ascii="Times New Roman" w:hAnsi="Times New Roman"/>
          <w:sz w:val="28"/>
          <w:szCs w:val="28"/>
          <w:lang w:val="en-US"/>
        </w:rPr>
        <w:t>i</w:t>
      </w:r>
      <w:r w:rsidRPr="00502E7C">
        <w:rPr>
          <w:rFonts w:ascii="Times New Roman" w:hAnsi="Times New Roman"/>
          <w:sz w:val="28"/>
          <w:szCs w:val="28"/>
        </w:rPr>
        <w:t xml:space="preserve"> шаге;</w:t>
      </w: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  <w:lang w:val="en-US"/>
        </w:rPr>
        <w:t>n</w:t>
      </w:r>
      <w:r w:rsidRPr="00502E7C">
        <w:rPr>
          <w:rFonts w:ascii="Times New Roman" w:hAnsi="Times New Roman"/>
          <w:sz w:val="28"/>
          <w:szCs w:val="28"/>
        </w:rPr>
        <w:t xml:space="preserve"> – количество шагов, в течение которых получаем чистую прибыль.</w:t>
      </w:r>
    </w:p>
    <w:p w:rsidR="00012F7B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Ускоренная простая рентабельность инвестиций (</w:t>
      </w:r>
      <w:r w:rsidRPr="00502E7C">
        <w:rPr>
          <w:rFonts w:ascii="Times New Roman" w:hAnsi="Times New Roman"/>
          <w:sz w:val="28"/>
          <w:szCs w:val="28"/>
          <w:lang w:val="en-US"/>
        </w:rPr>
        <w:t>Ry</w:t>
      </w:r>
      <w:r w:rsidRPr="00502E7C">
        <w:rPr>
          <w:rFonts w:ascii="Times New Roman" w:hAnsi="Times New Roman"/>
          <w:sz w:val="28"/>
          <w:szCs w:val="28"/>
        </w:rPr>
        <w:t>), которая определяется по формуле:</w:t>
      </w:r>
    </w:p>
    <w:p w:rsidR="00761367" w:rsidRPr="00502E7C" w:rsidRDefault="00761367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64"/>
          <w:sz w:val="28"/>
          <w:szCs w:val="28"/>
        </w:rPr>
        <w:object w:dxaOrig="2120" w:dyaOrig="1400">
          <v:shape id="_x0000_i1041" type="#_x0000_t75" style="width:105.75pt;height:69.75pt" o:ole="">
            <v:imagedata r:id="rId40" o:title=""/>
          </v:shape>
          <o:OLEObject Type="Embed" ProgID="Equation.3" ShapeID="_x0000_i1041" DrawAspect="Content" ObjectID="_1458382120" r:id="rId41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(9)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10"/>
          <w:sz w:val="28"/>
          <w:szCs w:val="28"/>
        </w:rPr>
        <w:object w:dxaOrig="980" w:dyaOrig="320">
          <v:shape id="_x0000_i1042" type="#_x0000_t75" style="width:66.75pt;height:21.75pt" o:ole="">
            <v:imagedata r:id="rId42" o:title=""/>
          </v:shape>
          <o:OLEObject Type="Embed" ProgID="Equation.3" ShapeID="_x0000_i1042" DrawAspect="Content" ObjectID="_1458382121" r:id="rId43"/>
        </w:object>
      </w:r>
    </w:p>
    <w:p w:rsidR="00012F7B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t>Рассчитаем точку безубыточности для 2 и 3го шагов данные представим в таблице</w:t>
      </w:r>
      <w:r w:rsidR="00502E7C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502E7C">
        <w:rPr>
          <w:rFonts w:ascii="Times New Roman" w:hAnsi="Times New Roman"/>
          <w:position w:val="-28"/>
          <w:sz w:val="28"/>
          <w:szCs w:val="28"/>
        </w:rPr>
        <w:t>для остальных шагов расчёт аналогичный.</w:t>
      </w:r>
    </w:p>
    <w:p w:rsidR="00761367" w:rsidRPr="00502E7C" w:rsidRDefault="00761367" w:rsidP="00502E7C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 xml:space="preserve">ТБ = </w:t>
      </w:r>
      <w:r w:rsidR="0062193C" w:rsidRPr="00502E7C">
        <w:rPr>
          <w:rFonts w:ascii="Times New Roman" w:hAnsi="Times New Roman"/>
          <w:position w:val="-28"/>
          <w:sz w:val="28"/>
          <w:szCs w:val="28"/>
        </w:rPr>
        <w:object w:dxaOrig="1040" w:dyaOrig="660">
          <v:shape id="_x0000_i1043" type="#_x0000_t75" style="width:66.75pt;height:41.25pt" o:ole="">
            <v:imagedata r:id="rId44" o:title=""/>
          </v:shape>
          <o:OLEObject Type="Embed" ProgID="Equation.3" ShapeID="_x0000_i1043" DrawAspect="Content" ObjectID="_1458382122" r:id="rId45"/>
        </w:objec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761367">
      <w:pPr>
        <w:spacing w:after="0" w:line="360" w:lineRule="auto"/>
        <w:ind w:firstLine="709"/>
        <w:rPr>
          <w:rFonts w:ascii="Times New Roman" w:hAnsi="Times New Roman"/>
          <w:position w:val="-28"/>
          <w:sz w:val="28"/>
          <w:szCs w:val="28"/>
        </w:rPr>
      </w:pPr>
      <w:r w:rsidRPr="00502E7C">
        <w:rPr>
          <w:rFonts w:ascii="Times New Roman" w:hAnsi="Times New Roman"/>
          <w:position w:val="-28"/>
          <w:sz w:val="28"/>
          <w:szCs w:val="28"/>
        </w:rPr>
        <w:t>Таблица 10</w:t>
      </w:r>
      <w:r w:rsidR="0076136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502E7C">
        <w:rPr>
          <w:rFonts w:ascii="Times New Roman" w:hAnsi="Times New Roman"/>
          <w:position w:val="-28"/>
          <w:sz w:val="28"/>
          <w:szCs w:val="28"/>
        </w:rPr>
        <w:t>Расчёт точки безубыточности, млн. руб.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61"/>
        <w:gridCol w:w="1908"/>
        <w:gridCol w:w="1003"/>
      </w:tblGrid>
      <w:tr w:rsidR="00012F7B" w:rsidRPr="00761367">
        <w:trPr>
          <w:trHeight w:val="250"/>
        </w:trPr>
        <w:tc>
          <w:tcPr>
            <w:tcW w:w="6161" w:type="dxa"/>
            <w:vMerge w:val="restart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911" w:type="dxa"/>
            <w:gridSpan w:val="2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Шаги расчётного периода</w:t>
            </w:r>
          </w:p>
        </w:tc>
      </w:tr>
      <w:tr w:rsidR="00012F7B" w:rsidRPr="00761367">
        <w:trPr>
          <w:trHeight w:val="160"/>
        </w:trPr>
        <w:tc>
          <w:tcPr>
            <w:tcW w:w="6161" w:type="dxa"/>
            <w:vMerge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</w:p>
        </w:tc>
        <w:tc>
          <w:tcPr>
            <w:tcW w:w="1908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3</w:t>
            </w:r>
          </w:p>
        </w:tc>
      </w:tr>
      <w:tr w:rsidR="00012F7B" w:rsidRPr="00761367">
        <w:trPr>
          <w:trHeight w:val="279"/>
        </w:trPr>
        <w:tc>
          <w:tcPr>
            <w:tcW w:w="6161" w:type="dxa"/>
            <w:tcBorders>
              <w:bottom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1.Объём производства тыс. шт.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1000,50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1101,00</w:t>
            </w:r>
          </w:p>
        </w:tc>
      </w:tr>
      <w:tr w:rsidR="00012F7B" w:rsidRPr="00761367">
        <w:trPr>
          <w:trHeight w:val="265"/>
        </w:trPr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2.Постоянные затраты на единицу продукции руб./ед.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1511,76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1388,42</w:t>
            </w:r>
          </w:p>
        </w:tc>
      </w:tr>
      <w:tr w:rsidR="00012F7B" w:rsidRPr="00761367">
        <w:trPr>
          <w:trHeight w:val="250"/>
        </w:trPr>
        <w:tc>
          <w:tcPr>
            <w:tcW w:w="6161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3. Переменные затраты на единицу продукции руб./ед.</w:t>
            </w:r>
          </w:p>
        </w:tc>
        <w:tc>
          <w:tcPr>
            <w:tcW w:w="1908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4494,94</w:t>
            </w:r>
          </w:p>
        </w:tc>
        <w:tc>
          <w:tcPr>
            <w:tcW w:w="1003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4470,34</w:t>
            </w:r>
          </w:p>
        </w:tc>
      </w:tr>
      <w:tr w:rsidR="00012F7B" w:rsidRPr="00761367">
        <w:trPr>
          <w:trHeight w:val="250"/>
        </w:trPr>
        <w:tc>
          <w:tcPr>
            <w:tcW w:w="6161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4.Суммарные постоянные затраты млн. руб.</w:t>
            </w:r>
          </w:p>
        </w:tc>
        <w:tc>
          <w:tcPr>
            <w:tcW w:w="1908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1459,56</w:t>
            </w:r>
          </w:p>
        </w:tc>
        <w:tc>
          <w:tcPr>
            <w:tcW w:w="1003" w:type="dxa"/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1506,16</w:t>
            </w:r>
          </w:p>
        </w:tc>
      </w:tr>
      <w:tr w:rsidR="00012F7B" w:rsidRPr="00761367">
        <w:trPr>
          <w:trHeight w:val="86"/>
        </w:trPr>
        <w:tc>
          <w:tcPr>
            <w:tcW w:w="6161" w:type="dxa"/>
            <w:tcBorders>
              <w:bottom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5.Цена руб./ед.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</w:tr>
      <w:tr w:rsidR="00012F7B" w:rsidRPr="00761367">
        <w:trPr>
          <w:trHeight w:val="186"/>
        </w:trPr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6.Точка безубыточности тыс. т.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266,4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012F7B" w:rsidRPr="00761367" w:rsidRDefault="00012F7B" w:rsidP="00761367">
            <w:pPr>
              <w:pStyle w:val="Style23"/>
              <w:widowControl/>
              <w:spacing w:line="360" w:lineRule="auto"/>
              <w:jc w:val="both"/>
              <w:rPr>
                <w:rStyle w:val="FontStyle63"/>
                <w:rFonts w:ascii="Times New Roman" w:hAnsi="Times New Roman" w:cs="Times New Roman"/>
              </w:rPr>
            </w:pPr>
            <w:r w:rsidRPr="00761367">
              <w:rPr>
                <w:rStyle w:val="FontStyle63"/>
                <w:rFonts w:ascii="Times New Roman" w:hAnsi="Times New Roman" w:cs="Times New Roman"/>
              </w:rPr>
              <w:t>219,8</w:t>
            </w:r>
          </w:p>
        </w:tc>
      </w:tr>
    </w:tbl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Данные показатели указывают но то, что проект эффективен, т.к. эффективность инвестиций больше нуля, а также и усредненная рентабельность инвестиций всегда больше нуля.</w:t>
      </w:r>
    </w:p>
    <w:p w:rsidR="00012F7B" w:rsidRDefault="00012F7B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Средний темп прироста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капитала, базируется на принципе наращении процентов показывает прирост капитала, получаемый в результате реализации проекта. Суммарный капитал К за расчетный период Т составляет первоначальную сумму собственных средств, вложенных в виде капитальных вложений КВсс, и величину экономического эффекта, рассматриваемого как прирост капитала. Под экономическим эффектом может пониматься ИЭЭ. Таким образом, средний темп прироста капитала рассчитывается по формуле:</w:t>
      </w:r>
    </w:p>
    <w:p w:rsidR="00761367" w:rsidRPr="00502E7C" w:rsidRDefault="00761367" w:rsidP="00502E7C">
      <w:pPr>
        <w:tabs>
          <w:tab w:val="left" w:pos="12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26"/>
          <w:sz w:val="28"/>
          <w:szCs w:val="28"/>
        </w:rPr>
        <w:object w:dxaOrig="2000" w:dyaOrig="700">
          <v:shape id="_x0000_i1044" type="#_x0000_t75" style="width:99.75pt;height:35.25pt" o:ole="">
            <v:imagedata r:id="rId46" o:title=""/>
          </v:shape>
          <o:OLEObject Type="Embed" ProgID="Equation.3" ShapeID="_x0000_i1044" DrawAspect="Content" ObjectID="_1458382123" r:id="rId47"/>
        </w:object>
      </w:r>
      <w:r w:rsidR="00012F7B" w:rsidRPr="00502E7C">
        <w:rPr>
          <w:rFonts w:ascii="Times New Roman" w:hAnsi="Times New Roman"/>
          <w:sz w:val="28"/>
          <w:szCs w:val="28"/>
        </w:rPr>
        <w:t>,</w:t>
      </w:r>
      <w:r w:rsidR="00502E7C">
        <w:rPr>
          <w:rFonts w:ascii="Times New Roman" w:hAnsi="Times New Roman"/>
          <w:sz w:val="28"/>
          <w:szCs w:val="28"/>
        </w:rPr>
        <w:t xml:space="preserve"> </w:t>
      </w:r>
      <w:r w:rsidR="00012F7B" w:rsidRPr="00502E7C">
        <w:rPr>
          <w:rFonts w:ascii="Times New Roman" w:hAnsi="Times New Roman"/>
          <w:sz w:val="28"/>
          <w:szCs w:val="28"/>
        </w:rPr>
        <w:t>(11)</w:t>
      </w:r>
    </w:p>
    <w:p w:rsidR="00012F7B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10"/>
          <w:sz w:val="28"/>
          <w:szCs w:val="28"/>
        </w:rPr>
        <w:object w:dxaOrig="1140" w:dyaOrig="320">
          <v:shape id="_x0000_i1045" type="#_x0000_t75" style="width:57pt;height:15.75pt" o:ole="">
            <v:imagedata r:id="rId48" o:title=""/>
          </v:shape>
          <o:OLEObject Type="Embed" ProgID="Equation.3" ShapeID="_x0000_i1045" DrawAspect="Content" ObjectID="_1458382124" r:id="rId49"/>
        </w:object>
      </w:r>
    </w:p>
    <w:p w:rsidR="00761367" w:rsidRDefault="00761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1367" w:rsidRDefault="00012F7B" w:rsidP="0076136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На основании всех рассчитанных показателей, можно сделать вывод, что инвестирование в действующее производство эффективно, проект целесообразен.</w:t>
      </w:r>
      <w:bookmarkStart w:id="6" w:name="_Toc199859698"/>
    </w:p>
    <w:p w:rsidR="00761367" w:rsidRDefault="00761367" w:rsidP="0076136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761367" w:rsidRDefault="00012F7B" w:rsidP="00761367">
      <w:pPr>
        <w:tabs>
          <w:tab w:val="left" w:pos="72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61367">
        <w:rPr>
          <w:rFonts w:ascii="Times New Roman" w:hAnsi="Times New Roman"/>
          <w:sz w:val="28"/>
          <w:szCs w:val="28"/>
        </w:rPr>
        <w:t>2.3 Оценка эффективности капитальных вложений</w:t>
      </w:r>
      <w:bookmarkEnd w:id="6"/>
      <w:r w:rsidRPr="00761367">
        <w:rPr>
          <w:rFonts w:ascii="Times New Roman" w:hAnsi="Times New Roman"/>
          <w:sz w:val="28"/>
          <w:szCs w:val="28"/>
        </w:rPr>
        <w:t xml:space="preserve"> с выходом на проектный объём производства</w:t>
      </w: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761367">
      <w:pPr>
        <w:tabs>
          <w:tab w:val="left" w:pos="810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11</w:t>
      </w:r>
      <w:r w:rsidR="00761367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величины налога на имущество, млн.руб.</w:t>
      </w: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3260"/>
        <w:gridCol w:w="851"/>
        <w:gridCol w:w="876"/>
        <w:gridCol w:w="846"/>
        <w:gridCol w:w="845"/>
        <w:gridCol w:w="820"/>
        <w:gridCol w:w="731"/>
        <w:gridCol w:w="843"/>
      </w:tblGrid>
      <w:tr w:rsidR="00954D51" w:rsidRPr="00761367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54D51" w:rsidRPr="00761367">
        <w:trPr>
          <w:trHeight w:val="76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Первоначальная стоимость основных средств, вводимых в эксплуатацию по проекту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954D51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</w:tr>
      <w:tr w:rsidR="00954D51" w:rsidRPr="00761367">
        <w:trPr>
          <w:trHeight w:val="76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Амортизационные отчисления на основные средства, введеные в эксплуатацию по проекту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</w:tr>
      <w:tr w:rsidR="00954D51" w:rsidRPr="0076136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То же нарастающим итогом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21,64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32,46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43,28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54,10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64,92</w:t>
            </w:r>
          </w:p>
        </w:tc>
      </w:tr>
      <w:tr w:rsidR="00954D51" w:rsidRPr="00761367">
        <w:trPr>
          <w:trHeight w:val="5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отстаточная стоимость основных средств, вводимых в эксплуатацию по проекту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399,18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388,36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377,54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366,72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954D51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345,08</w:t>
            </w:r>
          </w:p>
        </w:tc>
      </w:tr>
      <w:tr w:rsidR="00954D51" w:rsidRPr="00761367">
        <w:trPr>
          <w:trHeight w:val="102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Налоговая база налога на имущество (средняя остаточная стоимость введенных в эксплуатацию объектов основных средств)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205,00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404,59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393,77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382,95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372,13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361</w:t>
            </w:r>
            <w:r w:rsidR="00954D51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350,49</w:t>
            </w:r>
          </w:p>
        </w:tc>
      </w:tr>
      <w:tr w:rsidR="00954D51" w:rsidRPr="0076136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8,90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8,66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8,19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7,95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2F7B" w:rsidRPr="00761367" w:rsidRDefault="00012F7B" w:rsidP="0076136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367">
              <w:rPr>
                <w:rFonts w:ascii="Times New Roman" w:hAnsi="Times New Roman"/>
                <w:sz w:val="20"/>
                <w:szCs w:val="20"/>
              </w:rPr>
              <w:t>7,71</w:t>
            </w:r>
          </w:p>
        </w:tc>
      </w:tr>
    </w:tbl>
    <w:p w:rsidR="00954D51" w:rsidRDefault="00954D51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</w:p>
    <w:p w:rsidR="00012F7B" w:rsidRDefault="00012F7B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caps w:val="0"/>
          <w:szCs w:val="28"/>
        </w:rPr>
        <w:t>В таблице 12 представлен расчёт величины выучки и валовой полной себестоимости продукции.</w:t>
      </w:r>
    </w:p>
    <w:p w:rsidR="00954D51" w:rsidRPr="00954D51" w:rsidRDefault="00954D51" w:rsidP="00954D51"/>
    <w:p w:rsidR="00012F7B" w:rsidRPr="00502E7C" w:rsidRDefault="00012F7B" w:rsidP="00954D5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12</w:t>
      </w:r>
      <w:r w:rsidR="00954D51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величины выручки и валовой полной себестоимости, млн.руб.</w:t>
      </w:r>
    </w:p>
    <w:tbl>
      <w:tblPr>
        <w:tblW w:w="9244" w:type="dxa"/>
        <w:tblInd w:w="250" w:type="dxa"/>
        <w:tblLook w:val="0000" w:firstRow="0" w:lastRow="0" w:firstColumn="0" w:lastColumn="0" w:noHBand="0" w:noVBand="0"/>
      </w:tblPr>
      <w:tblGrid>
        <w:gridCol w:w="2693"/>
        <w:gridCol w:w="993"/>
        <w:gridCol w:w="992"/>
        <w:gridCol w:w="992"/>
        <w:gridCol w:w="866"/>
        <w:gridCol w:w="882"/>
        <w:gridCol w:w="960"/>
        <w:gridCol w:w="866"/>
      </w:tblGrid>
      <w:tr w:rsidR="00012F7B" w:rsidRPr="00502E7C">
        <w:trPr>
          <w:trHeight w:val="25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D5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Объем производства продукции, тыс. 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327,36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Цена продукции, руб./т.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6990,43</w:t>
            </w:r>
          </w:p>
        </w:tc>
      </w:tr>
      <w:tr w:rsidR="00954D51" w:rsidRPr="00502E7C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Полная себестоимость 1 тонны (без учета процентов за кредит), руб.т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6102,45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5838,42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5838,06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5837,72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5837,35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5837,01</w:t>
            </w:r>
          </w:p>
        </w:tc>
      </w:tr>
      <w:tr w:rsidR="00954D51" w:rsidRPr="00502E7C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Выручка (доход) от реализации продукции, без НДС, 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НДС начисленный, 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450,74</w:t>
            </w:r>
          </w:p>
        </w:tc>
      </w:tr>
      <w:tr w:rsidR="00954D51" w:rsidRPr="00502E7C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Валовая полная себестоимость продукции, млн.руб.,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2009,30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2906,77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2905,90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2904,18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2903,32</w:t>
            </w:r>
          </w:p>
        </w:tc>
      </w:tr>
      <w:tr w:rsidR="00954D51" w:rsidRPr="00502E7C">
        <w:trPr>
          <w:trHeight w:val="7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расходы, учитываемые в целях налогообложения прибыли (включаемые в полную себестоимость),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2007,79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2905,51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2904,90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2903,67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2903,07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проценты за кредит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8,66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7,95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7,71</w:t>
            </w:r>
          </w:p>
        </w:tc>
      </w:tr>
      <w:tr w:rsidR="00954D51" w:rsidRPr="00502E7C">
        <w:trPr>
          <w:trHeight w:val="7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расходы, не учитываемые в целях налогообложения прибыли (включаемые в полную себестоимость),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954D51" w:rsidRPr="00502E7C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проценты за кредит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54D51" w:rsidRDefault="00012F7B" w:rsidP="00954D5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D5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</w:tbl>
    <w:p w:rsidR="00954D51" w:rsidRDefault="00954D51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Default="00012F7B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szCs w:val="28"/>
        </w:rPr>
        <w:t>В</w:t>
      </w:r>
      <w:r w:rsidR="00502E7C">
        <w:rPr>
          <w:szCs w:val="28"/>
        </w:rPr>
        <w:t xml:space="preserve"> </w:t>
      </w:r>
      <w:r w:rsidRPr="00502E7C">
        <w:rPr>
          <w:caps w:val="0"/>
          <w:szCs w:val="28"/>
        </w:rPr>
        <w:t>таблице 13 представлен расчёт величины налога на прибыль в целях налогового учёта</w:t>
      </w:r>
    </w:p>
    <w:p w:rsidR="00D67AAB" w:rsidRPr="00D67AAB" w:rsidRDefault="00D67AAB" w:rsidP="00D67AAB"/>
    <w:p w:rsidR="00012F7B" w:rsidRPr="00502E7C" w:rsidRDefault="00012F7B" w:rsidP="00D67AA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13</w:t>
      </w:r>
      <w:r w:rsidR="00D67AAB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налога на прибыль, млн. руб.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2422"/>
        <w:gridCol w:w="766"/>
        <w:gridCol w:w="1058"/>
        <w:gridCol w:w="1058"/>
        <w:gridCol w:w="1058"/>
        <w:gridCol w:w="1009"/>
        <w:gridCol w:w="996"/>
        <w:gridCol w:w="866"/>
      </w:tblGrid>
      <w:tr w:rsidR="00012F7B" w:rsidRPr="00502E7C">
        <w:trPr>
          <w:trHeight w:val="255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2314,39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012F7B" w:rsidRPr="00502E7C">
        <w:trPr>
          <w:trHeight w:val="76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доходы, учитываемые при определении налоговой базы налога на прибыль, в том числе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доходы от</w:t>
            </w:r>
            <w:r w:rsidR="00502E7C" w:rsidRPr="00D67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7AAB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12F7B" w:rsidRPr="00502E7C">
        <w:trPr>
          <w:trHeight w:val="76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доходы, не учитываемые при определении налоговой базы налога на прибыль, в том числе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7AAB">
              <w:rPr>
                <w:rFonts w:ascii="Times New Roman" w:hAnsi="Times New Roman"/>
                <w:bCs/>
                <w:sz w:val="20"/>
                <w:szCs w:val="20"/>
              </w:rPr>
              <w:t>Расходы, в том числе: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414,51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2029,02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2926,25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2925,15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2924,05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2922,95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2921,85</w:t>
            </w:r>
          </w:p>
        </w:tc>
      </w:tr>
      <w:tr w:rsidR="00012F7B" w:rsidRPr="00502E7C">
        <w:trPr>
          <w:trHeight w:val="51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расходы, учитываемые в целях налогообложения прибыли, в том числе: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2007,79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2905,51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2904,90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2904,29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2903,67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2903,07</w:t>
            </w:r>
          </w:p>
        </w:tc>
      </w:tr>
      <w:tr w:rsidR="00012F7B" w:rsidRPr="00502E7C">
        <w:trPr>
          <w:trHeight w:val="51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расходы, связанные с производством и реализацией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2006,60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2904,52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2904,11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2903,70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2903,28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2902,87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012F7B" w:rsidRPr="00502E7C">
        <w:trPr>
          <w:trHeight w:val="51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расходы, не учитываемые в целях налогообложения прибыли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21,23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20,74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19,76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19,27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18,78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Налоговая база налога на прибыль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-4,51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280,60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561,74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562,36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562,96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563,58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564,19</w:t>
            </w:r>
          </w:p>
        </w:tc>
      </w:tr>
      <w:tr w:rsidR="00012F7B" w:rsidRPr="00502E7C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56,12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112,35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112,47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112,59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112,72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D67AAB" w:rsidRDefault="00012F7B" w:rsidP="00D67A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AAB">
              <w:rPr>
                <w:rFonts w:ascii="Times New Roman" w:hAnsi="Times New Roman"/>
                <w:sz w:val="20"/>
                <w:szCs w:val="20"/>
              </w:rPr>
              <w:t>112,84</w:t>
            </w:r>
          </w:p>
        </w:tc>
      </w:tr>
    </w:tbl>
    <w:p w:rsidR="005A11B3" w:rsidRDefault="005A11B3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5A11B3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szCs w:val="28"/>
        </w:rPr>
        <w:t>Т</w:t>
      </w:r>
      <w:r w:rsidRPr="00502E7C">
        <w:rPr>
          <w:caps w:val="0"/>
          <w:szCs w:val="28"/>
        </w:rPr>
        <w:t>аблица 14</w:t>
      </w:r>
      <w:r w:rsidR="005A11B3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Расчёт Интегрального экономического эффекта, млн.руб.</w:t>
      </w:r>
    </w:p>
    <w:tbl>
      <w:tblPr>
        <w:tblW w:w="9320" w:type="dxa"/>
        <w:tblInd w:w="250" w:type="dxa"/>
        <w:tblLook w:val="0000" w:firstRow="0" w:lastRow="0" w:firstColumn="0" w:lastColumn="0" w:noHBand="0" w:noVBand="0"/>
      </w:tblPr>
      <w:tblGrid>
        <w:gridCol w:w="2413"/>
        <w:gridCol w:w="859"/>
        <w:gridCol w:w="1038"/>
        <w:gridCol w:w="1038"/>
        <w:gridCol w:w="1031"/>
        <w:gridCol w:w="996"/>
        <w:gridCol w:w="992"/>
        <w:gridCol w:w="953"/>
      </w:tblGrid>
      <w:tr w:rsidR="00012F7B" w:rsidRPr="005A11B3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Приток средств, в том числе: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2288,39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B3">
              <w:rPr>
                <w:rFonts w:ascii="Times New Roman" w:hAnsi="Times New Roman"/>
                <w:bCs/>
                <w:sz w:val="20"/>
                <w:szCs w:val="20"/>
              </w:rPr>
              <w:t>Отток средств, в том числе: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419,02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2107,93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3035,63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3034,89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3034,15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3033,41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3032,67</w:t>
            </w:r>
          </w:p>
        </w:tc>
      </w:tr>
      <w:tr w:rsidR="00012F7B" w:rsidRPr="005A11B3">
        <w:trPr>
          <w:trHeight w:val="630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капитальные вложения за счет собственных средств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операционные затраты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9,02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1998,48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2895,95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2895,08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2894,22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2893,36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2892,50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возврат (погашение) кредита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56,12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112,35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112,47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112,59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112,72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112,84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Чистый доход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-419,02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180,46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431,62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432,37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433,10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433,85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434,58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0,9569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0,9158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0,8763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0,8386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0,8025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0,7679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0,7349</w:t>
            </w:r>
          </w:p>
        </w:tc>
      </w:tr>
      <w:tr w:rsidR="00012F7B" w:rsidRPr="005A11B3">
        <w:trPr>
          <w:trHeight w:val="630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Дисконтированный прирост чистого дохода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-400,98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165,26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378,24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362,58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347,56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333,17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319,37</w:t>
            </w:r>
          </w:p>
        </w:tc>
      </w:tr>
      <w:tr w:rsidR="00012F7B" w:rsidRPr="005A11B3">
        <w:trPr>
          <w:trHeight w:val="31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То же нарастающим итогом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-400,98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-235,73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142,52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505,10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852,66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1185,84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5A11B3" w:rsidRDefault="00012F7B" w:rsidP="005A11B3">
            <w:pPr>
              <w:spacing w:after="0" w:line="360" w:lineRule="auto"/>
              <w:ind w:firstLine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B3">
              <w:rPr>
                <w:rFonts w:ascii="Times New Roman" w:hAnsi="Times New Roman"/>
                <w:sz w:val="20"/>
                <w:szCs w:val="20"/>
              </w:rPr>
              <w:t>1505,21</w:t>
            </w:r>
          </w:p>
        </w:tc>
      </w:tr>
    </w:tbl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Рассчитаем срок окупаемости:</w:t>
      </w:r>
    </w:p>
    <w:p w:rsidR="005A11B3" w:rsidRDefault="005A11B3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62193C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046" type="#_x0000_t75" style="width:54.75pt;height:15.75pt" o:ole="">
            <v:imagedata r:id="rId50" o:title=""/>
          </v:shape>
          <o:OLEObject Type="Embed" ProgID="Equation.3" ShapeID="_x0000_i1046" DrawAspect="Content" ObjectID="_1458382125" r:id="rId51"/>
        </w:object>
      </w:r>
      <w:r w:rsidR="00012F7B" w:rsidRPr="00502E7C">
        <w:rPr>
          <w:rFonts w:ascii="Times New Roman" w:hAnsi="Times New Roman"/>
          <w:sz w:val="28"/>
          <w:szCs w:val="28"/>
        </w:rPr>
        <w:t xml:space="preserve"> шага,</w:t>
      </w:r>
    </w:p>
    <w:p w:rsidR="005A11B3" w:rsidRDefault="005A11B3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Default="00012F7B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Поскольку срок окупаемости меньше расчетного периода, то это характеризует проект как эффективный.</w:t>
      </w:r>
    </w:p>
    <w:p w:rsidR="005A11B3" w:rsidRPr="00502E7C" w:rsidRDefault="005A11B3" w:rsidP="00502E7C">
      <w:pPr>
        <w:tabs>
          <w:tab w:val="left" w:pos="8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E06402" w:rsidP="00502E7C">
      <w:pPr>
        <w:pStyle w:val="1"/>
        <w:spacing w:before="0" w:after="0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Рисунок 45" o:spid="_x0000_i1047" type="#_x0000_t75" style="width:348pt;height:181.5pt;visibility:visible">
            <v:imagedata r:id="rId52" o:title=""/>
          </v:shape>
        </w:pic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Рис.2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4314B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15</w:t>
      </w:r>
      <w:r w:rsidR="005A11B3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суммы притоков и оттоков средств, млн. руб.</w:t>
      </w: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2353"/>
        <w:gridCol w:w="766"/>
        <w:gridCol w:w="992"/>
        <w:gridCol w:w="992"/>
        <w:gridCol w:w="992"/>
        <w:gridCol w:w="995"/>
        <w:gridCol w:w="990"/>
        <w:gridCol w:w="992"/>
      </w:tblGrid>
      <w:tr w:rsidR="00012F7B" w:rsidRPr="004314BE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Приток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2314,39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3467,25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Отток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419,02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2107,93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3035,63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3034,89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3034,15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3033,41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3032,67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Прирост средств нарастающим итогом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2314,39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5781,64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9248,90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12716,15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16183,41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19650,66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Отток средств нарастающим итогом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419,02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2526,95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5562,58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8597,47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11631,62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14665,03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17697,70</w:t>
            </w:r>
          </w:p>
        </w:tc>
      </w:tr>
      <w:tr w:rsidR="00012F7B" w:rsidRPr="004314B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0,9158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0,8763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0,8386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0,8025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0,7679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0,7349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Дисконтированный приток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2119,40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3038,45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2907,64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2782,46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2662,67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2548,04</w:t>
            </w:r>
          </w:p>
        </w:tc>
      </w:tr>
      <w:tr w:rsidR="00012F7B" w:rsidRPr="004314B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Дисконтированный отток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400,98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1930,34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2660,20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2545,06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2434,90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2329,50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2228,67</w:t>
            </w:r>
          </w:p>
        </w:tc>
      </w:tr>
      <w:tr w:rsidR="00012F7B" w:rsidRPr="004314BE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Дисконтирванный приток нарастающим итогом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2119,40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5157,85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8065,49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10847,95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13510,62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16058,66</w:t>
            </w:r>
          </w:p>
        </w:tc>
      </w:tr>
      <w:tr w:rsidR="00012F7B" w:rsidRPr="004314BE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Дисконтирванный отток нарастающим итогом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400,98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2331,32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4991,52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7536,58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9971,48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12300,98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14529,65</w:t>
            </w:r>
          </w:p>
        </w:tc>
      </w:tr>
    </w:tbl>
    <w:p w:rsidR="00012F7B" w:rsidRPr="00502E7C" w:rsidRDefault="00012F7B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szCs w:val="28"/>
        </w:rPr>
        <w:t>П</w:t>
      </w:r>
      <w:r w:rsidRPr="00502E7C">
        <w:rPr>
          <w:caps w:val="0"/>
          <w:szCs w:val="28"/>
        </w:rPr>
        <w:t>одставим значения найденные в Таблице 16 и получим следующие результаты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4314B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16</w:t>
      </w:r>
      <w:r w:rsidR="004314BE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экономических показателей</w:t>
      </w:r>
    </w:p>
    <w:tbl>
      <w:tblPr>
        <w:tblpPr w:leftFromText="180" w:rightFromText="180" w:vertAnchor="text" w:horzAnchor="margin" w:tblpX="392" w:tblpY="160"/>
        <w:tblW w:w="8755" w:type="dxa"/>
        <w:tblLook w:val="0000" w:firstRow="0" w:lastRow="0" w:firstColumn="0" w:lastColumn="0" w:noHBand="0" w:noVBand="0"/>
      </w:tblPr>
      <w:tblGrid>
        <w:gridCol w:w="4928"/>
        <w:gridCol w:w="3827"/>
      </w:tblGrid>
      <w:tr w:rsidR="00012F7B" w:rsidRPr="00502E7C">
        <w:trPr>
          <w:trHeight w:val="3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ИДз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1,110351341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ИДдз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1,105234309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ИД ди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4,616910029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ИД инв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4,452311691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Rо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3,616910029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Rп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3,355179789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Rу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0,559196631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ТБ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219,8</w:t>
            </w:r>
          </w:p>
        </w:tc>
      </w:tr>
      <w:tr w:rsidR="00012F7B" w:rsidRPr="00502E7C">
        <w:trPr>
          <w:trHeight w:val="34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GR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4314BE" w:rsidRDefault="00012F7B" w:rsidP="004314BE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969,8106812</w:t>
            </w:r>
          </w:p>
        </w:tc>
      </w:tr>
    </w:tbl>
    <w:p w:rsidR="00012F7B" w:rsidRPr="00502E7C" w:rsidRDefault="00012F7B" w:rsidP="00502E7C">
      <w:pPr>
        <w:pStyle w:val="1"/>
        <w:spacing w:before="0" w:after="0"/>
        <w:ind w:firstLine="709"/>
        <w:jc w:val="both"/>
        <w:rPr>
          <w:caps w:val="0"/>
          <w:szCs w:val="28"/>
        </w:rPr>
      </w:pPr>
      <w:r w:rsidRPr="00502E7C">
        <w:rPr>
          <w:szCs w:val="28"/>
        </w:rPr>
        <w:t>П</w:t>
      </w:r>
      <w:r w:rsidRPr="00502E7C">
        <w:rPr>
          <w:caps w:val="0"/>
          <w:szCs w:val="28"/>
        </w:rPr>
        <w:t>оскольку индекс</w:t>
      </w:r>
      <w:r w:rsidR="00502E7C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доходности дисконтированных затрат больше единицы, то он характеризует проект как эффективный.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4314BE">
      <w:pPr>
        <w:spacing w:after="0" w:line="360" w:lineRule="auto"/>
        <w:ind w:firstLine="709"/>
        <w:rPr>
          <w:rFonts w:ascii="Times New Roman" w:hAnsi="Times New Roman"/>
          <w:caps/>
          <w:sz w:val="28"/>
          <w:szCs w:val="28"/>
        </w:rPr>
      </w:pPr>
      <w:r w:rsidRPr="00502E7C">
        <w:rPr>
          <w:rFonts w:ascii="Times New Roman" w:hAnsi="Times New Roman"/>
          <w:caps/>
          <w:sz w:val="28"/>
          <w:szCs w:val="28"/>
        </w:rPr>
        <w:t xml:space="preserve">2.4 </w:t>
      </w:r>
      <w:r w:rsidR="004314BE" w:rsidRPr="00502E7C">
        <w:rPr>
          <w:rFonts w:ascii="Times New Roman" w:hAnsi="Times New Roman"/>
          <w:sz w:val="28"/>
          <w:szCs w:val="28"/>
        </w:rPr>
        <w:t>Инвестирование в производство п/ф на внедренном оборудовании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012F7B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Рассмотрим третью типовую ситуацию, когда капитальные вложения осуществляются в производство, изделий, которые будут использоваться на данном предприятии в следующих пределах. В этом варианте отсутствует цена реализации. Кроме того, будет известна не полная себестоимость. В данном случае при расчете показателей коммерческой эффективности будет использоваться приростной метод.</w:t>
      </w:r>
    </w:p>
    <w:p w:rsidR="004314BE" w:rsidRPr="00502E7C" w:rsidRDefault="004314BE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17</w:t>
      </w:r>
      <w:r w:rsidR="004314BE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Исходные данные для инвестиционного проекта, млн.руб.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6208"/>
        <w:gridCol w:w="1588"/>
        <w:gridCol w:w="1319"/>
      </w:tblGrid>
      <w:tr w:rsidR="00012F7B" w:rsidRPr="00502E7C">
        <w:trPr>
          <w:trHeight w:val="478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Базовые значения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4BE">
              <w:rPr>
                <w:rFonts w:ascii="Times New Roman" w:hAnsi="Times New Roman"/>
                <w:bCs/>
                <w:sz w:val="20"/>
                <w:szCs w:val="20"/>
              </w:rPr>
              <w:t>Проектные значения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Производственная мощность, тыс. т./год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1000,50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1101,00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Загруженность мощностей, 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79,10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90,10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Рентабельность продукции, 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10,50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Объем производства, тыс. т./год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791,40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992,00</w:t>
            </w:r>
          </w:p>
        </w:tc>
      </w:tr>
      <w:tr w:rsidR="00012F7B" w:rsidRPr="00502E7C">
        <w:trPr>
          <w:trHeight w:val="478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Производственная себестоимость 1 тонны (без учете процентов за кредит и налога на имущество), руб./т.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6035,24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5757,23</w:t>
            </w:r>
          </w:p>
        </w:tc>
      </w:tr>
      <w:tr w:rsidR="00012F7B" w:rsidRPr="00502E7C">
        <w:trPr>
          <w:trHeight w:val="3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Экономия за счет производственной себестоимости, руб./т.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</w:tr>
      <w:tr w:rsidR="00012F7B" w:rsidRPr="00502E7C">
        <w:trPr>
          <w:trHeight w:val="343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Капитальные вложения, млн. руб.,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436,00</w:t>
            </w:r>
          </w:p>
        </w:tc>
      </w:tr>
      <w:tr w:rsidR="00012F7B" w:rsidRPr="00502E7C">
        <w:trPr>
          <w:trHeight w:val="343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 затраты на приобретение основных средств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 затраты на увеличение оборотных средств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Норма доходности, 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Рисковая надбавка, 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6,10</w:t>
            </w:r>
          </w:p>
        </w:tc>
      </w:tr>
      <w:tr w:rsidR="00012F7B" w:rsidRPr="00502E7C">
        <w:trPr>
          <w:trHeight w:val="254"/>
        </w:trPr>
        <w:tc>
          <w:tcPr>
            <w:tcW w:w="6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Расчетный период, годы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4314BE" w:rsidRDefault="00012F7B" w:rsidP="004314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</w:tbl>
    <w:p w:rsidR="004314BE" w:rsidRDefault="004314BE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Расчета налога на приобретаемое имущество и имеющееся имущество предприятия представлен в таблице 18</w:t>
      </w:r>
    </w:p>
    <w:p w:rsidR="004314BE" w:rsidRDefault="004314BE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4314B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18</w:t>
      </w:r>
      <w:r w:rsidR="004314BE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налога на имущество, млн.руб.</w:t>
      </w:r>
    </w:p>
    <w:tbl>
      <w:tblPr>
        <w:tblW w:w="9344" w:type="dxa"/>
        <w:tblInd w:w="226" w:type="dxa"/>
        <w:tblLook w:val="0000" w:firstRow="0" w:lastRow="0" w:firstColumn="0" w:lastColumn="0" w:noHBand="0" w:noVBand="0"/>
      </w:tblPr>
      <w:tblGrid>
        <w:gridCol w:w="315"/>
        <w:gridCol w:w="2370"/>
        <w:gridCol w:w="1018"/>
        <w:gridCol w:w="761"/>
        <w:gridCol w:w="761"/>
        <w:gridCol w:w="761"/>
        <w:gridCol w:w="837"/>
        <w:gridCol w:w="893"/>
        <w:gridCol w:w="862"/>
        <w:gridCol w:w="766"/>
      </w:tblGrid>
      <w:tr w:rsidR="00641F6B" w:rsidRPr="00502E7C">
        <w:trPr>
          <w:trHeight w:val="3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Базовый период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41F6B" w:rsidRPr="00502E7C">
        <w:trPr>
          <w:trHeight w:val="51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Первоначальная стоимость основных средств, вводимых в эксплуатацию по проекту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</w:tr>
      <w:tr w:rsidR="00641F6B" w:rsidRPr="00502E7C">
        <w:trPr>
          <w:trHeight w:val="51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Амортизационные отчисления на основные средства, введеные в эксплуатацию по проекту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</w:tr>
      <w:tr w:rsidR="00641F6B" w:rsidRPr="00502E7C">
        <w:trPr>
          <w:trHeight w:val="25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То же нарастающим итогом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21,64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32,46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43,28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54,10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64,92</w:t>
            </w:r>
          </w:p>
        </w:tc>
      </w:tr>
      <w:tr w:rsidR="00641F6B" w:rsidRPr="00502E7C">
        <w:trPr>
          <w:trHeight w:val="51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Остаточная стоимость основных средств, вводимых в эксплуатацию по проекту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377,54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366,72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355,90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345,0</w:t>
            </w:r>
          </w:p>
        </w:tc>
      </w:tr>
      <w:tr w:rsidR="00641F6B" w:rsidRPr="00502E7C">
        <w:trPr>
          <w:trHeight w:val="76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Амортизационные отчисления на основные средства, введеные в эксплуатацию в базовом (допроектном) периоде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641F6B" w:rsidRPr="00502E7C">
        <w:trPr>
          <w:trHeight w:val="76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отстаточная стоимость основных средств, вводимых в эксплуатацию в базовом (допроектном) периоде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641F6B" w:rsidRPr="00502E7C">
        <w:trPr>
          <w:trHeight w:val="25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Налоговая база налога на имущество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641F6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203,77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195,86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187,95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180,04</w:t>
            </w:r>
          </w:p>
        </w:tc>
      </w:tr>
      <w:tr w:rsidR="00641F6B" w:rsidRPr="00502E7C">
        <w:trPr>
          <w:trHeight w:val="25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4,31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3,96</w:t>
            </w:r>
          </w:p>
        </w:tc>
      </w:tr>
      <w:tr w:rsidR="00641F6B" w:rsidRPr="00502E7C">
        <w:trPr>
          <w:trHeight w:val="25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Прирост налога на имущество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4,33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4,16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3,98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3,46</w:t>
            </w:r>
          </w:p>
        </w:tc>
      </w:tr>
    </w:tbl>
    <w:p w:rsidR="00641F6B" w:rsidRDefault="00641F6B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641F6B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szCs w:val="28"/>
        </w:rPr>
        <w:t>т</w:t>
      </w:r>
      <w:r w:rsidRPr="00502E7C">
        <w:rPr>
          <w:caps w:val="0"/>
          <w:szCs w:val="28"/>
        </w:rPr>
        <w:t>аблица 19</w:t>
      </w:r>
      <w:r w:rsidR="00641F6B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Расчёт величины налога на прибыль, млн. руб.</w:t>
      </w:r>
    </w:p>
    <w:tbl>
      <w:tblPr>
        <w:tblW w:w="9237" w:type="dxa"/>
        <w:tblInd w:w="227" w:type="dxa"/>
        <w:tblLook w:val="0000" w:firstRow="0" w:lastRow="0" w:firstColumn="0" w:lastColumn="0" w:noHBand="0" w:noVBand="0"/>
      </w:tblPr>
      <w:tblGrid>
        <w:gridCol w:w="316"/>
        <w:gridCol w:w="3109"/>
        <w:gridCol w:w="851"/>
        <w:gridCol w:w="850"/>
        <w:gridCol w:w="793"/>
        <w:gridCol w:w="766"/>
        <w:gridCol w:w="851"/>
        <w:gridCol w:w="799"/>
        <w:gridCol w:w="902"/>
      </w:tblGrid>
      <w:tr w:rsidR="00012F7B" w:rsidRPr="00641F6B">
        <w:trPr>
          <w:trHeight w:val="255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 (полугодия)</w:t>
            </w:r>
          </w:p>
        </w:tc>
      </w:tr>
      <w:tr w:rsidR="00012F7B" w:rsidRPr="00641F6B">
        <w:trPr>
          <w:trHeight w:val="255"/>
        </w:trPr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F6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012F7B" w:rsidRPr="00641F6B">
        <w:trPr>
          <w:trHeight w:val="25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Объем производства, тыс.т.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327,36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496,00</w:t>
            </w:r>
          </w:p>
        </w:tc>
      </w:tr>
      <w:tr w:rsidR="00012F7B" w:rsidRPr="00641F6B">
        <w:trPr>
          <w:trHeight w:val="76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Экономия за счет снижения производственной себестоимости (без учета процентов за кредит и налога на имущество), руб./т.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278,01</w:t>
            </w:r>
          </w:p>
        </w:tc>
      </w:tr>
      <w:tr w:rsidR="00012F7B" w:rsidRPr="00641F6B">
        <w:trPr>
          <w:trHeight w:val="81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Валовая экономия за счет снижения производственной себестоимости (без учета процентов за кредит и налога на имущество), руб./т.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91,01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</w:tr>
      <w:tr w:rsidR="00012F7B" w:rsidRPr="00641F6B">
        <w:trPr>
          <w:trHeight w:val="76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Проценты за кредит, включаемые в расходы, учитываемые в целях налогообложения прибыли, млн.руб.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012F7B" w:rsidRPr="00641F6B">
        <w:trPr>
          <w:trHeight w:val="25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Прирост налога на имущество, 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4,16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3,46</w:t>
            </w:r>
          </w:p>
        </w:tc>
      </w:tr>
      <w:tr w:rsidR="00012F7B" w:rsidRPr="00641F6B">
        <w:trPr>
          <w:trHeight w:val="63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Дополнительная прибыль до налогообложения (прирост валовой базы налога на прибыль), 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85,49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132,75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133,49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133,86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134,23</w:t>
            </w:r>
          </w:p>
        </w:tc>
      </w:tr>
      <w:tr w:rsidR="00012F7B" w:rsidRPr="00641F6B">
        <w:trPr>
          <w:trHeight w:val="25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Дополнительный налог на прибыль, 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-0,90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17,10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26,55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26,70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26,77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641F6B" w:rsidRDefault="00012F7B" w:rsidP="00641F6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F6B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</w:tr>
    </w:tbl>
    <w:p w:rsidR="00981728" w:rsidRDefault="00981728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981728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szCs w:val="28"/>
        </w:rPr>
        <w:t>Т</w:t>
      </w:r>
      <w:r w:rsidRPr="00502E7C">
        <w:rPr>
          <w:caps w:val="0"/>
          <w:szCs w:val="28"/>
        </w:rPr>
        <w:t>аблица 20</w:t>
      </w:r>
      <w:r w:rsidR="00981728">
        <w:rPr>
          <w:caps w:val="0"/>
          <w:szCs w:val="28"/>
        </w:rPr>
        <w:t xml:space="preserve"> </w:t>
      </w:r>
      <w:r w:rsidRPr="00502E7C">
        <w:rPr>
          <w:caps w:val="0"/>
          <w:szCs w:val="28"/>
        </w:rPr>
        <w:t>Расчёт интегрального экономического эффекта, млн.руб.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417"/>
        <w:gridCol w:w="2986"/>
        <w:gridCol w:w="823"/>
        <w:gridCol w:w="766"/>
        <w:gridCol w:w="866"/>
        <w:gridCol w:w="839"/>
        <w:gridCol w:w="851"/>
        <w:gridCol w:w="853"/>
        <w:gridCol w:w="813"/>
      </w:tblGrid>
      <w:tr w:rsidR="00012F7B" w:rsidRPr="00981728">
        <w:trPr>
          <w:trHeight w:val="31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 (полугодия)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Приток средств, 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96,83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</w:tr>
      <w:tr w:rsidR="00981728" w:rsidRPr="00981728">
        <w:trPr>
          <w:trHeight w:val="9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валовая экономия за счет снижения производственной себестоимости (без учета процентов за кредит и налога на имущество)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91,01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137,89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прирост амортизационных отчислений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Отток средств, 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249,60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77,46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59,19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58,64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58,09</w:t>
            </w:r>
          </w:p>
        </w:tc>
      </w:tr>
      <w:tr w:rsidR="00981728" w:rsidRPr="00981728">
        <w:trPr>
          <w:trHeight w:val="6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капитальные вложения за счет собственных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246,00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возврат (погашение) кредита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27,33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проценты за кредит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2,25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-0,90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17,10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26,55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26,70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26,77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прирост налога на имущество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4,51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4,33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4,16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3,46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Чистый доход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-249,60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19,37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83,43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83,97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84,52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85,07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85,62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0,9569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0,9158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0,8763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0,8386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0,8025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0,7679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0,7349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Дисконтированный прирост чистого дохода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-238,86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17,74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73,11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67,83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65,33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62,92</w:t>
            </w:r>
          </w:p>
        </w:tc>
      </w:tr>
      <w:tr w:rsidR="00981728" w:rsidRPr="00981728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То же нарастающим итогом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-238,86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-221,12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-148,01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-77,59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-9,76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55,57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118,49</w:t>
            </w:r>
          </w:p>
        </w:tc>
      </w:tr>
    </w:tbl>
    <w:p w:rsidR="00012F7B" w:rsidRPr="00502E7C" w:rsidRDefault="00012F7B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98172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Таблица 21</w:t>
      </w:r>
      <w:r w:rsidR="00981728">
        <w:rPr>
          <w:rFonts w:ascii="Times New Roman" w:hAnsi="Times New Roman"/>
          <w:sz w:val="28"/>
          <w:szCs w:val="28"/>
        </w:rPr>
        <w:t xml:space="preserve"> </w:t>
      </w:r>
      <w:r w:rsidRPr="00502E7C">
        <w:rPr>
          <w:rFonts w:ascii="Times New Roman" w:hAnsi="Times New Roman"/>
          <w:sz w:val="28"/>
          <w:szCs w:val="28"/>
        </w:rPr>
        <w:t>Расчёт суммы притоков и оттоков средств, млн. руб.</w:t>
      </w:r>
    </w:p>
    <w:tbl>
      <w:tblPr>
        <w:tblW w:w="9237" w:type="dxa"/>
        <w:tblInd w:w="227" w:type="dxa"/>
        <w:tblLook w:val="0000" w:firstRow="0" w:lastRow="0" w:firstColumn="0" w:lastColumn="0" w:noHBand="0" w:noVBand="0"/>
      </w:tblPr>
      <w:tblGrid>
        <w:gridCol w:w="316"/>
        <w:gridCol w:w="1966"/>
        <w:gridCol w:w="986"/>
        <w:gridCol w:w="986"/>
        <w:gridCol w:w="986"/>
        <w:gridCol w:w="1077"/>
        <w:gridCol w:w="1077"/>
        <w:gridCol w:w="1077"/>
        <w:gridCol w:w="766"/>
      </w:tblGrid>
      <w:tr w:rsidR="00012F7B" w:rsidRPr="00981728">
        <w:trPr>
          <w:trHeight w:val="315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Шаги расчетного периода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72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Приток средств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96,83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143,71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Отток средств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249,60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77,46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59,74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59,19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58,64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58,09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Прирост средств нарастающим итогом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96,83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240,54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384,25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527,96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671,67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815,39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Отток средств нарастающим итогом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249,60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327,06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387,35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447,09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506,27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564,91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623,00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0,9569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0,9158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0,8763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0,8386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0,8025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0,7679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0,7349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Дисконтированный приток средств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88,67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125,94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120,52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115,33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110,36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105,61</w:t>
            </w:r>
          </w:p>
        </w:tc>
      </w:tr>
      <w:tr w:rsidR="00012F7B" w:rsidRPr="00981728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Дисконтированный отток средств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238,86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70,93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52,83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50,10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45,03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42,69</w:t>
            </w:r>
          </w:p>
        </w:tc>
      </w:tr>
      <w:tr w:rsidR="00012F7B" w:rsidRPr="00981728">
        <w:trPr>
          <w:trHeight w:val="63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Дисконтирванный приток нарастающим итогом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88,67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214,61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335,13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450,45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560,82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666,43</w:t>
            </w:r>
          </w:p>
        </w:tc>
      </w:tr>
      <w:tr w:rsidR="00012F7B" w:rsidRPr="00981728">
        <w:trPr>
          <w:trHeight w:val="63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Дисконтирванный отток нарастающим итогом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238,86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309,79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362,62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412,72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460,21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505,25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547,94</w:t>
            </w:r>
          </w:p>
        </w:tc>
      </w:tr>
    </w:tbl>
    <w:p w:rsidR="00981728" w:rsidRDefault="00981728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981728">
      <w:pPr>
        <w:pStyle w:val="1"/>
        <w:spacing w:before="0" w:after="0"/>
        <w:ind w:firstLine="709"/>
        <w:jc w:val="both"/>
        <w:rPr>
          <w:szCs w:val="28"/>
        </w:rPr>
      </w:pPr>
      <w:r w:rsidRPr="00502E7C">
        <w:rPr>
          <w:szCs w:val="28"/>
        </w:rPr>
        <w:t>Т</w:t>
      </w:r>
      <w:r w:rsidRPr="00502E7C">
        <w:rPr>
          <w:caps w:val="0"/>
          <w:szCs w:val="28"/>
        </w:rPr>
        <w:t>аблица 22</w:t>
      </w:r>
      <w:r w:rsidR="00981728">
        <w:rPr>
          <w:caps w:val="0"/>
          <w:szCs w:val="28"/>
        </w:rPr>
        <w:t xml:space="preserve"> Р</w:t>
      </w:r>
      <w:r w:rsidR="00981728" w:rsidRPr="00502E7C">
        <w:rPr>
          <w:caps w:val="0"/>
          <w:szCs w:val="28"/>
        </w:rPr>
        <w:t>асчёт экономических показателей, млн. Руб.</w:t>
      </w: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5812"/>
        <w:gridCol w:w="3260"/>
      </w:tblGrid>
      <w:tr w:rsidR="00012F7B" w:rsidRPr="00502E7C">
        <w:trPr>
          <w:trHeight w:val="3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</w:tr>
      <w:tr w:rsidR="00012F7B" w:rsidRPr="00502E7C">
        <w:trPr>
          <w:trHeight w:val="3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ИД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1,308799849</w:t>
            </w:r>
          </w:p>
        </w:tc>
      </w:tr>
      <w:tr w:rsidR="00012F7B" w:rsidRPr="00502E7C">
        <w:trPr>
          <w:trHeight w:val="3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ИД дис.затрат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1,216251145</w:t>
            </w:r>
          </w:p>
        </w:tc>
      </w:tr>
      <w:tr w:rsidR="00012F7B" w:rsidRPr="00502E7C">
        <w:trPr>
          <w:trHeight w:val="3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ИД диск.инв.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1,284727538</w:t>
            </w:r>
          </w:p>
        </w:tc>
      </w:tr>
      <w:tr w:rsidR="00012F7B" w:rsidRPr="00502E7C">
        <w:trPr>
          <w:trHeight w:val="3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ИД инв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1,271770158</w:t>
            </w:r>
          </w:p>
        </w:tc>
      </w:tr>
      <w:tr w:rsidR="00012F7B" w:rsidRPr="00502E7C">
        <w:trPr>
          <w:trHeight w:val="3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Ток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5,85</w:t>
            </w:r>
          </w:p>
        </w:tc>
      </w:tr>
      <w:tr w:rsidR="00012F7B" w:rsidRPr="00502E7C">
        <w:trPr>
          <w:trHeight w:val="3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GR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2F7B" w:rsidRPr="00981728" w:rsidRDefault="00012F7B" w:rsidP="009817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728">
              <w:rPr>
                <w:rFonts w:ascii="Times New Roman" w:hAnsi="Times New Roman"/>
                <w:sz w:val="20"/>
                <w:szCs w:val="20"/>
              </w:rPr>
              <w:t>2,958752883</w:t>
            </w:r>
          </w:p>
        </w:tc>
      </w:tr>
    </w:tbl>
    <w:p w:rsidR="00981728" w:rsidRDefault="00981728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981728" w:rsidRDefault="00981728" w:rsidP="00502E7C">
      <w:pPr>
        <w:pStyle w:val="1"/>
        <w:spacing w:before="0" w:after="0"/>
        <w:ind w:firstLine="709"/>
        <w:jc w:val="both"/>
        <w:rPr>
          <w:szCs w:val="28"/>
        </w:rPr>
      </w:pPr>
    </w:p>
    <w:p w:rsidR="00012F7B" w:rsidRPr="00502E7C" w:rsidRDefault="00012F7B" w:rsidP="00981728">
      <w:pPr>
        <w:pStyle w:val="1"/>
        <w:spacing w:before="0" w:after="0"/>
        <w:ind w:firstLine="709"/>
        <w:jc w:val="left"/>
        <w:rPr>
          <w:szCs w:val="28"/>
        </w:rPr>
      </w:pPr>
      <w:r w:rsidRPr="00502E7C">
        <w:rPr>
          <w:szCs w:val="28"/>
        </w:rPr>
        <w:br w:type="page"/>
      </w:r>
      <w:bookmarkStart w:id="7" w:name="_Toc199859699"/>
      <w:r w:rsidR="00981728" w:rsidRPr="00502E7C">
        <w:rPr>
          <w:caps w:val="0"/>
          <w:szCs w:val="28"/>
        </w:rPr>
        <w:t>Заключение</w:t>
      </w:r>
      <w:bookmarkEnd w:id="7"/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Рассчитав все необходимые показатели для оценки эффективности инвестиционного проекта мы видим, что все инвестиционные проекты не рискованны, и их внедрение целесообразно.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Инвестиционный проект в действующее производство позволит нам увеличить объем выпуска продукции, снизить затраты.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Также целесообразно инвестирование в действующие производство, что позволит нам, окупить вложенные средства в достаточно короткий период и в дальнейшем успешное процветании.</w:t>
      </w:r>
    </w:p>
    <w:p w:rsidR="00012F7B" w:rsidRPr="00502E7C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данной курсовой работе была проделана оценка инвестиционных проектов, также изучение показателей оценка, изучение теоретической части.</w:t>
      </w:r>
    </w:p>
    <w:p w:rsidR="00012F7B" w:rsidRDefault="00012F7B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В ходе курсовой работы поставленные цели и задачи были выполнены. В общем курсовую работу я считаю успешной.</w:t>
      </w:r>
    </w:p>
    <w:p w:rsidR="00981728" w:rsidRPr="00502E7C" w:rsidRDefault="00981728" w:rsidP="00502E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7B" w:rsidRDefault="00012F7B" w:rsidP="00981728">
      <w:pPr>
        <w:pStyle w:val="1"/>
        <w:spacing w:before="0" w:after="0"/>
        <w:ind w:firstLine="709"/>
        <w:jc w:val="left"/>
        <w:rPr>
          <w:caps w:val="0"/>
          <w:szCs w:val="28"/>
        </w:rPr>
      </w:pPr>
      <w:r w:rsidRPr="00502E7C">
        <w:rPr>
          <w:szCs w:val="28"/>
        </w:rPr>
        <w:br w:type="page"/>
      </w:r>
      <w:bookmarkEnd w:id="2"/>
      <w:bookmarkEnd w:id="3"/>
      <w:bookmarkEnd w:id="4"/>
      <w:r w:rsidR="00981728" w:rsidRPr="00502E7C">
        <w:rPr>
          <w:caps w:val="0"/>
          <w:szCs w:val="28"/>
        </w:rPr>
        <w:t>Библиографический список</w:t>
      </w:r>
    </w:p>
    <w:p w:rsidR="00981728" w:rsidRPr="00981728" w:rsidRDefault="00981728" w:rsidP="00981728"/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Бернс, Хаврвнек Руководство по оценке эффективности инвестиций, К, 1996г.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Бормвич М.К. Анализ экономической эффективности капвложений, М, 1994г.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ГК РФ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Лимитовский М.А. Основы оценки инвестиционных и финансовых решений., М, 1997г.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Старк, Как рассчитать эффективность инвестиций, М, 1994г.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Сироткин С.А. Экономическая оценка инвестиционных проектов; учебник для студентов, С.А. Сироткин, Н.Р. Ключевская 2-е изд. –М .: ЮНИТИ –ДАНА,2009-287с.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Шарп и др. Инвестиции, М. 1998г.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Инвестиционный анализ: теория выбора (оценка инвестиционных проектов). // Инвестиции в России, 2002, №1/2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Расчет показателей при оценке эффективности инвестиционного проекта.// Экономика строительства, 2000, №12</w:t>
      </w:r>
    </w:p>
    <w:p w:rsidR="00012F7B" w:rsidRPr="00502E7C" w:rsidRDefault="00012F7B" w:rsidP="00981728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E7C">
        <w:rPr>
          <w:rFonts w:ascii="Times New Roman" w:hAnsi="Times New Roman"/>
          <w:sz w:val="28"/>
          <w:szCs w:val="28"/>
        </w:rPr>
        <w:t>Экономическая эффективность инвестиций: показатели и методы определения, // Экономист, 2003, №12</w:t>
      </w:r>
      <w:bookmarkStart w:id="8" w:name="_GoBack"/>
      <w:bookmarkEnd w:id="8"/>
    </w:p>
    <w:sectPr w:rsidR="00012F7B" w:rsidRPr="00502E7C" w:rsidSect="00502E7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79" w:rsidRDefault="00937179">
      <w:pPr>
        <w:spacing w:after="0" w:line="240" w:lineRule="auto"/>
      </w:pPr>
      <w:r>
        <w:separator/>
      </w:r>
    </w:p>
  </w:endnote>
  <w:endnote w:type="continuationSeparator" w:id="0">
    <w:p w:rsidR="00937179" w:rsidRDefault="0093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79" w:rsidRDefault="00937179">
      <w:pPr>
        <w:spacing w:after="0" w:line="240" w:lineRule="auto"/>
      </w:pPr>
      <w:r>
        <w:separator/>
      </w:r>
    </w:p>
  </w:footnote>
  <w:footnote w:type="continuationSeparator" w:id="0">
    <w:p w:rsidR="00937179" w:rsidRDefault="0093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34" w:rsidRDefault="00DA0234" w:rsidP="004E28F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234" w:rsidRDefault="00DA0234" w:rsidP="004E28F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34" w:rsidRPr="00E907EA" w:rsidRDefault="00DA0234" w:rsidP="00066F24">
    <w:pPr>
      <w:pStyle w:val="a6"/>
      <w:framePr w:wrap="around" w:vAnchor="text" w:hAnchor="margin" w:xAlign="right" w:y="1"/>
      <w:rPr>
        <w:rStyle w:val="a8"/>
        <w:lang w:val="en-US"/>
      </w:rPr>
    </w:pPr>
  </w:p>
  <w:p w:rsidR="00DA0234" w:rsidRPr="002F75B4" w:rsidRDefault="00DA0234" w:rsidP="004E28F9">
    <w:pPr>
      <w:pStyle w:val="a6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75A0"/>
    <w:multiLevelType w:val="hybridMultilevel"/>
    <w:tmpl w:val="0B9C9B38"/>
    <w:lvl w:ilvl="0" w:tplc="DF1023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664626"/>
    <w:multiLevelType w:val="multilevel"/>
    <w:tmpl w:val="965257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5F044DF"/>
    <w:multiLevelType w:val="hybridMultilevel"/>
    <w:tmpl w:val="CB8673AE"/>
    <w:lvl w:ilvl="0" w:tplc="41A4A04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93D5D8F"/>
    <w:multiLevelType w:val="hybridMultilevel"/>
    <w:tmpl w:val="965257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9B02C14"/>
    <w:multiLevelType w:val="multilevel"/>
    <w:tmpl w:val="DCC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AB7991"/>
    <w:multiLevelType w:val="multilevel"/>
    <w:tmpl w:val="DCC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C30AB"/>
    <w:multiLevelType w:val="multilevel"/>
    <w:tmpl w:val="965257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9236F36"/>
    <w:multiLevelType w:val="multilevel"/>
    <w:tmpl w:val="DCC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6932CF"/>
    <w:multiLevelType w:val="hybridMultilevel"/>
    <w:tmpl w:val="DCC65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D131BF"/>
    <w:multiLevelType w:val="hybridMultilevel"/>
    <w:tmpl w:val="79148F6E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16D70"/>
    <w:multiLevelType w:val="hybridMultilevel"/>
    <w:tmpl w:val="82D216E8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0E56E49"/>
    <w:multiLevelType w:val="multilevel"/>
    <w:tmpl w:val="1654055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38F44E0"/>
    <w:multiLevelType w:val="hybridMultilevel"/>
    <w:tmpl w:val="3F924764"/>
    <w:lvl w:ilvl="0" w:tplc="2EB41C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3CE31E39"/>
    <w:multiLevelType w:val="hybridMultilevel"/>
    <w:tmpl w:val="397A72FE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5CF5B96"/>
    <w:multiLevelType w:val="multilevel"/>
    <w:tmpl w:val="5B68248A"/>
    <w:lvl w:ilvl="0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15">
    <w:nsid w:val="48B63C7F"/>
    <w:multiLevelType w:val="hybridMultilevel"/>
    <w:tmpl w:val="2A2AF966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EB340F"/>
    <w:multiLevelType w:val="multilevel"/>
    <w:tmpl w:val="5B68248A"/>
    <w:lvl w:ilvl="0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17">
    <w:nsid w:val="56C508E3"/>
    <w:multiLevelType w:val="hybridMultilevel"/>
    <w:tmpl w:val="221A8D98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57687374"/>
    <w:multiLevelType w:val="hybridMultilevel"/>
    <w:tmpl w:val="1654055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B0A4792"/>
    <w:multiLevelType w:val="multilevel"/>
    <w:tmpl w:val="5B68248A"/>
    <w:lvl w:ilvl="0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0">
    <w:nsid w:val="64D32C84"/>
    <w:multiLevelType w:val="hybridMultilevel"/>
    <w:tmpl w:val="EDC418BE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1">
    <w:nsid w:val="65291905"/>
    <w:multiLevelType w:val="hybridMultilevel"/>
    <w:tmpl w:val="0D9A3A4A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2">
    <w:nsid w:val="69A9375C"/>
    <w:multiLevelType w:val="hybridMultilevel"/>
    <w:tmpl w:val="5B68248A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>
    <w:nsid w:val="6D081EE6"/>
    <w:multiLevelType w:val="hybridMultilevel"/>
    <w:tmpl w:val="243673E4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4">
    <w:nsid w:val="71C61741"/>
    <w:multiLevelType w:val="hybridMultilevel"/>
    <w:tmpl w:val="A3B84602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AD24A5"/>
    <w:multiLevelType w:val="hybridMultilevel"/>
    <w:tmpl w:val="0E145A80"/>
    <w:lvl w:ilvl="0" w:tplc="A434E9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770A11F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7D169E6"/>
    <w:multiLevelType w:val="hybridMultilevel"/>
    <w:tmpl w:val="C970686A"/>
    <w:lvl w:ilvl="0" w:tplc="AF8883B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8F52743"/>
    <w:multiLevelType w:val="multilevel"/>
    <w:tmpl w:val="1654055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0"/>
  </w:num>
  <w:num w:numId="4">
    <w:abstractNumId w:val="25"/>
  </w:num>
  <w:num w:numId="5">
    <w:abstractNumId w:val="2"/>
  </w:num>
  <w:num w:numId="6">
    <w:abstractNumId w:val="22"/>
  </w:num>
  <w:num w:numId="7">
    <w:abstractNumId w:val="3"/>
  </w:num>
  <w:num w:numId="8">
    <w:abstractNumId w:val="18"/>
  </w:num>
  <w:num w:numId="9">
    <w:abstractNumId w:val="8"/>
  </w:num>
  <w:num w:numId="10">
    <w:abstractNumId w:val="19"/>
  </w:num>
  <w:num w:numId="11">
    <w:abstractNumId w:val="21"/>
  </w:num>
  <w:num w:numId="12">
    <w:abstractNumId w:val="14"/>
  </w:num>
  <w:num w:numId="13">
    <w:abstractNumId w:val="20"/>
  </w:num>
  <w:num w:numId="14">
    <w:abstractNumId w:val="16"/>
  </w:num>
  <w:num w:numId="15">
    <w:abstractNumId w:val="23"/>
  </w:num>
  <w:num w:numId="16">
    <w:abstractNumId w:val="1"/>
  </w:num>
  <w:num w:numId="17">
    <w:abstractNumId w:val="17"/>
  </w:num>
  <w:num w:numId="18">
    <w:abstractNumId w:val="6"/>
  </w:num>
  <w:num w:numId="19">
    <w:abstractNumId w:val="13"/>
  </w:num>
  <w:num w:numId="20">
    <w:abstractNumId w:val="11"/>
  </w:num>
  <w:num w:numId="21">
    <w:abstractNumId w:val="10"/>
  </w:num>
  <w:num w:numId="22">
    <w:abstractNumId w:val="28"/>
  </w:num>
  <w:num w:numId="23">
    <w:abstractNumId w:val="27"/>
  </w:num>
  <w:num w:numId="24">
    <w:abstractNumId w:val="5"/>
  </w:num>
  <w:num w:numId="25">
    <w:abstractNumId w:val="24"/>
  </w:num>
  <w:num w:numId="26">
    <w:abstractNumId w:val="7"/>
  </w:num>
  <w:num w:numId="27">
    <w:abstractNumId w:val="9"/>
  </w:num>
  <w:num w:numId="28">
    <w:abstractNumId w:val="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7B"/>
    <w:rsid w:val="00000836"/>
    <w:rsid w:val="00012F7B"/>
    <w:rsid w:val="0004056F"/>
    <w:rsid w:val="00066F24"/>
    <w:rsid w:val="00116873"/>
    <w:rsid w:val="00160435"/>
    <w:rsid w:val="00170470"/>
    <w:rsid w:val="00195B52"/>
    <w:rsid w:val="00203ACE"/>
    <w:rsid w:val="002711F7"/>
    <w:rsid w:val="002859C8"/>
    <w:rsid w:val="002F75B4"/>
    <w:rsid w:val="0030260B"/>
    <w:rsid w:val="00342F47"/>
    <w:rsid w:val="00384FE5"/>
    <w:rsid w:val="003C7290"/>
    <w:rsid w:val="004314BE"/>
    <w:rsid w:val="0046286F"/>
    <w:rsid w:val="00465F4D"/>
    <w:rsid w:val="004738E8"/>
    <w:rsid w:val="0047754C"/>
    <w:rsid w:val="004C38D0"/>
    <w:rsid w:val="004E28F9"/>
    <w:rsid w:val="00502E7C"/>
    <w:rsid w:val="005203DE"/>
    <w:rsid w:val="00585459"/>
    <w:rsid w:val="005A11B3"/>
    <w:rsid w:val="0062193C"/>
    <w:rsid w:val="00641F6B"/>
    <w:rsid w:val="00657FE5"/>
    <w:rsid w:val="0066699C"/>
    <w:rsid w:val="006A152D"/>
    <w:rsid w:val="006A4976"/>
    <w:rsid w:val="006C0187"/>
    <w:rsid w:val="007403B9"/>
    <w:rsid w:val="00761367"/>
    <w:rsid w:val="00782E1A"/>
    <w:rsid w:val="00786E4F"/>
    <w:rsid w:val="007E2838"/>
    <w:rsid w:val="0084399A"/>
    <w:rsid w:val="00886FD2"/>
    <w:rsid w:val="00923EFA"/>
    <w:rsid w:val="0093523C"/>
    <w:rsid w:val="00937179"/>
    <w:rsid w:val="00954D51"/>
    <w:rsid w:val="00981728"/>
    <w:rsid w:val="009A5C09"/>
    <w:rsid w:val="00A21D01"/>
    <w:rsid w:val="00AC6378"/>
    <w:rsid w:val="00AD5BFD"/>
    <w:rsid w:val="00B05DE6"/>
    <w:rsid w:val="00B060FE"/>
    <w:rsid w:val="00B40F6C"/>
    <w:rsid w:val="00B65F46"/>
    <w:rsid w:val="00BA51EC"/>
    <w:rsid w:val="00BE405C"/>
    <w:rsid w:val="00CA07DB"/>
    <w:rsid w:val="00CA7C42"/>
    <w:rsid w:val="00CF1F2A"/>
    <w:rsid w:val="00D26CE1"/>
    <w:rsid w:val="00D3215A"/>
    <w:rsid w:val="00D67AAB"/>
    <w:rsid w:val="00DA000F"/>
    <w:rsid w:val="00DA0234"/>
    <w:rsid w:val="00DE498A"/>
    <w:rsid w:val="00E04525"/>
    <w:rsid w:val="00E06402"/>
    <w:rsid w:val="00E72C27"/>
    <w:rsid w:val="00E86505"/>
    <w:rsid w:val="00E907EA"/>
    <w:rsid w:val="00EC69FB"/>
    <w:rsid w:val="00F35776"/>
    <w:rsid w:val="00FB5254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B41365C0-D212-4594-A4DA-D2CF6D13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12F7B"/>
    <w:pPr>
      <w:keepNext/>
      <w:suppressAutoHyphens/>
      <w:spacing w:before="240" w:after="60" w:line="360" w:lineRule="auto"/>
      <w:jc w:val="center"/>
      <w:outlineLvl w:val="0"/>
    </w:pPr>
    <w:rPr>
      <w:rFonts w:ascii="Times New Roman" w:hAnsi="Times New Roman"/>
      <w:caps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12F7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2F7B"/>
    <w:rPr>
      <w:rFonts w:ascii="Times New Roman" w:hAnsi="Times New Roman" w:cs="Times New Roman"/>
      <w:caps/>
      <w:kern w:val="28"/>
      <w:sz w:val="20"/>
      <w:szCs w:val="20"/>
    </w:rPr>
  </w:style>
  <w:style w:type="character" w:customStyle="1" w:styleId="20">
    <w:name w:val="Заголовок 2 Знак"/>
    <w:link w:val="2"/>
    <w:rsid w:val="00012F7B"/>
    <w:rPr>
      <w:rFonts w:ascii="Arial" w:hAnsi="Arial" w:cs="Arial"/>
      <w:b/>
      <w:bCs/>
      <w:i/>
      <w:iCs/>
      <w:kern w:val="28"/>
      <w:sz w:val="28"/>
      <w:szCs w:val="28"/>
    </w:rPr>
  </w:style>
  <w:style w:type="paragraph" w:customStyle="1" w:styleId="11">
    <w:name w:val="Основной текст с отступом1"/>
    <w:basedOn w:val="a"/>
    <w:link w:val="a3"/>
    <w:rsid w:val="00012F7B"/>
    <w:pPr>
      <w:spacing w:after="0" w:line="360" w:lineRule="auto"/>
      <w:ind w:firstLine="284"/>
      <w:jc w:val="both"/>
    </w:pPr>
    <w:rPr>
      <w:rFonts w:ascii="Times New Roman" w:hAnsi="Times New Roman"/>
      <w:kern w:val="28"/>
      <w:sz w:val="28"/>
      <w:szCs w:val="20"/>
    </w:rPr>
  </w:style>
  <w:style w:type="character" w:customStyle="1" w:styleId="a3">
    <w:name w:val="Основной текст с отступом Знак"/>
    <w:link w:val="11"/>
    <w:rsid w:val="00012F7B"/>
    <w:rPr>
      <w:rFonts w:ascii="Times New Roman" w:hAnsi="Times New Roman" w:cs="Times New Roman"/>
      <w:snapToGrid w:val="0"/>
      <w:kern w:val="28"/>
      <w:sz w:val="20"/>
      <w:szCs w:val="20"/>
    </w:rPr>
  </w:style>
  <w:style w:type="paragraph" w:customStyle="1" w:styleId="content">
    <w:name w:val="content"/>
    <w:basedOn w:val="a"/>
    <w:rsid w:val="00012F7B"/>
    <w:pPr>
      <w:spacing w:after="0" w:line="240" w:lineRule="auto"/>
      <w:ind w:firstLine="567"/>
    </w:pPr>
    <w:rPr>
      <w:rFonts w:ascii="Arial" w:hAnsi="Arial" w:cs="Arial"/>
      <w:color w:val="000000"/>
      <w:kern w:val="28"/>
      <w:sz w:val="19"/>
      <w:szCs w:val="19"/>
    </w:rPr>
  </w:style>
  <w:style w:type="paragraph" w:styleId="21">
    <w:name w:val="toc 2"/>
    <w:basedOn w:val="a"/>
    <w:next w:val="a"/>
    <w:autoRedefine/>
    <w:semiHidden/>
    <w:rsid w:val="00012F7B"/>
    <w:pPr>
      <w:spacing w:after="0" w:line="240" w:lineRule="auto"/>
      <w:ind w:left="240"/>
    </w:pPr>
    <w:rPr>
      <w:rFonts w:ascii="Times New Roman" w:hAnsi="Times New Roman"/>
      <w:smallCaps/>
      <w:kern w:val="28"/>
      <w:sz w:val="20"/>
      <w:szCs w:val="20"/>
    </w:rPr>
  </w:style>
  <w:style w:type="table" w:styleId="a4">
    <w:name w:val="Table Grid"/>
    <w:basedOn w:val="a1"/>
    <w:rsid w:val="00012F7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semiHidden/>
    <w:rsid w:val="00012F7B"/>
    <w:pPr>
      <w:spacing w:before="120" w:after="120" w:line="240" w:lineRule="auto"/>
    </w:pPr>
    <w:rPr>
      <w:rFonts w:ascii="Times New Roman" w:hAnsi="Times New Roman"/>
      <w:b/>
      <w:bCs/>
      <w:caps/>
      <w:kern w:val="28"/>
      <w:sz w:val="20"/>
      <w:szCs w:val="20"/>
    </w:rPr>
  </w:style>
  <w:style w:type="paragraph" w:styleId="3">
    <w:name w:val="toc 3"/>
    <w:basedOn w:val="a"/>
    <w:next w:val="a"/>
    <w:autoRedefine/>
    <w:semiHidden/>
    <w:rsid w:val="00012F7B"/>
    <w:pPr>
      <w:spacing w:after="0" w:line="240" w:lineRule="auto"/>
      <w:ind w:left="480"/>
    </w:pPr>
    <w:rPr>
      <w:rFonts w:ascii="Times New Roman" w:hAnsi="Times New Roman"/>
      <w:i/>
      <w:iCs/>
      <w:kern w:val="28"/>
      <w:sz w:val="20"/>
      <w:szCs w:val="20"/>
    </w:rPr>
  </w:style>
  <w:style w:type="paragraph" w:styleId="4">
    <w:name w:val="toc 4"/>
    <w:basedOn w:val="a"/>
    <w:next w:val="a"/>
    <w:autoRedefine/>
    <w:semiHidden/>
    <w:rsid w:val="00012F7B"/>
    <w:pPr>
      <w:spacing w:after="0" w:line="240" w:lineRule="auto"/>
      <w:ind w:left="720"/>
    </w:pPr>
    <w:rPr>
      <w:rFonts w:ascii="Times New Roman" w:hAnsi="Times New Roman"/>
      <w:kern w:val="28"/>
      <w:sz w:val="18"/>
      <w:szCs w:val="18"/>
    </w:rPr>
  </w:style>
  <w:style w:type="paragraph" w:styleId="5">
    <w:name w:val="toc 5"/>
    <w:basedOn w:val="a"/>
    <w:next w:val="a"/>
    <w:autoRedefine/>
    <w:semiHidden/>
    <w:rsid w:val="00012F7B"/>
    <w:pPr>
      <w:spacing w:after="0" w:line="240" w:lineRule="auto"/>
      <w:ind w:left="960"/>
    </w:pPr>
    <w:rPr>
      <w:rFonts w:ascii="Times New Roman" w:hAnsi="Times New Roman"/>
      <w:kern w:val="28"/>
      <w:sz w:val="18"/>
      <w:szCs w:val="18"/>
    </w:rPr>
  </w:style>
  <w:style w:type="paragraph" w:styleId="6">
    <w:name w:val="toc 6"/>
    <w:basedOn w:val="a"/>
    <w:next w:val="a"/>
    <w:autoRedefine/>
    <w:semiHidden/>
    <w:rsid w:val="00012F7B"/>
    <w:pPr>
      <w:spacing w:after="0" w:line="240" w:lineRule="auto"/>
      <w:ind w:left="1200"/>
    </w:pPr>
    <w:rPr>
      <w:rFonts w:ascii="Times New Roman" w:hAnsi="Times New Roman"/>
      <w:kern w:val="28"/>
      <w:sz w:val="18"/>
      <w:szCs w:val="18"/>
    </w:rPr>
  </w:style>
  <w:style w:type="paragraph" w:styleId="7">
    <w:name w:val="toc 7"/>
    <w:basedOn w:val="a"/>
    <w:next w:val="a"/>
    <w:autoRedefine/>
    <w:semiHidden/>
    <w:rsid w:val="00012F7B"/>
    <w:pPr>
      <w:spacing w:after="0" w:line="240" w:lineRule="auto"/>
      <w:ind w:left="1440"/>
    </w:pPr>
    <w:rPr>
      <w:rFonts w:ascii="Times New Roman" w:hAnsi="Times New Roman"/>
      <w:kern w:val="28"/>
      <w:sz w:val="18"/>
      <w:szCs w:val="18"/>
    </w:rPr>
  </w:style>
  <w:style w:type="paragraph" w:styleId="8">
    <w:name w:val="toc 8"/>
    <w:basedOn w:val="a"/>
    <w:next w:val="a"/>
    <w:autoRedefine/>
    <w:semiHidden/>
    <w:rsid w:val="00012F7B"/>
    <w:pPr>
      <w:spacing w:after="0" w:line="240" w:lineRule="auto"/>
      <w:ind w:left="1680"/>
    </w:pPr>
    <w:rPr>
      <w:rFonts w:ascii="Times New Roman" w:hAnsi="Times New Roman"/>
      <w:kern w:val="28"/>
      <w:sz w:val="18"/>
      <w:szCs w:val="18"/>
    </w:rPr>
  </w:style>
  <w:style w:type="paragraph" w:styleId="9">
    <w:name w:val="toc 9"/>
    <w:basedOn w:val="a"/>
    <w:next w:val="a"/>
    <w:autoRedefine/>
    <w:semiHidden/>
    <w:rsid w:val="00012F7B"/>
    <w:pPr>
      <w:spacing w:after="0" w:line="240" w:lineRule="auto"/>
      <w:ind w:left="1920"/>
    </w:pPr>
    <w:rPr>
      <w:rFonts w:ascii="Times New Roman" w:hAnsi="Times New Roman"/>
      <w:kern w:val="28"/>
      <w:sz w:val="18"/>
      <w:szCs w:val="18"/>
    </w:rPr>
  </w:style>
  <w:style w:type="character" w:styleId="a5">
    <w:name w:val="Hyperlink"/>
    <w:rsid w:val="00012F7B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012F7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kern w:val="28"/>
      <w:sz w:val="28"/>
      <w:szCs w:val="28"/>
    </w:rPr>
  </w:style>
  <w:style w:type="character" w:customStyle="1" w:styleId="a7">
    <w:name w:val="Верхний колонтитул Знак"/>
    <w:link w:val="a6"/>
    <w:rsid w:val="00012F7B"/>
    <w:rPr>
      <w:rFonts w:ascii="Times New Roman" w:hAnsi="Times New Roman" w:cs="Times New Roman"/>
      <w:kern w:val="28"/>
      <w:sz w:val="28"/>
      <w:szCs w:val="28"/>
    </w:rPr>
  </w:style>
  <w:style w:type="character" w:styleId="a8">
    <w:name w:val="page number"/>
    <w:rsid w:val="00012F7B"/>
    <w:rPr>
      <w:rFonts w:cs="Times New Roman"/>
    </w:rPr>
  </w:style>
  <w:style w:type="paragraph" w:styleId="a9">
    <w:name w:val="footer"/>
    <w:basedOn w:val="a"/>
    <w:link w:val="aa"/>
    <w:rsid w:val="00012F7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kern w:val="28"/>
      <w:sz w:val="28"/>
      <w:szCs w:val="28"/>
    </w:rPr>
  </w:style>
  <w:style w:type="character" w:customStyle="1" w:styleId="aa">
    <w:name w:val="Нижний колонтитул Знак"/>
    <w:link w:val="a9"/>
    <w:rsid w:val="00012F7B"/>
    <w:rPr>
      <w:rFonts w:ascii="Times New Roman" w:hAnsi="Times New Roman" w:cs="Times New Roman"/>
      <w:kern w:val="28"/>
      <w:sz w:val="28"/>
      <w:szCs w:val="28"/>
    </w:rPr>
  </w:style>
  <w:style w:type="paragraph" w:customStyle="1" w:styleId="Style23">
    <w:name w:val="Style23"/>
    <w:basedOn w:val="a"/>
    <w:rsid w:val="00012F7B"/>
    <w:pPr>
      <w:widowControl w:val="0"/>
      <w:autoSpaceDE w:val="0"/>
      <w:autoSpaceDN w:val="0"/>
      <w:adjustRightInd w:val="0"/>
      <w:spacing w:after="0" w:line="252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63">
    <w:name w:val="Font Style63"/>
    <w:rsid w:val="00012F7B"/>
    <w:rPr>
      <w:rFonts w:ascii="Arial" w:hAnsi="Arial" w:cs="Arial"/>
      <w:sz w:val="20"/>
      <w:szCs w:val="20"/>
    </w:rPr>
  </w:style>
  <w:style w:type="paragraph" w:customStyle="1" w:styleId="Style18">
    <w:name w:val="Style18"/>
    <w:basedOn w:val="a"/>
    <w:rsid w:val="00012F7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semiHidden/>
    <w:rsid w:val="0050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502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e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eader" Target="header2.xml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6509</Words>
  <Characters>37107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экономической эффективности инвестиционного проекта</vt:lpstr>
    </vt:vector>
  </TitlesOfParts>
  <Company>Reanimator Extreme Edition</Company>
  <LinksUpToDate>false</LinksUpToDate>
  <CharactersWithSpaces>43529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экономической эффективности инвестиционного проекта</dc:title>
  <dc:subject/>
  <dc:creator>Admin</dc:creator>
  <cp:keywords/>
  <dc:description/>
  <cp:lastModifiedBy>admin</cp:lastModifiedBy>
  <cp:revision>2</cp:revision>
  <dcterms:created xsi:type="dcterms:W3CDTF">2014-04-07T10:21:00Z</dcterms:created>
  <dcterms:modified xsi:type="dcterms:W3CDTF">2014-04-07T10:21:00Z</dcterms:modified>
</cp:coreProperties>
</file>