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00" w:rsidRDefault="00556D00" w:rsidP="00481224">
      <w:pPr>
        <w:shd w:val="clear" w:color="auto" w:fill="FFFFFF"/>
        <w:ind w:firstLine="709"/>
        <w:jc w:val="center"/>
        <w:rPr>
          <w:b/>
          <w:color w:val="000000"/>
          <w:sz w:val="32"/>
          <w:szCs w:val="32"/>
        </w:rPr>
      </w:pPr>
    </w:p>
    <w:p w:rsidR="00481224" w:rsidRPr="00481224" w:rsidRDefault="00481224" w:rsidP="00481224">
      <w:pPr>
        <w:shd w:val="clear" w:color="auto" w:fill="FFFFFF"/>
        <w:ind w:firstLine="709"/>
        <w:jc w:val="center"/>
        <w:rPr>
          <w:b/>
          <w:color w:val="000000"/>
          <w:sz w:val="32"/>
          <w:szCs w:val="32"/>
        </w:rPr>
      </w:pPr>
      <w:r w:rsidRPr="00481224">
        <w:rPr>
          <w:b/>
          <w:color w:val="000000"/>
          <w:sz w:val="32"/>
          <w:szCs w:val="32"/>
        </w:rPr>
        <w:t>Судо-часовые нормы грузовых работ</w:t>
      </w:r>
    </w:p>
    <w:p w:rsidR="00481224" w:rsidRPr="00481224" w:rsidRDefault="00481224" w:rsidP="0048122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Стояночное время судна складывается из времени,</w:t>
      </w:r>
      <w:r>
        <w:rPr>
          <w:color w:val="000000"/>
          <w:sz w:val="28"/>
          <w:szCs w:val="28"/>
        </w:rPr>
        <w:t xml:space="preserve"> </w:t>
      </w:r>
      <w:r w:rsidRPr="00481224">
        <w:rPr>
          <w:color w:val="000000"/>
          <w:sz w:val="28"/>
          <w:szCs w:val="28"/>
        </w:rPr>
        <w:t>затрачи</w:t>
      </w:r>
      <w:r w:rsidRPr="00481224">
        <w:rPr>
          <w:color w:val="000000"/>
          <w:sz w:val="28"/>
          <w:szCs w:val="28"/>
        </w:rPr>
        <w:softHyphen/>
        <w:t>ваемого на погрузочно-разгрузочные работы и на вспомогатель</w:t>
      </w:r>
      <w:r w:rsidRPr="00481224">
        <w:rPr>
          <w:color w:val="000000"/>
          <w:sz w:val="28"/>
          <w:szCs w:val="28"/>
        </w:rPr>
        <w:softHyphen/>
        <w:t>ные операции. Стояночное время под грузовыми операциями ре</w:t>
      </w:r>
      <w:r w:rsidRPr="00481224">
        <w:rPr>
          <w:color w:val="000000"/>
          <w:sz w:val="28"/>
          <w:szCs w:val="28"/>
        </w:rPr>
        <w:softHyphen/>
        <w:t>гламентируется судо-часовыми (или судо-суточными) нор</w:t>
      </w:r>
      <w:r>
        <w:rPr>
          <w:color w:val="000000"/>
          <w:sz w:val="28"/>
          <w:szCs w:val="28"/>
        </w:rPr>
        <w:t>м</w:t>
      </w:r>
      <w:r w:rsidRPr="00481224">
        <w:rPr>
          <w:color w:val="000000"/>
          <w:sz w:val="28"/>
          <w:szCs w:val="28"/>
        </w:rPr>
        <w:t>ами.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b/>
          <w:color w:val="000000"/>
          <w:sz w:val="28"/>
          <w:szCs w:val="28"/>
        </w:rPr>
        <w:t>Судо-часовая норма</w:t>
      </w:r>
      <w:r w:rsidRPr="00481224">
        <w:rPr>
          <w:color w:val="000000"/>
          <w:sz w:val="28"/>
          <w:szCs w:val="28"/>
        </w:rPr>
        <w:t xml:space="preserve"> - это количество груза, которое должно быть выгружено или погружено на судно за один час.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судо-часовые нормы влияют: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224">
        <w:rPr>
          <w:color w:val="000000"/>
          <w:sz w:val="28"/>
          <w:szCs w:val="28"/>
        </w:rPr>
        <w:t xml:space="preserve">технико-экономическая характеристика порта, 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и конструктивные особенности судов,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характеристика судна и характеристика груза.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Pr="00481224" w:rsidRDefault="00481224" w:rsidP="0048122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81224">
        <w:rPr>
          <w:b/>
          <w:color w:val="000000"/>
          <w:sz w:val="28"/>
          <w:szCs w:val="28"/>
        </w:rPr>
        <w:t>Классификация портов.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Рыбные порты и портовые пункты в зависимости от условий производства работ и эксплуатационно-технических возможнос</w:t>
      </w:r>
      <w:r w:rsidRPr="00481224">
        <w:rPr>
          <w:color w:val="000000"/>
          <w:sz w:val="28"/>
          <w:szCs w:val="28"/>
        </w:rPr>
        <w:softHyphen/>
        <w:t>тей объединены в четыре группы (А, Б, В, Г). Максимальные  судо-часовые нормы установлены для портов группы А</w:t>
      </w:r>
      <w:r>
        <w:rPr>
          <w:color w:val="000000"/>
          <w:sz w:val="28"/>
          <w:szCs w:val="28"/>
        </w:rPr>
        <w:t>.</w:t>
      </w:r>
      <w:r w:rsidRPr="00481224">
        <w:rPr>
          <w:color w:val="000000"/>
          <w:sz w:val="28"/>
          <w:szCs w:val="28"/>
        </w:rPr>
        <w:t xml:space="preserve"> Кроме того, рейдовые и приравненные к ним рыбные порты и портовые пункты Дальневосточного бассей</w:t>
      </w:r>
      <w:r w:rsidRPr="00481224">
        <w:rPr>
          <w:color w:val="000000"/>
          <w:sz w:val="28"/>
          <w:szCs w:val="28"/>
        </w:rPr>
        <w:softHyphen/>
        <w:t>на выделены в отдельные три группы.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Порты делятся на группы в зависимости от условий выполне</w:t>
      </w:r>
      <w:r w:rsidRPr="00481224">
        <w:rPr>
          <w:color w:val="000000"/>
          <w:sz w:val="28"/>
          <w:szCs w:val="28"/>
        </w:rPr>
        <w:softHyphen/>
        <w:t>ния грузовых работ, типа перегрузочной механизации и коли</w:t>
      </w:r>
      <w:r w:rsidRPr="00481224">
        <w:rPr>
          <w:color w:val="000000"/>
          <w:sz w:val="28"/>
          <w:szCs w:val="28"/>
        </w:rPr>
        <w:softHyphen/>
        <w:t>чества механизированных линий, одновременно используемых на погрузке-разгрузке отдельных судов.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Pr="00481224" w:rsidRDefault="00481224" w:rsidP="0048122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81224">
        <w:rPr>
          <w:b/>
          <w:color w:val="000000"/>
          <w:sz w:val="28"/>
          <w:szCs w:val="28"/>
        </w:rPr>
        <w:t>Классификация судов.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Все суда флота рыбной промышленности в зависимости от своих конструктивных особенностей, влияющих на трудоемкость и интенсивность грузовых работ, делятся на восемь групп. Минимальные судо-часовые нормы соответствуют судам нуле</w:t>
      </w:r>
      <w:r w:rsidRPr="00481224">
        <w:rPr>
          <w:color w:val="000000"/>
          <w:sz w:val="28"/>
          <w:szCs w:val="28"/>
        </w:rPr>
        <w:softHyphen/>
        <w:t>вой группы, максимальные - судам седьмой группы.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Классификация крупнотоннажных судов приемотранспортного, обрабатывающего и добывающего флота для расчета судо-часовых норм производится в зависимости от: количества фронтальных грузовых люков на судне; коэффициента конструктивной нерав</w:t>
      </w:r>
      <w:r w:rsidRPr="00481224">
        <w:rPr>
          <w:color w:val="000000"/>
          <w:sz w:val="28"/>
          <w:szCs w:val="28"/>
        </w:rPr>
        <w:softHyphen/>
        <w:t>номерности судов; класса грузовых помещений судна.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Количество люков определяет количество механизированных линий, которое можно установить на конкретном судне для его</w:t>
      </w:r>
      <w:r>
        <w:rPr>
          <w:color w:val="000000"/>
          <w:sz w:val="28"/>
          <w:szCs w:val="28"/>
        </w:rPr>
        <w:t xml:space="preserve"> </w:t>
      </w:r>
      <w:r w:rsidRPr="00481224">
        <w:rPr>
          <w:color w:val="000000"/>
          <w:sz w:val="28"/>
          <w:szCs w:val="28"/>
        </w:rPr>
        <w:t>грузовой обработки. Однако в ходе погрузки-разгрузки судна количество механизированных линий меняется.</w:t>
      </w:r>
      <w:r>
        <w:rPr>
          <w:color w:val="000000"/>
          <w:sz w:val="28"/>
          <w:szCs w:val="28"/>
        </w:rPr>
        <w:t xml:space="preserve"> </w:t>
      </w:r>
      <w:r w:rsidRPr="00481224">
        <w:rPr>
          <w:color w:val="000000"/>
          <w:sz w:val="28"/>
          <w:szCs w:val="28"/>
        </w:rPr>
        <w:t>Это объясняется конструктивной неравномерностью грузовых помещений, которая оценивается коэффициентом конструктивной неравномерности. Чем меньше коэффициент конструктивной неравномерности, тем сложнее организовать грузовые работы на судне. Именно это обстоятельство и учитывается при установлении группы судна для расчета судо-часовых норм грузовых работ.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Коэффициент конструктивной неравномерности грузовых поме</w:t>
      </w:r>
      <w:r w:rsidRPr="00481224">
        <w:rPr>
          <w:color w:val="000000"/>
          <w:sz w:val="28"/>
          <w:szCs w:val="28"/>
        </w:rPr>
        <w:softHyphen/>
        <w:t>щений определяется по формуле: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 xml:space="preserve">Ухудшенный коэффициент конструктивной неравномерности и понижение класса грузовых помещений снижает группу судна. 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Классификация грузовых помещений судна проводится в зави</w:t>
      </w:r>
      <w:r w:rsidRPr="00481224">
        <w:rPr>
          <w:color w:val="000000"/>
          <w:sz w:val="28"/>
          <w:szCs w:val="28"/>
        </w:rPr>
        <w:softHyphen/>
        <w:t>симости от размеров грузового люка и протяженности подпалубного пространства от комингса люка до поперечной переборки или бортов (учитывается большее по длине плечо). По мере увеличения подпалубного пространства возрастает трудоемкость грузовых работ.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224">
        <w:rPr>
          <w:color w:val="000000"/>
          <w:sz w:val="28"/>
          <w:szCs w:val="28"/>
        </w:rPr>
        <w:t>Степень трудоемкости грузовых работ определяется коэффи</w:t>
      </w:r>
      <w:r w:rsidRPr="00481224">
        <w:rPr>
          <w:color w:val="000000"/>
          <w:sz w:val="28"/>
          <w:szCs w:val="28"/>
        </w:rPr>
        <w:softHyphen/>
        <w:t xml:space="preserve">циентом лючности, который представляет собой отношение всей площади люка ко всей площади трюма. 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Чем больше коэффициент лючности, тем удобнее производить грузовые работы, так как увеличивается раскрытие палубы и уменьшаются внутритрюмные перемещения груза.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Суда высшей группы приспособлены для интенсивного ведения погрузочно-разгрузочных работ и имеют более высокую судо-часовую норму. Классификация грузов.</w:t>
      </w:r>
    </w:p>
    <w:p w:rsidR="00481224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Pr="00481224" w:rsidRDefault="00481224" w:rsidP="0048122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481224">
        <w:rPr>
          <w:b/>
          <w:color w:val="000000"/>
          <w:sz w:val="28"/>
          <w:szCs w:val="28"/>
        </w:rPr>
        <w:t>Классификация грузов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Для нормирования грузовых работ все грузы, перевозимые флотом рыбной промышленности, разделены на шесть групп. Приз</w:t>
      </w:r>
      <w:r w:rsidRPr="00481224">
        <w:rPr>
          <w:color w:val="000000"/>
          <w:sz w:val="28"/>
          <w:szCs w:val="28"/>
        </w:rPr>
        <w:softHyphen/>
        <w:t>наком, по которому осуществляется отнесение груза к той или иной группе, является трудоемкость их переработки. Грузы, требующие осторожного обращения, неудобные в переработке, имеющие большой погрузочный объем, и, следовательно, дающие невысокую производительность труда относятся к первой груп</w:t>
      </w:r>
      <w:r w:rsidRPr="00481224">
        <w:rPr>
          <w:color w:val="000000"/>
          <w:sz w:val="28"/>
          <w:szCs w:val="28"/>
        </w:rPr>
        <w:softHyphen/>
        <w:t>пе (банки консервные, бочкотара, мясо в тушах, деревянная тара россыпью и др.).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Также на группу груза влияет род груза, характер и форма тары, масса одного грузового места, степень сыпучести (для навалочно-насыпных грузов), а также физико-химические свой</w:t>
      </w:r>
      <w:r w:rsidRPr="00481224">
        <w:rPr>
          <w:color w:val="000000"/>
          <w:sz w:val="28"/>
          <w:szCs w:val="28"/>
        </w:rPr>
        <w:softHyphen/>
        <w:t>ства и особенности.</w:t>
      </w:r>
    </w:p>
    <w:p w:rsidR="00147EDC" w:rsidRDefault="00481224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224">
        <w:rPr>
          <w:color w:val="000000"/>
          <w:sz w:val="28"/>
          <w:szCs w:val="28"/>
        </w:rPr>
        <w:t xml:space="preserve">Группа грузов сильно влияет на судо-часовую норму. </w:t>
      </w:r>
    </w:p>
    <w:p w:rsidR="00481224" w:rsidRPr="00481224" w:rsidRDefault="00147EDC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147EDC">
        <w:rPr>
          <w:b/>
          <w:color w:val="000000"/>
          <w:sz w:val="28"/>
          <w:szCs w:val="28"/>
        </w:rPr>
        <w:t>Н</w:t>
      </w:r>
      <w:r w:rsidR="00481224" w:rsidRPr="00147EDC">
        <w:rPr>
          <w:b/>
          <w:color w:val="000000"/>
          <w:sz w:val="28"/>
          <w:szCs w:val="28"/>
        </w:rPr>
        <w:t>апример,</w:t>
      </w:r>
      <w:r w:rsidR="00481224" w:rsidRPr="00481224">
        <w:rPr>
          <w:color w:val="000000"/>
          <w:sz w:val="28"/>
          <w:szCs w:val="28"/>
        </w:rPr>
        <w:t xml:space="preserve"> судо-часовая норма для первой группы груза (порт сетки А, группа судна - пятая) составляет 19 т/судо-час, а для шестой группы груза она при прочих равных условиях сос</w:t>
      </w:r>
      <w:r w:rsidR="00481224" w:rsidRPr="00481224">
        <w:rPr>
          <w:color w:val="000000"/>
          <w:sz w:val="28"/>
          <w:szCs w:val="28"/>
        </w:rPr>
        <w:softHyphen/>
        <w:t>тавляет 100 т/судо-час.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В некоторых портах применяются коэффициенты, снижающие или повышающие судо-часовые нормы. Они приводятся в примечаниях к судо-часовым нормам.</w:t>
      </w:r>
    </w:p>
    <w:p w:rsidR="00147EDC" w:rsidRDefault="00147EDC" w:rsidP="004812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По изложенному выше принципу устанавливаются общие судо-часовые нормы для крупнотоннажного флота.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Нормы на по</w:t>
      </w:r>
      <w:r w:rsidR="00147EDC">
        <w:rPr>
          <w:color w:val="000000"/>
          <w:sz w:val="28"/>
          <w:szCs w:val="28"/>
        </w:rPr>
        <w:t>г</w:t>
      </w:r>
      <w:r w:rsidRPr="00481224">
        <w:rPr>
          <w:color w:val="000000"/>
          <w:sz w:val="28"/>
          <w:szCs w:val="28"/>
        </w:rPr>
        <w:t>рузочно-разгрузочные работы для малотоннажных судов добывающего и приемотранспортного флота, а также для судов Каспийского бассейна, устанавливаются в зависимости от рода груза и типа судна без учета сетки портов,</w:t>
      </w:r>
    </w:p>
    <w:p w:rsidR="00481224" w:rsidRPr="00481224" w:rsidRDefault="00481224" w:rsidP="00481224">
      <w:pPr>
        <w:shd w:val="clear" w:color="auto" w:fill="FFFFFF"/>
        <w:ind w:firstLine="709"/>
        <w:jc w:val="both"/>
        <w:rPr>
          <w:sz w:val="28"/>
          <w:szCs w:val="28"/>
        </w:rPr>
      </w:pPr>
      <w:r w:rsidRPr="00481224">
        <w:rPr>
          <w:color w:val="000000"/>
          <w:sz w:val="28"/>
          <w:szCs w:val="28"/>
        </w:rPr>
        <w:t>Судо-часовые нормы для рыбной промышленности регламентиру</w:t>
      </w:r>
      <w:r w:rsidRPr="00481224">
        <w:rPr>
          <w:color w:val="000000"/>
          <w:sz w:val="28"/>
          <w:szCs w:val="28"/>
        </w:rPr>
        <w:softHyphen/>
        <w:t>ются Приказом № 402 "Нормы обработки судов в морских рыбных портах и портовых пунктах".</w:t>
      </w:r>
    </w:p>
    <w:p w:rsidR="00481224" w:rsidRPr="00481224" w:rsidRDefault="00481224" w:rsidP="0048122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81224" w:rsidRPr="00481224" w:rsidSect="00481224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224"/>
    <w:rsid w:val="00030F23"/>
    <w:rsid w:val="00147EDC"/>
    <w:rsid w:val="00481224"/>
    <w:rsid w:val="00556D00"/>
    <w:rsid w:val="00A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0AC1-7D6C-4CAA-B521-CD17E0BF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Судо-часовые нормы грузовых работ</vt:lpstr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Судо-часовые нормы грузовых работ</dc:title>
  <dc:subject/>
  <dc:creator>Val'kov</dc:creator>
  <cp:keywords/>
  <dc:description/>
  <cp:lastModifiedBy>Irina</cp:lastModifiedBy>
  <cp:revision>2</cp:revision>
  <dcterms:created xsi:type="dcterms:W3CDTF">2014-08-18T05:45:00Z</dcterms:created>
  <dcterms:modified xsi:type="dcterms:W3CDTF">2014-08-18T05:45:00Z</dcterms:modified>
</cp:coreProperties>
</file>