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99" w:rsidRPr="007C1AC3" w:rsidRDefault="00237599" w:rsidP="007C1AC3">
      <w:pPr>
        <w:spacing w:line="360" w:lineRule="auto"/>
        <w:ind w:firstLine="709"/>
        <w:jc w:val="both"/>
        <w:rPr>
          <w:b/>
          <w:color w:val="000000"/>
          <w:sz w:val="28"/>
          <w:szCs w:val="28"/>
          <w:lang w:val="uk-UA"/>
        </w:rPr>
      </w:pPr>
      <w:r w:rsidRPr="007C1AC3">
        <w:rPr>
          <w:b/>
          <w:color w:val="000000"/>
          <w:sz w:val="28"/>
          <w:szCs w:val="28"/>
          <w:lang w:val="uk-UA"/>
        </w:rPr>
        <w:t>Введення</w:t>
      </w:r>
    </w:p>
    <w:p w:rsidR="00237599" w:rsidRPr="007C1AC3" w:rsidRDefault="00237599" w:rsidP="007C1AC3">
      <w:pPr>
        <w:spacing w:line="360" w:lineRule="auto"/>
        <w:ind w:firstLine="709"/>
        <w:jc w:val="both"/>
        <w:rPr>
          <w:color w:val="000000"/>
          <w:sz w:val="28"/>
          <w:szCs w:val="28"/>
          <w:lang w:val="uk-UA"/>
        </w:rPr>
      </w:pPr>
    </w:p>
    <w:p w:rsidR="00237599"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Фінансове посередництво, як окремий, специфічний вид економічної діяльності виділяється всіма сучасними економістами.</w:t>
      </w:r>
    </w:p>
    <w:p w:rsidR="00237599"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Фінансовим посередництвом є діяльність, пов'язана з отриманням та перерозподілом фінансових коштів, крім випадків, передбачених законодавством. Фінансове посередництво здійснюється установами банків та іншими фінансово-кредитними організаціями.</w:t>
      </w:r>
    </w:p>
    <w:p w:rsidR="00237599"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Фінансові посередники не лише надають позики (позики надають, як правило, лише банківські установи), а й вкладають кошти в корпоративні права та інші цінні папери, а також надають інші фінансові послуги.</w:t>
      </w:r>
    </w:p>
    <w:p w:rsidR="00832151"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Таким чином, поняття «фінансове посередництво» тісно пов'язане з поняттям «фінансової послуги». У розвиненому суспільстві фінансові послуги мають не менше значення, ніж виробництво. Найбільш динамічно розвивається та частина сфери послуг, яка пов'язана із задоволенням потреб суспільного виробництва: фінансово-кредитне обслуговування, страхові послуги, інформаційне і бухгалтерське обслуговування.</w:t>
      </w:r>
    </w:p>
    <w:p w:rsidR="00237599"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 xml:space="preserve">Усі фінансові посередники функціонують на єдиному грошовому ринку, з одним і тим же об'єктом </w:t>
      </w:r>
      <w:r w:rsidR="007C1AC3" w:rsidRPr="007C1AC3">
        <w:rPr>
          <w:color w:val="000000"/>
          <w:sz w:val="28"/>
          <w:szCs w:val="28"/>
          <w:lang w:val="uk-UA"/>
        </w:rPr>
        <w:t xml:space="preserve">– </w:t>
      </w:r>
      <w:r w:rsidRPr="007C1AC3">
        <w:rPr>
          <w:color w:val="000000"/>
          <w:sz w:val="28"/>
          <w:szCs w:val="28"/>
          <w:lang w:val="uk-UA"/>
        </w:rPr>
        <w:t>вільними грошовими коштами, однаково відчутно впливають на кон'юнктуру цього ринку, можуть не тільки конкурувати між собою, а й взаємодіяти у вирішенні багатьох економічних та фінансових завдань. Тому дослідження фінансового посередництва як самостійного економічного явища має важливе теоретичне і практичне значення, особливо в сучасних умовах України, коли тільки формується грошовий ринок, його інфраструктура і механізм регулювання. Дуже важливо, щоб при вирішенні цих завдань ураховувалася не тільки видова специфіка окремих фінансових посередників, а й їх родова єдність і функціональна взаємозалежність на грошовому ринку.</w:t>
      </w:r>
    </w:p>
    <w:p w:rsidR="00237599"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 xml:space="preserve">Фінансові посередники відіграють важливу роль у функціонуванні грошового ринку, а через нього </w:t>
      </w:r>
      <w:r w:rsidR="00041F9F" w:rsidRPr="007C1AC3">
        <w:rPr>
          <w:color w:val="000000"/>
          <w:sz w:val="28"/>
          <w:szCs w:val="28"/>
          <w:lang w:val="uk-UA"/>
        </w:rPr>
        <w:t>–</w:t>
      </w:r>
      <w:r w:rsidRPr="007C1AC3">
        <w:rPr>
          <w:color w:val="000000"/>
          <w:sz w:val="28"/>
          <w:szCs w:val="28"/>
          <w:lang w:val="uk-UA"/>
        </w:rPr>
        <w:t xml:space="preserve"> у розвитку ринкової економіки, їх економічне призначення полягає в забезпеченні базовим суб'єктам грошового ринку максимально сприятливих умов для їх успішного функціонування. Тобто функціонально фінансові посередники спрямовані не всередину фінансової сфери, не на самих себе, а зовні, на реальну економіку, на підвищення ефективності діяльності її суб'єктів.</w:t>
      </w:r>
    </w:p>
    <w:p w:rsidR="00237599"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Конкретні переваги фінансового посередництва виявляються у такому:</w:t>
      </w:r>
    </w:p>
    <w:p w:rsidR="005B3133" w:rsidRPr="007C1AC3" w:rsidRDefault="00237599" w:rsidP="007C1AC3">
      <w:pPr>
        <w:numPr>
          <w:ilvl w:val="0"/>
          <w:numId w:val="3"/>
        </w:numPr>
        <w:spacing w:line="360" w:lineRule="auto"/>
        <w:ind w:left="0" w:firstLine="709"/>
        <w:jc w:val="both"/>
        <w:rPr>
          <w:color w:val="000000"/>
          <w:sz w:val="28"/>
          <w:szCs w:val="28"/>
          <w:lang w:val="uk-UA"/>
        </w:rPr>
      </w:pPr>
      <w:r w:rsidRPr="007C1AC3">
        <w:rPr>
          <w:color w:val="000000"/>
          <w:sz w:val="28"/>
          <w:szCs w:val="28"/>
          <w:lang w:val="uk-UA"/>
        </w:rPr>
        <w:t xml:space="preserve">Можливості для кожного окремого кредитора оперативно розмістити вільні кошти в дохідні активи, а для позичальника </w:t>
      </w:r>
      <w:r w:rsidR="007C1AC3" w:rsidRPr="007C1AC3">
        <w:rPr>
          <w:color w:val="000000"/>
          <w:sz w:val="28"/>
          <w:szCs w:val="28"/>
          <w:lang w:val="uk-UA"/>
        </w:rPr>
        <w:t xml:space="preserve">– </w:t>
      </w:r>
      <w:r w:rsidRPr="007C1AC3">
        <w:rPr>
          <w:color w:val="000000"/>
          <w:sz w:val="28"/>
          <w:szCs w:val="28"/>
          <w:lang w:val="uk-UA"/>
        </w:rPr>
        <w:t>оперативно мобілізувати додаткові кошти, необхідні для вирішення виробничих чи споживчих завдань, і так само оперативно по</w:t>
      </w:r>
      <w:r w:rsidR="005B3133" w:rsidRPr="007C1AC3">
        <w:rPr>
          <w:color w:val="000000"/>
          <w:sz w:val="28"/>
          <w:szCs w:val="28"/>
          <w:lang w:val="uk-UA"/>
        </w:rPr>
        <w:t>вернути їх на висхідні позиції;</w:t>
      </w:r>
    </w:p>
    <w:p w:rsidR="00237599" w:rsidRPr="007C1AC3" w:rsidRDefault="00237599" w:rsidP="007C1AC3">
      <w:pPr>
        <w:numPr>
          <w:ilvl w:val="0"/>
          <w:numId w:val="3"/>
        </w:numPr>
        <w:spacing w:line="360" w:lineRule="auto"/>
        <w:ind w:left="0" w:firstLine="709"/>
        <w:jc w:val="both"/>
        <w:rPr>
          <w:color w:val="000000"/>
          <w:sz w:val="28"/>
          <w:szCs w:val="28"/>
          <w:lang w:val="uk-UA"/>
        </w:rPr>
      </w:pPr>
      <w:r w:rsidRPr="007C1AC3">
        <w:rPr>
          <w:color w:val="000000"/>
          <w:sz w:val="28"/>
          <w:szCs w:val="28"/>
          <w:lang w:val="uk-UA"/>
        </w:rPr>
        <w:t>Скороченні витрат базових суб'єктів грошового ринку на формування вільних коштів, розміщенні їх у дохідні активи та запозиченні додаткових коштів. Це зумовлюється такими чинниками: кредитору і позичальнику не потрібно багато часу та зусиль витрачати на пошуки один одного (на рекламу, створення інформаційних систем тощо)</w:t>
      </w:r>
      <w:r w:rsidR="005B3133" w:rsidRPr="007C1AC3">
        <w:rPr>
          <w:color w:val="000000"/>
          <w:sz w:val="28"/>
          <w:szCs w:val="28"/>
          <w:lang w:val="uk-UA"/>
        </w:rPr>
        <w:t>;</w:t>
      </w:r>
    </w:p>
    <w:p w:rsidR="00237599" w:rsidRPr="007C1AC3" w:rsidRDefault="00237599" w:rsidP="007C1AC3">
      <w:pPr>
        <w:numPr>
          <w:ilvl w:val="0"/>
          <w:numId w:val="3"/>
        </w:numPr>
        <w:spacing w:line="360" w:lineRule="auto"/>
        <w:ind w:left="0" w:firstLine="709"/>
        <w:jc w:val="both"/>
        <w:rPr>
          <w:color w:val="000000"/>
          <w:sz w:val="28"/>
          <w:szCs w:val="28"/>
          <w:lang w:val="uk-UA"/>
        </w:rPr>
      </w:pPr>
      <w:r w:rsidRPr="007C1AC3">
        <w:rPr>
          <w:color w:val="000000"/>
          <w:sz w:val="28"/>
          <w:szCs w:val="28"/>
          <w:lang w:val="uk-UA"/>
        </w:rPr>
        <w:t>Послабленні фінансових ризиків для базових суб'єктів грошового ринку, оскільки значна частина їх перекладається на посередників. Це стає можливим завдяки широкій диверсифікації посередницької діяльності, створенню спеціальних систем страхування та захисту від фінансових ризиків;</w:t>
      </w:r>
    </w:p>
    <w:p w:rsidR="00237599" w:rsidRPr="007C1AC3" w:rsidRDefault="00237599" w:rsidP="007C1AC3">
      <w:pPr>
        <w:numPr>
          <w:ilvl w:val="0"/>
          <w:numId w:val="3"/>
        </w:numPr>
        <w:spacing w:line="360" w:lineRule="auto"/>
        <w:ind w:left="0" w:firstLine="709"/>
        <w:jc w:val="both"/>
        <w:rPr>
          <w:color w:val="000000"/>
          <w:sz w:val="28"/>
          <w:szCs w:val="28"/>
          <w:lang w:val="uk-UA"/>
        </w:rPr>
      </w:pPr>
      <w:r w:rsidRPr="007C1AC3">
        <w:rPr>
          <w:color w:val="000000"/>
          <w:sz w:val="28"/>
          <w:szCs w:val="28"/>
          <w:lang w:val="uk-UA"/>
        </w:rPr>
        <w:t>Збільшенні дохідності позичкових капіталів, особливо зосереджених у дрібних власників, завдяки зменшенню фінансових ризиків, скороченню витрат на здійснення фінансових операцій та відкриттю доступу до великого, високодохідного бізнесу;</w:t>
      </w:r>
    </w:p>
    <w:p w:rsidR="005B3133" w:rsidRPr="007C1AC3" w:rsidRDefault="00237599" w:rsidP="007C1AC3">
      <w:pPr>
        <w:numPr>
          <w:ilvl w:val="0"/>
          <w:numId w:val="3"/>
        </w:numPr>
        <w:spacing w:line="360" w:lineRule="auto"/>
        <w:ind w:left="0" w:firstLine="709"/>
        <w:jc w:val="both"/>
        <w:rPr>
          <w:color w:val="000000"/>
          <w:sz w:val="28"/>
          <w:szCs w:val="28"/>
          <w:lang w:val="uk-UA"/>
        </w:rPr>
      </w:pPr>
      <w:r w:rsidRPr="007C1AC3">
        <w:rPr>
          <w:color w:val="000000"/>
          <w:sz w:val="28"/>
          <w:szCs w:val="28"/>
          <w:lang w:val="uk-UA"/>
        </w:rPr>
        <w:t>Можливості урізноманітнити відносини між кредиторами і позичальниками наданням додаткових послуг, які беруть на себе посередники. Це, зокрема, страхування кредитора від різних ризиків, задоволення потреб у пенсійному забезпеченні, забезпеченні житлом, набутті права власності й управління певними об'єктами тощо.</w:t>
      </w:r>
    </w:p>
    <w:p w:rsidR="00237599" w:rsidRPr="007C1AC3" w:rsidRDefault="00237599" w:rsidP="007C1AC3">
      <w:pPr>
        <w:spacing w:line="360" w:lineRule="auto"/>
        <w:ind w:firstLine="709"/>
        <w:jc w:val="both"/>
        <w:rPr>
          <w:color w:val="000000"/>
          <w:sz w:val="28"/>
          <w:szCs w:val="28"/>
          <w:lang w:val="uk-UA"/>
        </w:rPr>
      </w:pPr>
      <w:r w:rsidRPr="007C1AC3">
        <w:rPr>
          <w:color w:val="000000"/>
          <w:sz w:val="28"/>
          <w:szCs w:val="28"/>
          <w:lang w:val="uk-UA"/>
        </w:rPr>
        <w:t>У вітчизняній літературі найпоширенішим є поділ фінансових посередників на дві групи:</w:t>
      </w:r>
    </w:p>
    <w:p w:rsidR="00237599" w:rsidRPr="007C1AC3" w:rsidRDefault="00237599" w:rsidP="007C1AC3">
      <w:pPr>
        <w:numPr>
          <w:ilvl w:val="0"/>
          <w:numId w:val="4"/>
        </w:numPr>
        <w:spacing w:line="360" w:lineRule="auto"/>
        <w:ind w:left="0" w:firstLine="709"/>
        <w:jc w:val="both"/>
        <w:rPr>
          <w:color w:val="000000"/>
          <w:sz w:val="28"/>
          <w:szCs w:val="28"/>
          <w:lang w:val="uk-UA"/>
        </w:rPr>
      </w:pPr>
      <w:r w:rsidRPr="007C1AC3">
        <w:rPr>
          <w:color w:val="000000"/>
          <w:sz w:val="28"/>
          <w:szCs w:val="28"/>
          <w:lang w:val="uk-UA"/>
        </w:rPr>
        <w:t>банки;</w:t>
      </w:r>
    </w:p>
    <w:p w:rsidR="00237599" w:rsidRPr="007C1AC3" w:rsidRDefault="00237599" w:rsidP="007C1AC3">
      <w:pPr>
        <w:numPr>
          <w:ilvl w:val="0"/>
          <w:numId w:val="4"/>
        </w:numPr>
        <w:spacing w:line="360" w:lineRule="auto"/>
        <w:ind w:left="0" w:firstLine="709"/>
        <w:jc w:val="both"/>
        <w:rPr>
          <w:color w:val="000000"/>
          <w:sz w:val="28"/>
          <w:szCs w:val="28"/>
          <w:lang w:val="uk-UA"/>
        </w:rPr>
      </w:pPr>
      <w:r w:rsidRPr="007C1AC3">
        <w:rPr>
          <w:color w:val="000000"/>
          <w:sz w:val="28"/>
          <w:szCs w:val="28"/>
          <w:lang w:val="uk-UA"/>
        </w:rPr>
        <w:t>небанківські фінансово-кредитні установи, які інколи називають ще спеціалізованими фінансово-кредитними установами, чи парабанками.</w:t>
      </w:r>
    </w:p>
    <w:p w:rsidR="00237599" w:rsidRDefault="00237599" w:rsidP="007C1AC3">
      <w:pPr>
        <w:spacing w:line="360" w:lineRule="auto"/>
        <w:ind w:firstLine="709"/>
        <w:jc w:val="both"/>
        <w:rPr>
          <w:color w:val="000000"/>
          <w:sz w:val="28"/>
          <w:szCs w:val="28"/>
          <w:lang w:val="uk-UA"/>
        </w:rPr>
      </w:pPr>
      <w:r w:rsidRPr="007C1AC3">
        <w:rPr>
          <w:color w:val="000000"/>
          <w:sz w:val="28"/>
          <w:szCs w:val="28"/>
          <w:lang w:val="uk-UA"/>
        </w:rPr>
        <w:t>На мал. 1 приведено класифікацію небанківських фінансових посередників</w:t>
      </w:r>
      <w:r w:rsidR="005B3133" w:rsidRPr="007C1AC3">
        <w:rPr>
          <w:color w:val="000000"/>
          <w:sz w:val="28"/>
          <w:szCs w:val="28"/>
          <w:lang w:val="uk-UA"/>
        </w:rPr>
        <w:t>.</w:t>
      </w:r>
    </w:p>
    <w:p w:rsidR="00D340FB" w:rsidRPr="007C1AC3" w:rsidRDefault="00D340FB" w:rsidP="007C1AC3">
      <w:pPr>
        <w:spacing w:line="360" w:lineRule="auto"/>
        <w:ind w:firstLine="709"/>
        <w:jc w:val="both"/>
        <w:rPr>
          <w:color w:val="000000"/>
          <w:sz w:val="28"/>
          <w:szCs w:val="28"/>
          <w:lang w:val="uk-UA"/>
        </w:rPr>
      </w:pPr>
    </w:p>
    <w:p w:rsidR="00237599" w:rsidRPr="007C1AC3" w:rsidRDefault="00B47CF6" w:rsidP="007C1AC3">
      <w:pPr>
        <w:spacing w:line="360" w:lineRule="auto"/>
        <w:ind w:firstLine="709"/>
        <w:jc w:val="both"/>
        <w:rPr>
          <w:color w:val="000000"/>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99.5pt" o:allowoverlap="f">
            <v:imagedata r:id="rId5" o:title=""/>
          </v:shape>
        </w:pict>
      </w:r>
    </w:p>
    <w:p w:rsidR="005B3133" w:rsidRPr="007C1AC3" w:rsidRDefault="005B3133" w:rsidP="007C1AC3">
      <w:pPr>
        <w:tabs>
          <w:tab w:val="left" w:pos="8064"/>
        </w:tabs>
        <w:spacing w:line="360" w:lineRule="auto"/>
        <w:ind w:firstLine="709"/>
        <w:jc w:val="both"/>
        <w:rPr>
          <w:color w:val="000000"/>
          <w:sz w:val="28"/>
          <w:szCs w:val="28"/>
          <w:lang w:val="uk-UA"/>
        </w:rPr>
      </w:pPr>
      <w:r w:rsidRPr="007C1AC3">
        <w:rPr>
          <w:color w:val="000000"/>
          <w:sz w:val="28"/>
          <w:szCs w:val="28"/>
          <w:lang w:val="uk-UA"/>
        </w:rPr>
        <w:t>Мал. 1. Класифікація небанківських фінансових посередників</w:t>
      </w:r>
    </w:p>
    <w:p w:rsidR="005B3133" w:rsidRPr="007C1AC3" w:rsidRDefault="005B3133" w:rsidP="007C1AC3">
      <w:pPr>
        <w:tabs>
          <w:tab w:val="left" w:pos="8064"/>
        </w:tabs>
        <w:spacing w:line="360" w:lineRule="auto"/>
        <w:ind w:firstLine="709"/>
        <w:jc w:val="both"/>
        <w:rPr>
          <w:color w:val="000000"/>
          <w:sz w:val="28"/>
          <w:szCs w:val="28"/>
          <w:lang w:val="uk-UA"/>
        </w:rPr>
      </w:pPr>
    </w:p>
    <w:p w:rsidR="005B3133" w:rsidRPr="007C1AC3" w:rsidRDefault="005B3133" w:rsidP="007C1AC3">
      <w:pPr>
        <w:spacing w:line="360" w:lineRule="auto"/>
        <w:ind w:firstLine="709"/>
        <w:jc w:val="both"/>
        <w:rPr>
          <w:color w:val="000000"/>
          <w:sz w:val="28"/>
          <w:szCs w:val="28"/>
          <w:lang w:val="uk-UA"/>
        </w:rPr>
      </w:pPr>
      <w:r w:rsidRPr="007C1AC3">
        <w:rPr>
          <w:color w:val="000000"/>
          <w:sz w:val="28"/>
          <w:szCs w:val="28"/>
          <w:lang w:val="uk-UA"/>
        </w:rPr>
        <w:t>Метою даної роботи є розгляд одного з вітчизняних небанківських фінансових посередників, який має назву «Відкрите акціонерне товариство «Закритий не диверсифікований корпоративний інвестиційний фонд «Синергія Бонд». У ході виконання роботи поставлено наступні завдання:</w:t>
      </w:r>
    </w:p>
    <w:p w:rsidR="005B3133" w:rsidRPr="007C1AC3" w:rsidRDefault="005B3133" w:rsidP="007C1AC3">
      <w:pPr>
        <w:numPr>
          <w:ilvl w:val="0"/>
          <w:numId w:val="9"/>
        </w:numPr>
        <w:spacing w:line="360" w:lineRule="auto"/>
        <w:ind w:left="0" w:firstLine="709"/>
        <w:jc w:val="both"/>
        <w:rPr>
          <w:color w:val="000000"/>
          <w:sz w:val="28"/>
          <w:szCs w:val="28"/>
          <w:lang w:val="uk-UA"/>
        </w:rPr>
      </w:pPr>
      <w:r w:rsidRPr="007C1AC3">
        <w:rPr>
          <w:color w:val="000000"/>
          <w:sz w:val="28"/>
          <w:szCs w:val="28"/>
          <w:lang w:val="uk-UA"/>
        </w:rPr>
        <w:t>Ознайомитись з діяльністю інвестиційного фонду, показниками прибутковості, структурою фонду та принципами функціонування.</w:t>
      </w:r>
    </w:p>
    <w:p w:rsidR="005B3133" w:rsidRPr="007C1AC3" w:rsidRDefault="005B3133" w:rsidP="007C1AC3">
      <w:pPr>
        <w:numPr>
          <w:ilvl w:val="0"/>
          <w:numId w:val="9"/>
        </w:numPr>
        <w:spacing w:line="360" w:lineRule="auto"/>
        <w:ind w:left="0" w:firstLine="709"/>
        <w:jc w:val="both"/>
        <w:rPr>
          <w:color w:val="000000"/>
          <w:sz w:val="28"/>
          <w:szCs w:val="28"/>
          <w:lang w:val="uk-UA"/>
        </w:rPr>
      </w:pPr>
      <w:r w:rsidRPr="007C1AC3">
        <w:rPr>
          <w:color w:val="000000"/>
          <w:sz w:val="28"/>
          <w:szCs w:val="28"/>
          <w:lang w:val="uk-UA"/>
        </w:rPr>
        <w:t>Провести технічний та фундаментальний аналіз активів фонду та зробити відповідні висновки.</w:t>
      </w:r>
    </w:p>
    <w:p w:rsidR="005B3133" w:rsidRPr="007C1AC3" w:rsidRDefault="005B3133" w:rsidP="007C1AC3">
      <w:pPr>
        <w:numPr>
          <w:ilvl w:val="0"/>
          <w:numId w:val="9"/>
        </w:numPr>
        <w:spacing w:line="360" w:lineRule="auto"/>
        <w:ind w:left="0" w:firstLine="709"/>
        <w:jc w:val="both"/>
        <w:rPr>
          <w:color w:val="000000"/>
          <w:sz w:val="28"/>
          <w:szCs w:val="28"/>
          <w:lang w:val="uk-UA"/>
        </w:rPr>
      </w:pPr>
      <w:r w:rsidRPr="007C1AC3">
        <w:rPr>
          <w:color w:val="000000"/>
          <w:sz w:val="28"/>
          <w:szCs w:val="28"/>
          <w:lang w:val="uk-UA"/>
        </w:rPr>
        <w:t>Оцінити ризики фонду, що виникають при формуванні портфелю акцій.</w:t>
      </w:r>
    </w:p>
    <w:p w:rsidR="005B3133" w:rsidRPr="007C1AC3" w:rsidRDefault="005B3133" w:rsidP="007C1AC3">
      <w:pPr>
        <w:numPr>
          <w:ilvl w:val="0"/>
          <w:numId w:val="9"/>
        </w:numPr>
        <w:spacing w:line="360" w:lineRule="auto"/>
        <w:ind w:left="0" w:firstLine="709"/>
        <w:jc w:val="both"/>
        <w:rPr>
          <w:color w:val="000000"/>
          <w:sz w:val="28"/>
          <w:szCs w:val="28"/>
          <w:lang w:val="uk-UA"/>
        </w:rPr>
      </w:pPr>
      <w:r w:rsidRPr="007C1AC3">
        <w:rPr>
          <w:color w:val="000000"/>
          <w:sz w:val="28"/>
          <w:szCs w:val="28"/>
          <w:lang w:val="uk-UA"/>
        </w:rPr>
        <w:t>Порівняти результати діяльності інвестиційного фонду із середньоринковими показниками</w:t>
      </w:r>
      <w:r w:rsidR="00041F9F" w:rsidRPr="007C1AC3">
        <w:rPr>
          <w:color w:val="000000"/>
          <w:sz w:val="28"/>
          <w:szCs w:val="28"/>
          <w:lang w:val="uk-UA"/>
        </w:rPr>
        <w:t>.</w:t>
      </w:r>
    </w:p>
    <w:p w:rsidR="00041F9F" w:rsidRDefault="00041F9F" w:rsidP="007C1AC3">
      <w:pPr>
        <w:spacing w:line="360" w:lineRule="auto"/>
        <w:ind w:firstLine="709"/>
        <w:jc w:val="both"/>
        <w:rPr>
          <w:color w:val="000000"/>
          <w:sz w:val="28"/>
          <w:szCs w:val="28"/>
          <w:lang w:val="uk-UA"/>
        </w:rPr>
      </w:pPr>
    </w:p>
    <w:p w:rsidR="00D340FB" w:rsidRPr="007C1AC3" w:rsidRDefault="00D340FB" w:rsidP="007C1AC3">
      <w:pPr>
        <w:spacing w:line="360" w:lineRule="auto"/>
        <w:ind w:firstLine="709"/>
        <w:jc w:val="both"/>
        <w:rPr>
          <w:color w:val="000000"/>
          <w:sz w:val="28"/>
          <w:szCs w:val="28"/>
          <w:lang w:val="uk-UA"/>
        </w:rPr>
      </w:pPr>
    </w:p>
    <w:p w:rsidR="00041F9F" w:rsidRPr="00D340FB" w:rsidRDefault="00D340FB" w:rsidP="007C1AC3">
      <w:pPr>
        <w:spacing w:line="360" w:lineRule="auto"/>
        <w:ind w:firstLine="709"/>
        <w:jc w:val="both"/>
        <w:rPr>
          <w:b/>
          <w:color w:val="000000"/>
          <w:sz w:val="28"/>
          <w:szCs w:val="28"/>
          <w:lang w:val="uk-UA"/>
        </w:rPr>
      </w:pPr>
      <w:r>
        <w:rPr>
          <w:color w:val="000000"/>
          <w:sz w:val="28"/>
          <w:szCs w:val="28"/>
          <w:lang w:val="uk-UA"/>
        </w:rPr>
        <w:br w:type="page"/>
      </w:r>
      <w:r w:rsidR="00041F9F" w:rsidRPr="00D340FB">
        <w:rPr>
          <w:b/>
          <w:color w:val="000000"/>
          <w:sz w:val="28"/>
          <w:szCs w:val="28"/>
          <w:lang w:val="uk-UA"/>
        </w:rPr>
        <w:t>1. Описання КІФ «Синергія Бонд» та його діяльності</w:t>
      </w:r>
    </w:p>
    <w:p w:rsidR="00041F9F" w:rsidRPr="007C1AC3" w:rsidRDefault="00041F9F" w:rsidP="007C1AC3">
      <w:pPr>
        <w:spacing w:line="360" w:lineRule="auto"/>
        <w:ind w:firstLine="709"/>
        <w:jc w:val="both"/>
        <w:rPr>
          <w:color w:val="000000"/>
          <w:sz w:val="28"/>
          <w:szCs w:val="28"/>
          <w:lang w:val="uk-UA"/>
        </w:rPr>
      </w:pPr>
    </w:p>
    <w:p w:rsidR="00041F9F" w:rsidRPr="007C1AC3" w:rsidRDefault="00041F9F" w:rsidP="007C1AC3">
      <w:pPr>
        <w:spacing w:line="360" w:lineRule="auto"/>
        <w:ind w:firstLine="709"/>
        <w:jc w:val="both"/>
        <w:rPr>
          <w:color w:val="000000"/>
          <w:sz w:val="28"/>
          <w:szCs w:val="28"/>
          <w:lang w:val="uk-UA"/>
        </w:rPr>
      </w:pPr>
      <w:r w:rsidRPr="007C1AC3">
        <w:rPr>
          <w:color w:val="000000"/>
          <w:sz w:val="28"/>
          <w:szCs w:val="28"/>
          <w:lang w:val="uk-UA"/>
        </w:rPr>
        <w:t xml:space="preserve">Інвестиційний фонд </w:t>
      </w:r>
      <w:r w:rsidR="007C1AC3" w:rsidRPr="007C1AC3">
        <w:rPr>
          <w:color w:val="000000"/>
          <w:sz w:val="28"/>
          <w:szCs w:val="28"/>
          <w:lang w:val="uk-UA"/>
        </w:rPr>
        <w:t>«С</w:t>
      </w:r>
      <w:r w:rsidRPr="007C1AC3">
        <w:rPr>
          <w:color w:val="000000"/>
          <w:sz w:val="28"/>
          <w:szCs w:val="28"/>
          <w:lang w:val="uk-UA"/>
        </w:rPr>
        <w:t>инергія Бонд</w:t>
      </w:r>
      <w:r w:rsidR="007C1AC3" w:rsidRPr="007C1AC3">
        <w:rPr>
          <w:color w:val="000000"/>
          <w:sz w:val="28"/>
          <w:szCs w:val="28"/>
          <w:lang w:val="uk-UA"/>
        </w:rPr>
        <w:t xml:space="preserve">» </w:t>
      </w:r>
      <w:r w:rsidRPr="007C1AC3">
        <w:rPr>
          <w:color w:val="000000"/>
          <w:sz w:val="28"/>
          <w:szCs w:val="28"/>
          <w:lang w:val="uk-UA"/>
        </w:rPr>
        <w:t>створен</w:t>
      </w:r>
      <w:r w:rsidR="00550D4B" w:rsidRPr="007C1AC3">
        <w:rPr>
          <w:color w:val="000000"/>
          <w:sz w:val="28"/>
          <w:szCs w:val="28"/>
          <w:lang w:val="uk-UA"/>
        </w:rPr>
        <w:t>о</w:t>
      </w:r>
      <w:r w:rsidRPr="007C1AC3">
        <w:rPr>
          <w:color w:val="000000"/>
          <w:sz w:val="28"/>
          <w:szCs w:val="28"/>
          <w:lang w:val="uk-UA"/>
        </w:rPr>
        <w:t xml:space="preserve"> </w:t>
      </w:r>
      <w:r w:rsidR="00510325" w:rsidRPr="007C1AC3">
        <w:rPr>
          <w:color w:val="000000"/>
          <w:sz w:val="28"/>
          <w:szCs w:val="28"/>
          <w:lang w:val="uk-UA"/>
        </w:rPr>
        <w:t>8 листопаду</w:t>
      </w:r>
      <w:r w:rsidRPr="007C1AC3">
        <w:rPr>
          <w:color w:val="000000"/>
          <w:sz w:val="28"/>
          <w:szCs w:val="28"/>
          <w:lang w:val="uk-UA"/>
        </w:rPr>
        <w:t xml:space="preserve"> 2004 року, </w:t>
      </w:r>
      <w:r w:rsidR="00550D4B" w:rsidRPr="007C1AC3">
        <w:rPr>
          <w:color w:val="000000"/>
          <w:sz w:val="28"/>
          <w:szCs w:val="28"/>
          <w:lang w:val="uk-UA"/>
        </w:rPr>
        <w:t xml:space="preserve">місце знаходження – м. Київ, вул. Лисенка/Ярославів Вал, 2/1. Фонд </w:t>
      </w:r>
      <w:r w:rsidRPr="007C1AC3">
        <w:rPr>
          <w:color w:val="000000"/>
          <w:sz w:val="28"/>
          <w:szCs w:val="28"/>
          <w:lang w:val="uk-UA"/>
        </w:rPr>
        <w:t>призначений для консервативних інвесторів, які надають перевагу мінімальним ринковим ризикам і заради цього згодні на відносно невеликий прибуток. Об’єктами інвестування Фонду є цінні папери з фіксованим доходом, а саме:</w:t>
      </w:r>
    </w:p>
    <w:p w:rsidR="00041F9F" w:rsidRPr="007C1AC3" w:rsidRDefault="00041F9F"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державні облігації;</w:t>
      </w:r>
    </w:p>
    <w:p w:rsidR="00041F9F" w:rsidRPr="007C1AC3" w:rsidRDefault="00041F9F"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муніципальні облігації;</w:t>
      </w:r>
    </w:p>
    <w:p w:rsidR="00041F9F" w:rsidRPr="007C1AC3" w:rsidRDefault="00041F9F"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корпоративні облігації;</w:t>
      </w:r>
    </w:p>
    <w:p w:rsidR="00041F9F" w:rsidRPr="007C1AC3" w:rsidRDefault="00041F9F"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іпотечні облігації;</w:t>
      </w:r>
    </w:p>
    <w:p w:rsidR="00041F9F" w:rsidRPr="007C1AC3" w:rsidRDefault="00041F9F"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привілейовані акції;</w:t>
      </w:r>
    </w:p>
    <w:p w:rsidR="00041F9F" w:rsidRPr="007C1AC3" w:rsidRDefault="00041F9F"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інструменти грошового ринку.</w:t>
      </w:r>
    </w:p>
    <w:p w:rsidR="00041F9F" w:rsidRPr="007C1AC3" w:rsidRDefault="00041F9F" w:rsidP="007C1AC3">
      <w:pPr>
        <w:spacing w:line="360" w:lineRule="auto"/>
        <w:ind w:firstLine="709"/>
        <w:jc w:val="both"/>
        <w:rPr>
          <w:color w:val="000000"/>
          <w:sz w:val="28"/>
          <w:szCs w:val="28"/>
          <w:lang w:val="uk-UA"/>
        </w:rPr>
      </w:pPr>
      <w:r w:rsidRPr="007C1AC3">
        <w:rPr>
          <w:color w:val="000000"/>
          <w:sz w:val="28"/>
          <w:szCs w:val="28"/>
          <w:lang w:val="uk-UA"/>
        </w:rPr>
        <w:t>Фонд створено на 10 років, але передбачена можливість дострокового виходу з Фонду.</w:t>
      </w:r>
    </w:p>
    <w:p w:rsidR="00041F9F" w:rsidRPr="007C1AC3" w:rsidRDefault="00041F9F" w:rsidP="007C1AC3">
      <w:pPr>
        <w:spacing w:line="360" w:lineRule="auto"/>
        <w:ind w:firstLine="709"/>
        <w:jc w:val="both"/>
        <w:rPr>
          <w:color w:val="000000"/>
          <w:sz w:val="28"/>
          <w:szCs w:val="28"/>
          <w:lang w:val="uk-UA"/>
        </w:rPr>
      </w:pPr>
      <w:r w:rsidRPr="007C1AC3">
        <w:rPr>
          <w:color w:val="000000"/>
          <w:sz w:val="28"/>
          <w:szCs w:val="28"/>
          <w:lang w:val="uk-UA"/>
        </w:rPr>
        <w:t>Акціонерами Фонду можуть бути як фізичні, так і юридичні особи.</w:t>
      </w:r>
    </w:p>
    <w:p w:rsidR="00041F9F" w:rsidRPr="007C1AC3" w:rsidRDefault="00041F9F" w:rsidP="007C1AC3">
      <w:pPr>
        <w:spacing w:line="360" w:lineRule="auto"/>
        <w:ind w:firstLine="709"/>
        <w:jc w:val="both"/>
        <w:rPr>
          <w:color w:val="000000"/>
          <w:sz w:val="28"/>
          <w:szCs w:val="28"/>
          <w:lang w:val="uk-UA"/>
        </w:rPr>
      </w:pPr>
      <w:r w:rsidRPr="007C1AC3">
        <w:rPr>
          <w:color w:val="000000"/>
          <w:sz w:val="28"/>
          <w:szCs w:val="28"/>
          <w:lang w:val="uk-UA"/>
        </w:rPr>
        <w:t>Мінімальна сума інвестування дорівнює ціні однієї акції Фонду.</w:t>
      </w:r>
    </w:p>
    <w:p w:rsidR="00041F9F" w:rsidRPr="007C1AC3" w:rsidRDefault="00041F9F" w:rsidP="007C1AC3">
      <w:pPr>
        <w:spacing w:line="360" w:lineRule="auto"/>
        <w:ind w:firstLine="709"/>
        <w:jc w:val="both"/>
        <w:rPr>
          <w:color w:val="000000"/>
          <w:sz w:val="28"/>
          <w:szCs w:val="28"/>
          <w:lang w:val="uk-UA"/>
        </w:rPr>
      </w:pPr>
      <w:r w:rsidRPr="007C1AC3">
        <w:rPr>
          <w:color w:val="000000"/>
          <w:sz w:val="28"/>
          <w:szCs w:val="28"/>
          <w:lang w:val="uk-UA"/>
        </w:rPr>
        <w:t>Метою фонду є отримання стабільного доходу з одночасною мінімізацією ринкового ризику шляхом інвестування в цінні папери з фіксованим доходом. До основних активів</w:t>
      </w:r>
      <w:r w:rsidR="00510325" w:rsidRPr="007C1AC3">
        <w:rPr>
          <w:color w:val="000000"/>
          <w:sz w:val="28"/>
          <w:szCs w:val="28"/>
          <w:lang w:val="uk-UA"/>
        </w:rPr>
        <w:t xml:space="preserve"> інвестиційного фонду слід віднести цінні папери і грошові кошти, зокрема в іноземній валюті. Статутний капітал фонду «Синергія Бонд» складає 25 310 000 грн., у тому числі і початковий – 310 000 грн.</w:t>
      </w:r>
    </w:p>
    <w:p w:rsidR="00510325" w:rsidRPr="007C1AC3" w:rsidRDefault="00510325" w:rsidP="007C1AC3">
      <w:pPr>
        <w:spacing w:line="360" w:lineRule="auto"/>
        <w:ind w:firstLine="709"/>
        <w:jc w:val="both"/>
        <w:rPr>
          <w:color w:val="000000"/>
          <w:sz w:val="28"/>
          <w:szCs w:val="28"/>
          <w:lang w:val="uk-UA"/>
        </w:rPr>
      </w:pPr>
      <w:r w:rsidRPr="007C1AC3">
        <w:rPr>
          <w:color w:val="000000"/>
          <w:sz w:val="28"/>
          <w:szCs w:val="28"/>
          <w:lang w:val="uk-UA"/>
        </w:rPr>
        <w:t>Свою діяльність фонд «Синергія Бонд» розпочав 15 лютого 2005 року, завершення терміну діяльності приходиться на 8 листопада 2014 року.</w:t>
      </w:r>
    </w:p>
    <w:p w:rsidR="00550D4B" w:rsidRDefault="00510325" w:rsidP="007C1AC3">
      <w:pPr>
        <w:spacing w:line="360" w:lineRule="auto"/>
        <w:ind w:firstLine="709"/>
        <w:jc w:val="both"/>
        <w:rPr>
          <w:color w:val="000000"/>
          <w:sz w:val="28"/>
          <w:szCs w:val="28"/>
          <w:lang w:val="uk-UA"/>
        </w:rPr>
      </w:pPr>
      <w:r w:rsidRPr="007C1AC3">
        <w:rPr>
          <w:color w:val="000000"/>
          <w:sz w:val="28"/>
          <w:szCs w:val="28"/>
          <w:lang w:val="uk-UA"/>
        </w:rPr>
        <w:t>У табл. 1</w:t>
      </w:r>
      <w:r w:rsidR="00550D4B" w:rsidRPr="007C1AC3">
        <w:rPr>
          <w:color w:val="000000"/>
          <w:sz w:val="28"/>
          <w:szCs w:val="28"/>
          <w:lang w:val="uk-UA"/>
        </w:rPr>
        <w:t xml:space="preserve"> та 2</w:t>
      </w:r>
      <w:r w:rsidRPr="007C1AC3">
        <w:rPr>
          <w:color w:val="000000"/>
          <w:sz w:val="28"/>
          <w:szCs w:val="28"/>
          <w:lang w:val="uk-UA"/>
        </w:rPr>
        <w:t xml:space="preserve"> наведено дані про акції інвестиційного фонду «Синергія Бонд». Слід зауважити, що наведені дані стосуються пе</w:t>
      </w:r>
      <w:r w:rsidR="00550D4B" w:rsidRPr="007C1AC3">
        <w:rPr>
          <w:color w:val="000000"/>
          <w:sz w:val="28"/>
          <w:szCs w:val="28"/>
          <w:lang w:val="uk-UA"/>
        </w:rPr>
        <w:t>ршого</w:t>
      </w:r>
      <w:r w:rsidRPr="007C1AC3">
        <w:rPr>
          <w:color w:val="000000"/>
          <w:sz w:val="28"/>
          <w:szCs w:val="28"/>
          <w:lang w:val="uk-UA"/>
        </w:rPr>
        <w:t xml:space="preserve"> та </w:t>
      </w:r>
      <w:r w:rsidR="00550D4B" w:rsidRPr="007C1AC3">
        <w:rPr>
          <w:color w:val="000000"/>
          <w:sz w:val="28"/>
          <w:szCs w:val="28"/>
          <w:lang w:val="uk-UA"/>
        </w:rPr>
        <w:t>другого випусків акцій.</w:t>
      </w:r>
    </w:p>
    <w:p w:rsidR="00D340FB" w:rsidRPr="007C1AC3" w:rsidRDefault="00D340FB" w:rsidP="00D340FB">
      <w:pPr>
        <w:spacing w:line="360" w:lineRule="auto"/>
        <w:ind w:firstLine="709"/>
        <w:jc w:val="both"/>
        <w:rPr>
          <w:color w:val="000000"/>
          <w:sz w:val="28"/>
          <w:szCs w:val="28"/>
          <w:lang w:val="uk-UA"/>
        </w:rPr>
      </w:pPr>
      <w:r>
        <w:rPr>
          <w:color w:val="000000"/>
          <w:sz w:val="28"/>
          <w:szCs w:val="28"/>
          <w:lang w:val="uk-UA"/>
        </w:rPr>
        <w:br w:type="page"/>
      </w:r>
      <w:r w:rsidRPr="007C1AC3">
        <w:rPr>
          <w:color w:val="000000"/>
          <w:sz w:val="28"/>
          <w:szCs w:val="28"/>
          <w:lang w:val="uk-UA"/>
        </w:rPr>
        <w:t>Табл. 1. Акції фонду «Синергія Бонд» першого випуску</w:t>
      </w:r>
    </w:p>
    <w:tbl>
      <w:tblPr>
        <w:tblStyle w:val="1"/>
        <w:tblW w:w="9297" w:type="dxa"/>
        <w:jc w:val="center"/>
        <w:tblLook w:val="0000" w:firstRow="0" w:lastRow="0" w:firstColumn="0" w:lastColumn="0" w:noHBand="0" w:noVBand="0"/>
      </w:tblPr>
      <w:tblGrid>
        <w:gridCol w:w="5195"/>
        <w:gridCol w:w="4102"/>
      </w:tblGrid>
      <w:tr w:rsidR="00550D4B" w:rsidRPr="007C1AC3" w:rsidTr="007C1AC3">
        <w:trPr>
          <w:cantSplit/>
          <w:trHeight w:val="397"/>
          <w:jc w:val="center"/>
        </w:trPr>
        <w:tc>
          <w:tcPr>
            <w:tcW w:w="2794" w:type="pct"/>
          </w:tcPr>
          <w:p w:rsidR="00550D4B" w:rsidRPr="007C1AC3" w:rsidRDefault="00550D4B" w:rsidP="007C1AC3">
            <w:pPr>
              <w:spacing w:line="360" w:lineRule="auto"/>
              <w:jc w:val="both"/>
              <w:rPr>
                <w:color w:val="000000"/>
                <w:sz w:val="20"/>
                <w:lang w:val="uk-UA"/>
              </w:rPr>
            </w:pPr>
            <w:r w:rsidRPr="007C1AC3">
              <w:rPr>
                <w:color w:val="000000"/>
                <w:sz w:val="28"/>
                <w:szCs w:val="28"/>
                <w:lang w:val="uk-UA"/>
              </w:rPr>
              <w:br w:type="page"/>
            </w:r>
            <w:r w:rsidRPr="007C1AC3">
              <w:rPr>
                <w:color w:val="000000"/>
                <w:sz w:val="20"/>
                <w:lang w:val="uk-UA"/>
              </w:rPr>
              <w:t>Характеристика</w:t>
            </w:r>
          </w:p>
        </w:tc>
        <w:tc>
          <w:tcPr>
            <w:tcW w:w="2206" w:type="pct"/>
          </w:tcPr>
          <w:p w:rsidR="00550D4B" w:rsidRPr="007C1AC3" w:rsidRDefault="00550D4B" w:rsidP="007C1AC3">
            <w:pPr>
              <w:spacing w:line="360" w:lineRule="auto"/>
              <w:jc w:val="both"/>
              <w:rPr>
                <w:color w:val="000000"/>
                <w:sz w:val="20"/>
                <w:lang w:val="uk-UA"/>
              </w:rPr>
            </w:pPr>
            <w:r w:rsidRPr="007C1AC3">
              <w:rPr>
                <w:color w:val="000000"/>
                <w:sz w:val="20"/>
                <w:lang w:val="uk-UA"/>
              </w:rPr>
              <w:t>Прості іменні</w:t>
            </w:r>
          </w:p>
        </w:tc>
      </w:tr>
      <w:tr w:rsidR="00550D4B" w:rsidRPr="007C1AC3" w:rsidTr="007C1AC3">
        <w:trPr>
          <w:cantSplit/>
          <w:trHeight w:val="397"/>
          <w:jc w:val="center"/>
        </w:trPr>
        <w:tc>
          <w:tcPr>
            <w:tcW w:w="2794" w:type="pct"/>
          </w:tcPr>
          <w:p w:rsidR="00550D4B" w:rsidRPr="007C1AC3" w:rsidRDefault="00550D4B" w:rsidP="007C1AC3">
            <w:pPr>
              <w:spacing w:line="360" w:lineRule="auto"/>
              <w:jc w:val="both"/>
              <w:rPr>
                <w:color w:val="000000"/>
                <w:sz w:val="20"/>
                <w:lang w:val="uk-UA"/>
              </w:rPr>
            </w:pPr>
            <w:r w:rsidRPr="007C1AC3">
              <w:rPr>
                <w:color w:val="000000"/>
                <w:sz w:val="20"/>
                <w:lang w:val="uk-UA"/>
              </w:rPr>
              <w:t>Номінальна вартість</w:t>
            </w:r>
          </w:p>
        </w:tc>
        <w:tc>
          <w:tcPr>
            <w:tcW w:w="2206" w:type="pct"/>
          </w:tcPr>
          <w:p w:rsidR="00550D4B" w:rsidRPr="007C1AC3" w:rsidRDefault="00550D4B" w:rsidP="007C1AC3">
            <w:pPr>
              <w:spacing w:line="360" w:lineRule="auto"/>
              <w:jc w:val="both"/>
              <w:rPr>
                <w:color w:val="000000"/>
                <w:sz w:val="20"/>
                <w:lang w:val="uk-UA"/>
              </w:rPr>
            </w:pPr>
            <w:r w:rsidRPr="007C1AC3">
              <w:rPr>
                <w:color w:val="000000"/>
                <w:sz w:val="20"/>
                <w:lang w:val="uk-UA"/>
              </w:rPr>
              <w:t>10 000 грн.</w:t>
            </w:r>
          </w:p>
        </w:tc>
      </w:tr>
      <w:tr w:rsidR="00550D4B" w:rsidRPr="007C1AC3" w:rsidTr="007C1AC3">
        <w:trPr>
          <w:cantSplit/>
          <w:trHeight w:val="397"/>
          <w:jc w:val="center"/>
        </w:trPr>
        <w:tc>
          <w:tcPr>
            <w:tcW w:w="2794" w:type="pct"/>
          </w:tcPr>
          <w:p w:rsidR="00550D4B" w:rsidRPr="007C1AC3" w:rsidRDefault="00550D4B" w:rsidP="007C1AC3">
            <w:pPr>
              <w:spacing w:line="360" w:lineRule="auto"/>
              <w:jc w:val="both"/>
              <w:rPr>
                <w:color w:val="000000"/>
                <w:sz w:val="20"/>
                <w:lang w:val="uk-UA"/>
              </w:rPr>
            </w:pPr>
            <w:r w:rsidRPr="007C1AC3">
              <w:rPr>
                <w:color w:val="000000"/>
                <w:sz w:val="20"/>
                <w:lang w:val="uk-UA"/>
              </w:rPr>
              <w:t>Кількість випущених акцій</w:t>
            </w:r>
          </w:p>
        </w:tc>
        <w:tc>
          <w:tcPr>
            <w:tcW w:w="2206" w:type="pct"/>
          </w:tcPr>
          <w:p w:rsidR="00550D4B" w:rsidRPr="007C1AC3" w:rsidRDefault="00550D4B" w:rsidP="007C1AC3">
            <w:pPr>
              <w:spacing w:line="360" w:lineRule="auto"/>
              <w:jc w:val="both"/>
              <w:rPr>
                <w:color w:val="000000"/>
                <w:sz w:val="20"/>
                <w:lang w:val="uk-UA"/>
              </w:rPr>
            </w:pPr>
            <w:r w:rsidRPr="007C1AC3">
              <w:rPr>
                <w:color w:val="000000"/>
                <w:sz w:val="20"/>
                <w:lang w:val="uk-UA"/>
              </w:rPr>
              <w:t>31 шт.</w:t>
            </w:r>
          </w:p>
        </w:tc>
      </w:tr>
      <w:tr w:rsidR="00550D4B" w:rsidRPr="007C1AC3" w:rsidTr="007C1AC3">
        <w:trPr>
          <w:cantSplit/>
          <w:trHeight w:val="397"/>
          <w:jc w:val="center"/>
        </w:trPr>
        <w:tc>
          <w:tcPr>
            <w:tcW w:w="2794" w:type="pct"/>
          </w:tcPr>
          <w:p w:rsidR="00550D4B" w:rsidRPr="007C1AC3" w:rsidRDefault="00550D4B" w:rsidP="007C1AC3">
            <w:pPr>
              <w:spacing w:line="360" w:lineRule="auto"/>
              <w:jc w:val="both"/>
              <w:rPr>
                <w:color w:val="000000"/>
                <w:sz w:val="20"/>
                <w:lang w:val="uk-UA"/>
              </w:rPr>
            </w:pPr>
            <w:r w:rsidRPr="007C1AC3">
              <w:rPr>
                <w:color w:val="000000"/>
                <w:sz w:val="20"/>
                <w:lang w:val="uk-UA"/>
              </w:rPr>
              <w:t>Загальна сума випуску акцій</w:t>
            </w:r>
          </w:p>
        </w:tc>
        <w:tc>
          <w:tcPr>
            <w:tcW w:w="2206" w:type="pct"/>
          </w:tcPr>
          <w:p w:rsidR="00550D4B" w:rsidRPr="007C1AC3" w:rsidRDefault="00550D4B" w:rsidP="007C1AC3">
            <w:pPr>
              <w:spacing w:line="360" w:lineRule="auto"/>
              <w:jc w:val="both"/>
              <w:rPr>
                <w:color w:val="000000"/>
                <w:sz w:val="20"/>
                <w:lang w:val="uk-UA"/>
              </w:rPr>
            </w:pPr>
            <w:r w:rsidRPr="007C1AC3">
              <w:rPr>
                <w:color w:val="000000"/>
                <w:sz w:val="20"/>
                <w:lang w:val="uk-UA"/>
              </w:rPr>
              <w:t>310 000 грн.</w:t>
            </w:r>
          </w:p>
        </w:tc>
      </w:tr>
      <w:tr w:rsidR="00550D4B" w:rsidRPr="007C1AC3" w:rsidTr="007C1AC3">
        <w:trPr>
          <w:cantSplit/>
          <w:trHeight w:val="397"/>
          <w:jc w:val="center"/>
        </w:trPr>
        <w:tc>
          <w:tcPr>
            <w:tcW w:w="2794" w:type="pct"/>
          </w:tcPr>
          <w:p w:rsidR="00550D4B" w:rsidRPr="007C1AC3" w:rsidRDefault="00550D4B" w:rsidP="007C1AC3">
            <w:pPr>
              <w:spacing w:line="360" w:lineRule="auto"/>
              <w:jc w:val="both"/>
              <w:rPr>
                <w:color w:val="000000"/>
                <w:sz w:val="20"/>
                <w:lang w:val="uk-UA"/>
              </w:rPr>
            </w:pPr>
            <w:r w:rsidRPr="007C1AC3">
              <w:rPr>
                <w:color w:val="000000"/>
                <w:sz w:val="20"/>
                <w:lang w:val="uk-UA"/>
              </w:rPr>
              <w:t>Форма випуску</w:t>
            </w:r>
          </w:p>
        </w:tc>
        <w:tc>
          <w:tcPr>
            <w:tcW w:w="2206" w:type="pct"/>
          </w:tcPr>
          <w:p w:rsidR="00550D4B" w:rsidRPr="007C1AC3" w:rsidRDefault="00550D4B" w:rsidP="007C1AC3">
            <w:pPr>
              <w:spacing w:line="360" w:lineRule="auto"/>
              <w:jc w:val="both"/>
              <w:rPr>
                <w:color w:val="000000"/>
                <w:sz w:val="20"/>
                <w:lang w:val="uk-UA"/>
              </w:rPr>
            </w:pPr>
            <w:r w:rsidRPr="007C1AC3">
              <w:rPr>
                <w:color w:val="000000"/>
                <w:sz w:val="20"/>
                <w:lang w:val="uk-UA"/>
              </w:rPr>
              <w:t>Документарна</w:t>
            </w:r>
          </w:p>
        </w:tc>
      </w:tr>
      <w:tr w:rsidR="00550D4B" w:rsidRPr="007C1AC3" w:rsidTr="007C1AC3">
        <w:trPr>
          <w:cantSplit/>
          <w:trHeight w:val="397"/>
          <w:jc w:val="center"/>
        </w:trPr>
        <w:tc>
          <w:tcPr>
            <w:tcW w:w="2794" w:type="pct"/>
          </w:tcPr>
          <w:p w:rsidR="00550D4B" w:rsidRPr="007C1AC3" w:rsidRDefault="00550D4B" w:rsidP="007C1AC3">
            <w:pPr>
              <w:spacing w:line="360" w:lineRule="auto"/>
              <w:jc w:val="both"/>
              <w:rPr>
                <w:color w:val="000000"/>
                <w:sz w:val="20"/>
                <w:lang w:val="uk-UA"/>
              </w:rPr>
            </w:pPr>
            <w:r w:rsidRPr="007C1AC3">
              <w:rPr>
                <w:color w:val="000000"/>
                <w:sz w:val="20"/>
                <w:lang w:val="uk-UA"/>
              </w:rPr>
              <w:t>Свідоцтво про реєстрацію випуску</w:t>
            </w:r>
          </w:p>
        </w:tc>
        <w:tc>
          <w:tcPr>
            <w:tcW w:w="2206" w:type="pct"/>
          </w:tcPr>
          <w:p w:rsidR="00550D4B" w:rsidRPr="007C1AC3" w:rsidRDefault="007C1AC3" w:rsidP="007C1AC3">
            <w:pPr>
              <w:spacing w:line="360" w:lineRule="auto"/>
              <w:jc w:val="both"/>
              <w:rPr>
                <w:color w:val="000000"/>
                <w:sz w:val="20"/>
                <w:lang w:val="uk-UA"/>
              </w:rPr>
            </w:pPr>
            <w:r w:rsidRPr="007C1AC3">
              <w:rPr>
                <w:color w:val="000000"/>
                <w:sz w:val="20"/>
                <w:lang w:val="uk-UA"/>
              </w:rPr>
              <w:t>№7</w:t>
            </w:r>
            <w:r w:rsidR="00550D4B" w:rsidRPr="007C1AC3">
              <w:rPr>
                <w:color w:val="000000"/>
                <w:sz w:val="20"/>
                <w:lang w:val="uk-UA"/>
              </w:rPr>
              <w:t>15/1/04 від 06.12.04</w:t>
            </w:r>
            <w:r w:rsidRPr="007C1AC3">
              <w:rPr>
                <w:color w:val="000000"/>
                <w:sz w:val="20"/>
                <w:lang w:val="uk-UA"/>
              </w:rPr>
              <w:t> р</w:t>
            </w:r>
            <w:r w:rsidR="00550D4B" w:rsidRPr="007C1AC3">
              <w:rPr>
                <w:color w:val="000000"/>
                <w:sz w:val="20"/>
                <w:lang w:val="uk-UA"/>
              </w:rPr>
              <w:t>.</w:t>
            </w:r>
          </w:p>
        </w:tc>
      </w:tr>
    </w:tbl>
    <w:p w:rsidR="00D340FB" w:rsidRDefault="00D340FB" w:rsidP="00D340FB">
      <w:pPr>
        <w:spacing w:line="360" w:lineRule="auto"/>
        <w:ind w:firstLine="709"/>
        <w:jc w:val="both"/>
        <w:rPr>
          <w:color w:val="000000"/>
          <w:sz w:val="28"/>
          <w:szCs w:val="28"/>
          <w:lang w:val="uk-UA"/>
        </w:rPr>
      </w:pPr>
    </w:p>
    <w:p w:rsidR="00D340FB" w:rsidRPr="007C1AC3" w:rsidRDefault="00D340FB" w:rsidP="00D340FB">
      <w:pPr>
        <w:spacing w:line="360" w:lineRule="auto"/>
        <w:ind w:firstLine="709"/>
        <w:jc w:val="both"/>
        <w:rPr>
          <w:color w:val="000000"/>
          <w:sz w:val="28"/>
          <w:szCs w:val="28"/>
          <w:lang w:val="uk-UA"/>
        </w:rPr>
      </w:pPr>
      <w:r w:rsidRPr="007C1AC3">
        <w:rPr>
          <w:color w:val="000000"/>
          <w:sz w:val="28"/>
          <w:szCs w:val="28"/>
          <w:lang w:val="uk-UA"/>
        </w:rPr>
        <w:t>Табл. 2. Акції фонду «Синергія Бонд» другого випуску</w:t>
      </w:r>
    </w:p>
    <w:tbl>
      <w:tblPr>
        <w:tblStyle w:val="1"/>
        <w:tblW w:w="9297" w:type="dxa"/>
        <w:jc w:val="center"/>
        <w:tblLook w:val="0000" w:firstRow="0" w:lastRow="0" w:firstColumn="0" w:lastColumn="0" w:noHBand="0" w:noVBand="0"/>
      </w:tblPr>
      <w:tblGrid>
        <w:gridCol w:w="5191"/>
        <w:gridCol w:w="4106"/>
      </w:tblGrid>
      <w:tr w:rsidR="00550D4B" w:rsidRPr="007C1AC3" w:rsidTr="007C1AC3">
        <w:trPr>
          <w:cantSplit/>
          <w:jc w:val="center"/>
        </w:trPr>
        <w:tc>
          <w:tcPr>
            <w:tcW w:w="2792" w:type="pct"/>
          </w:tcPr>
          <w:p w:rsidR="00550D4B" w:rsidRPr="007C1AC3" w:rsidRDefault="00550D4B" w:rsidP="007C1AC3">
            <w:pPr>
              <w:spacing w:line="360" w:lineRule="auto"/>
              <w:jc w:val="both"/>
              <w:rPr>
                <w:color w:val="000000"/>
                <w:sz w:val="20"/>
                <w:szCs w:val="28"/>
                <w:lang w:val="uk-UA"/>
              </w:rPr>
            </w:pPr>
            <w:r w:rsidRPr="007C1AC3">
              <w:rPr>
                <w:color w:val="000000"/>
                <w:sz w:val="20"/>
                <w:lang w:val="uk-UA"/>
              </w:rPr>
              <w:t>Характеристика</w:t>
            </w:r>
          </w:p>
        </w:tc>
        <w:tc>
          <w:tcPr>
            <w:tcW w:w="2208" w:type="pct"/>
          </w:tcPr>
          <w:p w:rsidR="00550D4B" w:rsidRPr="007C1AC3" w:rsidRDefault="00550D4B" w:rsidP="007C1AC3">
            <w:pPr>
              <w:spacing w:line="360" w:lineRule="auto"/>
              <w:jc w:val="both"/>
              <w:rPr>
                <w:color w:val="000000"/>
                <w:sz w:val="20"/>
                <w:szCs w:val="28"/>
                <w:lang w:val="uk-UA"/>
              </w:rPr>
            </w:pPr>
            <w:r w:rsidRPr="007C1AC3">
              <w:rPr>
                <w:color w:val="000000"/>
                <w:sz w:val="20"/>
                <w:szCs w:val="28"/>
                <w:lang w:val="uk-UA"/>
              </w:rPr>
              <w:t>Прості іменні</w:t>
            </w:r>
          </w:p>
        </w:tc>
      </w:tr>
      <w:tr w:rsidR="00550D4B" w:rsidRPr="007C1AC3" w:rsidTr="007C1AC3">
        <w:trPr>
          <w:cantSplit/>
          <w:jc w:val="center"/>
        </w:trPr>
        <w:tc>
          <w:tcPr>
            <w:tcW w:w="2792" w:type="pct"/>
          </w:tcPr>
          <w:p w:rsidR="00550D4B" w:rsidRPr="007C1AC3" w:rsidRDefault="00550D4B" w:rsidP="007C1AC3">
            <w:pPr>
              <w:spacing w:line="360" w:lineRule="auto"/>
              <w:jc w:val="both"/>
              <w:rPr>
                <w:color w:val="000000"/>
                <w:sz w:val="20"/>
                <w:szCs w:val="28"/>
                <w:lang w:val="uk-UA"/>
              </w:rPr>
            </w:pPr>
            <w:r w:rsidRPr="007C1AC3">
              <w:rPr>
                <w:color w:val="000000"/>
                <w:sz w:val="20"/>
                <w:lang w:val="uk-UA"/>
              </w:rPr>
              <w:t>Номінальна вартість</w:t>
            </w:r>
          </w:p>
        </w:tc>
        <w:tc>
          <w:tcPr>
            <w:tcW w:w="2208" w:type="pct"/>
          </w:tcPr>
          <w:p w:rsidR="00550D4B" w:rsidRPr="007C1AC3" w:rsidRDefault="00550D4B" w:rsidP="007C1AC3">
            <w:pPr>
              <w:spacing w:line="360" w:lineRule="auto"/>
              <w:jc w:val="both"/>
              <w:rPr>
                <w:color w:val="000000"/>
                <w:sz w:val="20"/>
                <w:szCs w:val="28"/>
                <w:lang w:val="uk-UA"/>
              </w:rPr>
            </w:pPr>
            <w:r w:rsidRPr="007C1AC3">
              <w:rPr>
                <w:color w:val="000000"/>
                <w:sz w:val="20"/>
                <w:szCs w:val="28"/>
                <w:lang w:val="uk-UA"/>
              </w:rPr>
              <w:t>10 000 грн.</w:t>
            </w:r>
          </w:p>
        </w:tc>
      </w:tr>
      <w:tr w:rsidR="00550D4B" w:rsidRPr="007C1AC3" w:rsidTr="007C1AC3">
        <w:trPr>
          <w:cantSplit/>
          <w:jc w:val="center"/>
        </w:trPr>
        <w:tc>
          <w:tcPr>
            <w:tcW w:w="2792" w:type="pct"/>
          </w:tcPr>
          <w:p w:rsidR="00550D4B" w:rsidRPr="007C1AC3" w:rsidRDefault="00550D4B" w:rsidP="007C1AC3">
            <w:pPr>
              <w:spacing w:line="360" w:lineRule="auto"/>
              <w:jc w:val="both"/>
              <w:rPr>
                <w:color w:val="000000"/>
                <w:sz w:val="20"/>
                <w:szCs w:val="28"/>
                <w:lang w:val="uk-UA"/>
              </w:rPr>
            </w:pPr>
            <w:r w:rsidRPr="007C1AC3">
              <w:rPr>
                <w:color w:val="000000"/>
                <w:sz w:val="20"/>
                <w:lang w:val="uk-UA"/>
              </w:rPr>
              <w:t>Кількість випущених акцій</w:t>
            </w:r>
          </w:p>
        </w:tc>
        <w:tc>
          <w:tcPr>
            <w:tcW w:w="2208" w:type="pct"/>
          </w:tcPr>
          <w:p w:rsidR="00550D4B" w:rsidRPr="007C1AC3" w:rsidRDefault="00550D4B" w:rsidP="007C1AC3">
            <w:pPr>
              <w:spacing w:line="360" w:lineRule="auto"/>
              <w:jc w:val="both"/>
              <w:rPr>
                <w:color w:val="000000"/>
                <w:sz w:val="20"/>
                <w:szCs w:val="28"/>
                <w:lang w:val="uk-UA"/>
              </w:rPr>
            </w:pPr>
            <w:r w:rsidRPr="007C1AC3">
              <w:rPr>
                <w:color w:val="000000"/>
                <w:sz w:val="20"/>
                <w:szCs w:val="28"/>
                <w:lang w:val="uk-UA"/>
              </w:rPr>
              <w:t>2 500 шт.</w:t>
            </w:r>
          </w:p>
        </w:tc>
      </w:tr>
      <w:tr w:rsidR="00550D4B" w:rsidRPr="007C1AC3" w:rsidTr="007C1AC3">
        <w:trPr>
          <w:cantSplit/>
          <w:jc w:val="center"/>
        </w:trPr>
        <w:tc>
          <w:tcPr>
            <w:tcW w:w="2792" w:type="pct"/>
          </w:tcPr>
          <w:p w:rsidR="00550D4B" w:rsidRPr="007C1AC3" w:rsidRDefault="00550D4B" w:rsidP="007C1AC3">
            <w:pPr>
              <w:spacing w:line="360" w:lineRule="auto"/>
              <w:jc w:val="both"/>
              <w:rPr>
                <w:color w:val="000000"/>
                <w:sz w:val="20"/>
                <w:szCs w:val="28"/>
                <w:lang w:val="uk-UA"/>
              </w:rPr>
            </w:pPr>
            <w:r w:rsidRPr="007C1AC3">
              <w:rPr>
                <w:color w:val="000000"/>
                <w:sz w:val="20"/>
                <w:lang w:val="uk-UA"/>
              </w:rPr>
              <w:t>Загальна сума випуску акцій</w:t>
            </w:r>
          </w:p>
        </w:tc>
        <w:tc>
          <w:tcPr>
            <w:tcW w:w="2208" w:type="pct"/>
          </w:tcPr>
          <w:p w:rsidR="00550D4B" w:rsidRPr="007C1AC3" w:rsidRDefault="00550D4B" w:rsidP="007C1AC3">
            <w:pPr>
              <w:spacing w:line="360" w:lineRule="auto"/>
              <w:jc w:val="both"/>
              <w:rPr>
                <w:color w:val="000000"/>
                <w:sz w:val="20"/>
                <w:szCs w:val="28"/>
                <w:lang w:val="uk-UA"/>
              </w:rPr>
            </w:pPr>
            <w:r w:rsidRPr="007C1AC3">
              <w:rPr>
                <w:color w:val="000000"/>
                <w:sz w:val="20"/>
                <w:szCs w:val="28"/>
                <w:lang w:val="uk-UA"/>
              </w:rPr>
              <w:t>25 000 000 грн.</w:t>
            </w:r>
          </w:p>
        </w:tc>
      </w:tr>
      <w:tr w:rsidR="00550D4B" w:rsidRPr="007C1AC3" w:rsidTr="007C1AC3">
        <w:trPr>
          <w:cantSplit/>
          <w:jc w:val="center"/>
        </w:trPr>
        <w:tc>
          <w:tcPr>
            <w:tcW w:w="2792" w:type="pct"/>
          </w:tcPr>
          <w:p w:rsidR="00550D4B" w:rsidRPr="007C1AC3" w:rsidRDefault="00550D4B" w:rsidP="007C1AC3">
            <w:pPr>
              <w:spacing w:line="360" w:lineRule="auto"/>
              <w:jc w:val="both"/>
              <w:rPr>
                <w:color w:val="000000"/>
                <w:sz w:val="20"/>
                <w:szCs w:val="28"/>
                <w:lang w:val="uk-UA"/>
              </w:rPr>
            </w:pPr>
            <w:r w:rsidRPr="007C1AC3">
              <w:rPr>
                <w:color w:val="000000"/>
                <w:sz w:val="20"/>
                <w:lang w:val="uk-UA"/>
              </w:rPr>
              <w:t>Форма випуску</w:t>
            </w:r>
          </w:p>
        </w:tc>
        <w:tc>
          <w:tcPr>
            <w:tcW w:w="2208" w:type="pct"/>
          </w:tcPr>
          <w:p w:rsidR="00550D4B" w:rsidRPr="007C1AC3" w:rsidRDefault="00550D4B" w:rsidP="007C1AC3">
            <w:pPr>
              <w:spacing w:line="360" w:lineRule="auto"/>
              <w:jc w:val="both"/>
              <w:rPr>
                <w:color w:val="000000"/>
                <w:sz w:val="20"/>
                <w:szCs w:val="28"/>
                <w:lang w:val="uk-UA"/>
              </w:rPr>
            </w:pPr>
            <w:r w:rsidRPr="007C1AC3">
              <w:rPr>
                <w:color w:val="000000"/>
                <w:sz w:val="20"/>
                <w:szCs w:val="28"/>
                <w:lang w:val="uk-UA"/>
              </w:rPr>
              <w:t>Документарна</w:t>
            </w:r>
          </w:p>
        </w:tc>
      </w:tr>
      <w:tr w:rsidR="00550D4B" w:rsidRPr="007C1AC3" w:rsidTr="007C1AC3">
        <w:trPr>
          <w:cantSplit/>
          <w:jc w:val="center"/>
        </w:trPr>
        <w:tc>
          <w:tcPr>
            <w:tcW w:w="2792" w:type="pct"/>
          </w:tcPr>
          <w:p w:rsidR="00550D4B" w:rsidRPr="007C1AC3" w:rsidRDefault="00550D4B" w:rsidP="007C1AC3">
            <w:pPr>
              <w:spacing w:line="360" w:lineRule="auto"/>
              <w:jc w:val="both"/>
              <w:rPr>
                <w:color w:val="000000"/>
                <w:sz w:val="20"/>
                <w:szCs w:val="28"/>
                <w:lang w:val="uk-UA"/>
              </w:rPr>
            </w:pPr>
            <w:r w:rsidRPr="007C1AC3">
              <w:rPr>
                <w:color w:val="000000"/>
                <w:sz w:val="20"/>
                <w:lang w:val="uk-UA"/>
              </w:rPr>
              <w:t>Свідоцтво про реєстрацію випуску</w:t>
            </w:r>
          </w:p>
        </w:tc>
        <w:tc>
          <w:tcPr>
            <w:tcW w:w="2208" w:type="pct"/>
          </w:tcPr>
          <w:p w:rsidR="00550D4B" w:rsidRPr="007C1AC3" w:rsidRDefault="007C1AC3" w:rsidP="007C1AC3">
            <w:pPr>
              <w:spacing w:line="360" w:lineRule="auto"/>
              <w:jc w:val="both"/>
              <w:rPr>
                <w:color w:val="000000"/>
                <w:sz w:val="20"/>
                <w:szCs w:val="28"/>
                <w:lang w:val="uk-UA"/>
              </w:rPr>
            </w:pPr>
            <w:r w:rsidRPr="007C1AC3">
              <w:rPr>
                <w:color w:val="000000"/>
                <w:sz w:val="20"/>
                <w:szCs w:val="28"/>
                <w:lang w:val="uk-UA"/>
              </w:rPr>
              <w:t>№9</w:t>
            </w:r>
            <w:r w:rsidR="00550D4B" w:rsidRPr="007C1AC3">
              <w:rPr>
                <w:color w:val="000000"/>
                <w:sz w:val="20"/>
                <w:szCs w:val="28"/>
                <w:lang w:val="uk-UA"/>
              </w:rPr>
              <w:t>9 від 18.01.05</w:t>
            </w:r>
            <w:r w:rsidRPr="007C1AC3">
              <w:rPr>
                <w:color w:val="000000"/>
                <w:sz w:val="20"/>
                <w:szCs w:val="28"/>
                <w:lang w:val="uk-UA"/>
              </w:rPr>
              <w:t> р</w:t>
            </w:r>
            <w:r w:rsidR="00550D4B" w:rsidRPr="007C1AC3">
              <w:rPr>
                <w:color w:val="000000"/>
                <w:sz w:val="20"/>
                <w:szCs w:val="28"/>
                <w:lang w:val="uk-UA"/>
              </w:rPr>
              <w:t>.</w:t>
            </w:r>
          </w:p>
        </w:tc>
      </w:tr>
    </w:tbl>
    <w:p w:rsidR="00550D4B" w:rsidRPr="007C1AC3" w:rsidRDefault="00550D4B" w:rsidP="007C1AC3">
      <w:pPr>
        <w:spacing w:line="360" w:lineRule="auto"/>
        <w:ind w:firstLine="709"/>
        <w:jc w:val="both"/>
        <w:rPr>
          <w:color w:val="000000"/>
          <w:sz w:val="28"/>
          <w:szCs w:val="28"/>
          <w:lang w:val="uk-UA"/>
        </w:rPr>
      </w:pPr>
    </w:p>
    <w:p w:rsidR="00550D4B" w:rsidRPr="007C1AC3" w:rsidRDefault="00550D4B" w:rsidP="007C1AC3">
      <w:pPr>
        <w:spacing w:line="360" w:lineRule="auto"/>
        <w:ind w:firstLine="709"/>
        <w:jc w:val="both"/>
        <w:rPr>
          <w:color w:val="000000"/>
          <w:sz w:val="28"/>
          <w:szCs w:val="28"/>
          <w:lang w:val="uk-UA"/>
        </w:rPr>
      </w:pPr>
      <w:r w:rsidRPr="007C1AC3">
        <w:rPr>
          <w:color w:val="000000"/>
          <w:sz w:val="28"/>
          <w:szCs w:val="28"/>
          <w:lang w:val="uk-UA"/>
        </w:rPr>
        <w:t xml:space="preserve">Щодо складу активів </w:t>
      </w:r>
      <w:r w:rsidR="00A21CA0" w:rsidRPr="007C1AC3">
        <w:rPr>
          <w:color w:val="000000"/>
          <w:sz w:val="28"/>
          <w:szCs w:val="28"/>
          <w:lang w:val="uk-UA"/>
        </w:rPr>
        <w:t>ф</w:t>
      </w:r>
      <w:r w:rsidRPr="007C1AC3">
        <w:rPr>
          <w:color w:val="000000"/>
          <w:sz w:val="28"/>
          <w:szCs w:val="28"/>
          <w:lang w:val="uk-UA"/>
        </w:rPr>
        <w:t>онду</w:t>
      </w:r>
      <w:r w:rsidR="00A21CA0" w:rsidRPr="007C1AC3">
        <w:rPr>
          <w:color w:val="000000"/>
          <w:sz w:val="28"/>
          <w:szCs w:val="28"/>
          <w:lang w:val="uk-UA"/>
        </w:rPr>
        <w:t xml:space="preserve"> «Синергія Бонд»</w:t>
      </w:r>
      <w:r w:rsidRPr="007C1AC3">
        <w:rPr>
          <w:color w:val="000000"/>
          <w:sz w:val="28"/>
          <w:szCs w:val="28"/>
          <w:lang w:val="uk-UA"/>
        </w:rPr>
        <w:t xml:space="preserve"> встановлюються наступні обмеження та заборони:</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 xml:space="preserve">вартість цінних паперів повинна складати не менше 70 (сімдесяти) відсотків загальної вартості активів </w:t>
      </w:r>
      <w:r w:rsidR="00A21CA0" w:rsidRPr="007C1AC3">
        <w:rPr>
          <w:color w:val="000000"/>
          <w:sz w:val="28"/>
          <w:szCs w:val="28"/>
          <w:lang w:val="uk-UA"/>
        </w:rPr>
        <w:t>ф</w:t>
      </w:r>
      <w:r w:rsidRPr="007C1AC3">
        <w:rPr>
          <w:color w:val="000000"/>
          <w:sz w:val="28"/>
          <w:szCs w:val="28"/>
          <w:lang w:val="uk-UA"/>
        </w:rPr>
        <w:t>онду;</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забороняється придбавати або додатково інвестувати в цінні папери одного емітента більше ніж 20 (двадцять) відсотків загальної вартості активів Фонду крім цінних паперів, погашення та отримання доходу за якими гарантовано Кабінетом Міністрів України;</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 xml:space="preserve">забороняється придбавати або додатково інвестувати в корпоративні облігації більше ніж 80 (вісімдесят) відсотків загальної вартості активів </w:t>
      </w:r>
      <w:r w:rsidR="00A21CA0" w:rsidRPr="007C1AC3">
        <w:rPr>
          <w:color w:val="000000"/>
          <w:sz w:val="28"/>
          <w:szCs w:val="28"/>
          <w:lang w:val="uk-UA"/>
        </w:rPr>
        <w:t>ф</w:t>
      </w:r>
      <w:r w:rsidRPr="007C1AC3">
        <w:rPr>
          <w:color w:val="000000"/>
          <w:sz w:val="28"/>
          <w:szCs w:val="28"/>
          <w:lang w:val="uk-UA"/>
        </w:rPr>
        <w:t>онду;</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 xml:space="preserve">забороняється придбавати або додатково інвестувати в державні облігації більше ніж 50 (п’ятдесят) відсотків загальної вартості активів </w:t>
      </w:r>
      <w:r w:rsidR="00A21CA0" w:rsidRPr="007C1AC3">
        <w:rPr>
          <w:color w:val="000000"/>
          <w:sz w:val="28"/>
          <w:szCs w:val="28"/>
          <w:lang w:val="uk-UA"/>
        </w:rPr>
        <w:t>ф</w:t>
      </w:r>
      <w:r w:rsidRPr="007C1AC3">
        <w:rPr>
          <w:color w:val="000000"/>
          <w:sz w:val="28"/>
          <w:szCs w:val="28"/>
          <w:lang w:val="uk-UA"/>
        </w:rPr>
        <w:t>онду;</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 xml:space="preserve">забороняється придбавати або додатково інвестувати в муніципальні облігації більше ніж 50 (п’ятдесят) відсотків загальної вартості активів </w:t>
      </w:r>
      <w:r w:rsidR="00A21CA0" w:rsidRPr="007C1AC3">
        <w:rPr>
          <w:color w:val="000000"/>
          <w:sz w:val="28"/>
          <w:szCs w:val="28"/>
          <w:lang w:val="uk-UA"/>
        </w:rPr>
        <w:t>ф</w:t>
      </w:r>
      <w:r w:rsidRPr="007C1AC3">
        <w:rPr>
          <w:color w:val="000000"/>
          <w:sz w:val="28"/>
          <w:szCs w:val="28"/>
          <w:lang w:val="uk-UA"/>
        </w:rPr>
        <w:t>онду;</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 xml:space="preserve">забороняється придбавати або додатково інвестувати в іпотечні облігації більше ніж 50 (п’ятдесят) відсотків загальної вартості активів </w:t>
      </w:r>
      <w:r w:rsidR="00A21CA0" w:rsidRPr="007C1AC3">
        <w:rPr>
          <w:color w:val="000000"/>
          <w:sz w:val="28"/>
          <w:szCs w:val="28"/>
          <w:lang w:val="uk-UA"/>
        </w:rPr>
        <w:t>ф</w:t>
      </w:r>
      <w:r w:rsidRPr="007C1AC3">
        <w:rPr>
          <w:color w:val="000000"/>
          <w:sz w:val="28"/>
          <w:szCs w:val="28"/>
          <w:lang w:val="uk-UA"/>
        </w:rPr>
        <w:t>онду;</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 xml:space="preserve">забороняється придбавати або додатково інвестувати в інструменти грошового ринку більше ніж 30 (тридцять) відсотків загальної вартості активів </w:t>
      </w:r>
      <w:r w:rsidR="00A21CA0" w:rsidRPr="007C1AC3">
        <w:rPr>
          <w:color w:val="000000"/>
          <w:sz w:val="28"/>
          <w:szCs w:val="28"/>
          <w:lang w:val="uk-UA"/>
        </w:rPr>
        <w:t>ф</w:t>
      </w:r>
      <w:r w:rsidRPr="007C1AC3">
        <w:rPr>
          <w:color w:val="000000"/>
          <w:sz w:val="28"/>
          <w:szCs w:val="28"/>
          <w:lang w:val="uk-UA"/>
        </w:rPr>
        <w:t>онду;</w:t>
      </w:r>
    </w:p>
    <w:p w:rsidR="00550D4B" w:rsidRPr="007C1AC3" w:rsidRDefault="00550D4B" w:rsidP="007C1AC3">
      <w:pPr>
        <w:numPr>
          <w:ilvl w:val="0"/>
          <w:numId w:val="10"/>
        </w:numPr>
        <w:spacing w:line="360" w:lineRule="auto"/>
        <w:ind w:left="0" w:firstLine="709"/>
        <w:jc w:val="both"/>
        <w:rPr>
          <w:color w:val="000000"/>
          <w:sz w:val="28"/>
          <w:szCs w:val="28"/>
          <w:lang w:val="uk-UA"/>
        </w:rPr>
      </w:pPr>
      <w:r w:rsidRPr="007C1AC3">
        <w:rPr>
          <w:color w:val="000000"/>
          <w:sz w:val="28"/>
          <w:szCs w:val="28"/>
          <w:lang w:val="uk-UA"/>
        </w:rPr>
        <w:t>інші обмеження та заборони, встановлені Законом України «Про інститути спільного інвестування (пайові та корпоративні фонди)» та нормативно-правовими актами Комісії для недиверсифікованих корпоративних інвестиційних фондів.</w:t>
      </w:r>
    </w:p>
    <w:p w:rsidR="00550D4B" w:rsidRPr="007C1AC3" w:rsidRDefault="00A21CA0" w:rsidP="007C1AC3">
      <w:pPr>
        <w:spacing w:line="360" w:lineRule="auto"/>
        <w:ind w:firstLine="709"/>
        <w:jc w:val="both"/>
        <w:rPr>
          <w:color w:val="000000"/>
          <w:sz w:val="28"/>
          <w:szCs w:val="28"/>
          <w:lang w:val="uk-UA"/>
        </w:rPr>
      </w:pPr>
      <w:r w:rsidRPr="007C1AC3">
        <w:rPr>
          <w:color w:val="000000"/>
          <w:sz w:val="28"/>
          <w:szCs w:val="28"/>
          <w:lang w:val="uk-UA"/>
        </w:rPr>
        <w:t>Викуп акцій здійснюється фондом після закінчення терміну його діяльності за ціною, що визначається, виходячи з вартості чистих активів. Також можливий викуп акцій до закінчення терміну діяльності фонду за умов і в порядку, вказаних в Регламенті Фонду.</w:t>
      </w:r>
    </w:p>
    <w:p w:rsidR="00A21CA0" w:rsidRPr="007C1AC3" w:rsidRDefault="00A21CA0" w:rsidP="007C1AC3">
      <w:pPr>
        <w:spacing w:line="360" w:lineRule="auto"/>
        <w:ind w:firstLine="709"/>
        <w:jc w:val="both"/>
        <w:rPr>
          <w:color w:val="000000"/>
          <w:sz w:val="28"/>
          <w:szCs w:val="28"/>
          <w:lang w:val="uk-UA"/>
        </w:rPr>
      </w:pPr>
      <w:r w:rsidRPr="007C1AC3">
        <w:rPr>
          <w:color w:val="000000"/>
          <w:sz w:val="28"/>
          <w:szCs w:val="28"/>
          <w:lang w:val="uk-UA"/>
        </w:rPr>
        <w:t>Весь прирощений капітал і надходження від активів Фонду реінвестуються. Дивіденди на акції фонду «Синергія Бонд» не нараховуються та не сплачуються.</w:t>
      </w:r>
    </w:p>
    <w:p w:rsidR="00D340FB" w:rsidRDefault="00D340FB" w:rsidP="007C1AC3">
      <w:pPr>
        <w:spacing w:line="360" w:lineRule="auto"/>
        <w:ind w:firstLine="709"/>
        <w:jc w:val="both"/>
        <w:rPr>
          <w:color w:val="000000"/>
          <w:sz w:val="28"/>
          <w:szCs w:val="28"/>
          <w:lang w:val="uk-UA"/>
        </w:rPr>
      </w:pPr>
    </w:p>
    <w:p w:rsidR="00A21CA0" w:rsidRDefault="00D340FB" w:rsidP="007C1AC3">
      <w:pPr>
        <w:spacing w:line="360" w:lineRule="auto"/>
        <w:ind w:firstLine="709"/>
        <w:jc w:val="both"/>
        <w:rPr>
          <w:color w:val="000000"/>
          <w:sz w:val="28"/>
          <w:szCs w:val="28"/>
          <w:lang w:val="uk-UA"/>
        </w:rPr>
      </w:pPr>
      <w:r w:rsidRPr="007C1AC3">
        <w:rPr>
          <w:color w:val="000000"/>
          <w:sz w:val="28"/>
          <w:szCs w:val="28"/>
          <w:lang w:val="uk-UA"/>
        </w:rPr>
        <w:t>Табл</w:t>
      </w:r>
      <w:r w:rsidR="00A21CA0" w:rsidRPr="007C1AC3">
        <w:rPr>
          <w:color w:val="000000"/>
          <w:sz w:val="28"/>
          <w:szCs w:val="28"/>
          <w:lang w:val="uk-UA"/>
        </w:rPr>
        <w:t>. 3</w:t>
      </w:r>
      <w:r>
        <w:rPr>
          <w:color w:val="000000"/>
          <w:sz w:val="28"/>
          <w:szCs w:val="28"/>
          <w:lang w:val="uk-UA"/>
        </w:rPr>
        <w:t>.</w:t>
      </w:r>
      <w:r w:rsidR="00A21CA0" w:rsidRPr="007C1AC3">
        <w:rPr>
          <w:color w:val="000000"/>
          <w:sz w:val="28"/>
          <w:szCs w:val="28"/>
          <w:lang w:val="uk-UA"/>
        </w:rPr>
        <w:t xml:space="preserve"> </w:t>
      </w:r>
      <w:r w:rsidRPr="007C1AC3">
        <w:rPr>
          <w:color w:val="000000"/>
          <w:sz w:val="28"/>
          <w:szCs w:val="28"/>
          <w:lang w:val="uk-UA"/>
        </w:rPr>
        <w:t xml:space="preserve">Операційні </w:t>
      </w:r>
      <w:r w:rsidR="00A21CA0" w:rsidRPr="007C1AC3">
        <w:rPr>
          <w:color w:val="000000"/>
          <w:sz w:val="28"/>
          <w:szCs w:val="28"/>
          <w:lang w:val="uk-UA"/>
        </w:rPr>
        <w:t>витрати Фонду</w:t>
      </w:r>
    </w:p>
    <w:tbl>
      <w:tblPr>
        <w:tblStyle w:val="1"/>
        <w:tblW w:w="9297" w:type="dxa"/>
        <w:jc w:val="center"/>
        <w:tblLook w:val="0000" w:firstRow="0" w:lastRow="0" w:firstColumn="0" w:lastColumn="0" w:noHBand="0" w:noVBand="0"/>
      </w:tblPr>
      <w:tblGrid>
        <w:gridCol w:w="3871"/>
        <w:gridCol w:w="5426"/>
      </w:tblGrid>
      <w:tr w:rsidR="00A21CA0" w:rsidRPr="007C1AC3" w:rsidTr="007C1AC3">
        <w:trPr>
          <w:cantSplit/>
          <w:jc w:val="center"/>
        </w:trPr>
        <w:tc>
          <w:tcPr>
            <w:tcW w:w="2082"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Винагорода Компанії з управління активами Фонду (винагорода за управління)</w:t>
            </w:r>
          </w:p>
        </w:tc>
        <w:tc>
          <w:tcPr>
            <w:tcW w:w="2918"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1,</w:t>
            </w:r>
            <w:r w:rsidR="007C1AC3" w:rsidRPr="007C1AC3">
              <w:rPr>
                <w:color w:val="000000"/>
                <w:sz w:val="20"/>
                <w:szCs w:val="20"/>
                <w:lang w:val="uk-UA"/>
              </w:rPr>
              <w:t>5%</w:t>
            </w:r>
            <w:r w:rsidRPr="007C1AC3">
              <w:rPr>
                <w:color w:val="000000"/>
                <w:sz w:val="20"/>
                <w:szCs w:val="20"/>
                <w:lang w:val="uk-UA"/>
              </w:rPr>
              <w:t xml:space="preserve"> (одна ціла п'ять десятих процентів) від вартості чистих активів Фонду за рік;</w:t>
            </w:r>
            <w:r w:rsidR="00D340FB">
              <w:rPr>
                <w:color w:val="000000"/>
                <w:sz w:val="20"/>
                <w:szCs w:val="20"/>
                <w:lang w:val="uk-UA"/>
              </w:rPr>
              <w:t xml:space="preserve"> </w:t>
            </w:r>
            <w:r w:rsidRPr="007C1AC3">
              <w:rPr>
                <w:color w:val="000000"/>
                <w:sz w:val="20"/>
                <w:szCs w:val="20"/>
                <w:lang w:val="uk-UA"/>
              </w:rPr>
              <w:t>нараховується і виплачується щомісячно у розмірі 1/12 від ставки винагороди</w:t>
            </w:r>
          </w:p>
        </w:tc>
      </w:tr>
      <w:tr w:rsidR="00A21CA0" w:rsidRPr="007C1AC3" w:rsidTr="007C1AC3">
        <w:trPr>
          <w:cantSplit/>
          <w:jc w:val="center"/>
        </w:trPr>
        <w:tc>
          <w:tcPr>
            <w:tcW w:w="2082"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Премія Компанії (стимулююча винагорода)</w:t>
            </w:r>
          </w:p>
        </w:tc>
        <w:tc>
          <w:tcPr>
            <w:tcW w:w="2918"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w:t>
            </w:r>
          </w:p>
        </w:tc>
      </w:tr>
      <w:tr w:rsidR="00A21CA0" w:rsidRPr="007C1AC3" w:rsidTr="007C1AC3">
        <w:trPr>
          <w:cantSplit/>
          <w:jc w:val="center"/>
        </w:trPr>
        <w:tc>
          <w:tcPr>
            <w:tcW w:w="2082"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 xml:space="preserve">Інші витрати: послуги зберігача, брокера, аудит, нотаріальні і </w:t>
            </w:r>
            <w:r w:rsidR="007C1AC3" w:rsidRPr="007C1AC3">
              <w:rPr>
                <w:color w:val="000000"/>
                <w:sz w:val="20"/>
                <w:szCs w:val="20"/>
                <w:lang w:val="uk-UA"/>
              </w:rPr>
              <w:t>т.д.</w:t>
            </w:r>
          </w:p>
        </w:tc>
        <w:tc>
          <w:tcPr>
            <w:tcW w:w="2918"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 xml:space="preserve">Фактично понесені, але не більше </w:t>
            </w:r>
            <w:r w:rsidR="007C1AC3" w:rsidRPr="007C1AC3">
              <w:rPr>
                <w:color w:val="000000"/>
                <w:sz w:val="20"/>
                <w:szCs w:val="20"/>
                <w:lang w:val="uk-UA"/>
              </w:rPr>
              <w:t>5%</w:t>
            </w:r>
            <w:r w:rsidRPr="007C1AC3">
              <w:rPr>
                <w:color w:val="000000"/>
                <w:sz w:val="20"/>
                <w:szCs w:val="20"/>
                <w:lang w:val="uk-UA"/>
              </w:rPr>
              <w:t xml:space="preserve"> (п'яти) процентів середньорічної вартості чистих активів протягом фінансового року</w:t>
            </w:r>
          </w:p>
        </w:tc>
      </w:tr>
    </w:tbl>
    <w:p w:rsidR="00A21CA0" w:rsidRPr="007C1AC3" w:rsidRDefault="00A21CA0" w:rsidP="007C1AC3">
      <w:pPr>
        <w:spacing w:line="360" w:lineRule="auto"/>
        <w:ind w:firstLine="709"/>
        <w:jc w:val="both"/>
        <w:rPr>
          <w:color w:val="000000"/>
          <w:sz w:val="28"/>
          <w:szCs w:val="28"/>
          <w:lang w:val="uk-UA"/>
        </w:rPr>
      </w:pPr>
    </w:p>
    <w:p w:rsidR="00A21CA0" w:rsidRPr="007C1AC3" w:rsidRDefault="00D340FB" w:rsidP="007C1AC3">
      <w:pPr>
        <w:spacing w:line="360" w:lineRule="auto"/>
        <w:ind w:firstLine="709"/>
        <w:jc w:val="both"/>
        <w:rPr>
          <w:color w:val="000000"/>
          <w:sz w:val="28"/>
          <w:szCs w:val="28"/>
          <w:lang w:val="uk-UA"/>
        </w:rPr>
      </w:pPr>
      <w:r>
        <w:rPr>
          <w:color w:val="000000"/>
          <w:sz w:val="28"/>
          <w:szCs w:val="28"/>
          <w:lang w:val="uk-UA"/>
        </w:rPr>
        <w:br w:type="page"/>
      </w:r>
      <w:r w:rsidR="00A21CA0" w:rsidRPr="007C1AC3">
        <w:rPr>
          <w:color w:val="000000"/>
          <w:sz w:val="28"/>
          <w:szCs w:val="28"/>
          <w:lang w:val="uk-UA"/>
        </w:rPr>
        <w:t>Регулювання та нагляд за діяльністю фонду «Синергія Бонд» здійснює Державна комісія з цінних паперів та фондового ринку.</w:t>
      </w:r>
    </w:p>
    <w:p w:rsidR="00D340FB" w:rsidRDefault="00D340FB" w:rsidP="007C1AC3">
      <w:pPr>
        <w:spacing w:line="360" w:lineRule="auto"/>
        <w:ind w:firstLine="709"/>
        <w:jc w:val="both"/>
        <w:rPr>
          <w:color w:val="000000"/>
          <w:sz w:val="28"/>
          <w:szCs w:val="28"/>
          <w:lang w:val="uk-UA"/>
        </w:rPr>
      </w:pPr>
    </w:p>
    <w:p w:rsidR="00A21CA0" w:rsidRPr="007C1AC3" w:rsidRDefault="00D340FB" w:rsidP="007C1AC3">
      <w:pPr>
        <w:spacing w:line="360" w:lineRule="auto"/>
        <w:ind w:firstLine="709"/>
        <w:jc w:val="both"/>
        <w:rPr>
          <w:color w:val="000000"/>
          <w:sz w:val="28"/>
          <w:szCs w:val="28"/>
          <w:lang w:val="uk-UA"/>
        </w:rPr>
      </w:pPr>
      <w:r w:rsidRPr="007C1AC3">
        <w:rPr>
          <w:color w:val="000000"/>
          <w:sz w:val="28"/>
          <w:szCs w:val="28"/>
          <w:lang w:val="uk-UA"/>
        </w:rPr>
        <w:t>Табл</w:t>
      </w:r>
      <w:r w:rsidR="00A21CA0" w:rsidRPr="007C1AC3">
        <w:rPr>
          <w:color w:val="000000"/>
          <w:sz w:val="28"/>
          <w:szCs w:val="28"/>
          <w:lang w:val="uk-UA"/>
        </w:rPr>
        <w:t>. 4</w:t>
      </w:r>
      <w:r>
        <w:rPr>
          <w:color w:val="000000"/>
          <w:sz w:val="28"/>
          <w:szCs w:val="28"/>
          <w:lang w:val="uk-UA"/>
        </w:rPr>
        <w:t>.</w:t>
      </w:r>
      <w:r w:rsidR="00A21CA0" w:rsidRPr="007C1AC3">
        <w:rPr>
          <w:color w:val="000000"/>
          <w:sz w:val="28"/>
          <w:szCs w:val="28"/>
          <w:lang w:val="uk-UA"/>
        </w:rPr>
        <w:t xml:space="preserve"> </w:t>
      </w:r>
      <w:r w:rsidRPr="007C1AC3">
        <w:rPr>
          <w:color w:val="000000"/>
          <w:sz w:val="28"/>
          <w:szCs w:val="28"/>
          <w:lang w:val="uk-UA"/>
        </w:rPr>
        <w:t>Компанії</w:t>
      </w:r>
      <w:r w:rsidR="00A21CA0" w:rsidRPr="007C1AC3">
        <w:rPr>
          <w:color w:val="000000"/>
          <w:sz w:val="28"/>
          <w:szCs w:val="28"/>
          <w:lang w:val="uk-UA"/>
        </w:rPr>
        <w:t>, що обслуговують інвестиційний фонд «Синергія Бонд»</w:t>
      </w:r>
    </w:p>
    <w:tbl>
      <w:tblPr>
        <w:tblStyle w:val="1"/>
        <w:tblW w:w="9297" w:type="dxa"/>
        <w:jc w:val="center"/>
        <w:tblLook w:val="0000" w:firstRow="0" w:lastRow="0" w:firstColumn="0" w:lastColumn="0" w:noHBand="0" w:noVBand="0"/>
      </w:tblPr>
      <w:tblGrid>
        <w:gridCol w:w="1476"/>
        <w:gridCol w:w="1787"/>
        <w:gridCol w:w="1781"/>
        <w:gridCol w:w="1932"/>
        <w:gridCol w:w="2321"/>
      </w:tblGrid>
      <w:tr w:rsidR="00A21CA0" w:rsidRPr="007C1AC3" w:rsidTr="00D340FB">
        <w:trPr>
          <w:cantSplit/>
          <w:jc w:val="center"/>
        </w:trPr>
        <w:tc>
          <w:tcPr>
            <w:tcW w:w="794"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Код за ЄДРПОУ</w:t>
            </w:r>
          </w:p>
        </w:tc>
        <w:tc>
          <w:tcPr>
            <w:tcW w:w="961" w:type="pct"/>
          </w:tcPr>
          <w:p w:rsidR="00A21CA0" w:rsidRPr="007C1AC3" w:rsidRDefault="00A21CA0" w:rsidP="007C1AC3">
            <w:pPr>
              <w:spacing w:line="360" w:lineRule="auto"/>
              <w:jc w:val="both"/>
              <w:rPr>
                <w:color w:val="000000"/>
                <w:sz w:val="20"/>
                <w:szCs w:val="20"/>
                <w:lang w:val="uk-UA"/>
              </w:rPr>
            </w:pPr>
            <w:r w:rsidRPr="007C1AC3">
              <w:rPr>
                <w:color w:val="000000"/>
                <w:sz w:val="20"/>
                <w:szCs w:val="20"/>
                <w:lang w:val="uk-UA"/>
              </w:rPr>
              <w:t>Юридична особа відповідно до переліку</w:t>
            </w:r>
          </w:p>
        </w:tc>
        <w:tc>
          <w:tcPr>
            <w:tcW w:w="95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Найменування</w:t>
            </w:r>
          </w:p>
        </w:tc>
        <w:tc>
          <w:tcPr>
            <w:tcW w:w="1039"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Назва, номер та серія документа, що підтверджує повноваження особи</w:t>
            </w:r>
          </w:p>
        </w:tc>
        <w:tc>
          <w:tcPr>
            <w:tcW w:w="124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Місцезнаходження</w:t>
            </w:r>
          </w:p>
        </w:tc>
      </w:tr>
      <w:tr w:rsidR="00A21CA0" w:rsidRPr="007C1AC3" w:rsidTr="00D340FB">
        <w:trPr>
          <w:cantSplit/>
          <w:jc w:val="center"/>
        </w:trPr>
        <w:tc>
          <w:tcPr>
            <w:tcW w:w="794"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16461855</w:t>
            </w:r>
          </w:p>
        </w:tc>
        <w:tc>
          <w:tcPr>
            <w:tcW w:w="961"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Компанія з управління активами</w:t>
            </w:r>
          </w:p>
        </w:tc>
        <w:tc>
          <w:tcPr>
            <w:tcW w:w="95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ВАТ </w:t>
            </w:r>
            <w:r w:rsidR="007C1AC3" w:rsidRPr="007C1AC3">
              <w:rPr>
                <w:color w:val="000000"/>
                <w:sz w:val="20"/>
                <w:szCs w:val="20"/>
                <w:lang w:val="uk-UA"/>
              </w:rPr>
              <w:t>«КІНТО»</w:t>
            </w:r>
          </w:p>
        </w:tc>
        <w:tc>
          <w:tcPr>
            <w:tcW w:w="1039"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Ліцензія серія АВ </w:t>
            </w:r>
            <w:r w:rsidR="007C1AC3" w:rsidRPr="007C1AC3">
              <w:rPr>
                <w:color w:val="000000"/>
                <w:sz w:val="20"/>
                <w:szCs w:val="20"/>
                <w:lang w:val="uk-UA"/>
              </w:rPr>
              <w:t>№4</w:t>
            </w:r>
            <w:r w:rsidRPr="007C1AC3">
              <w:rPr>
                <w:color w:val="000000"/>
                <w:sz w:val="20"/>
                <w:szCs w:val="20"/>
                <w:lang w:val="uk-UA"/>
              </w:rPr>
              <w:t>16672 від 23.05.2008</w:t>
            </w:r>
            <w:r w:rsidR="007C1AC3" w:rsidRPr="007C1AC3">
              <w:rPr>
                <w:color w:val="000000"/>
                <w:sz w:val="20"/>
                <w:szCs w:val="20"/>
                <w:lang w:val="uk-UA"/>
              </w:rPr>
              <w:t> р</w:t>
            </w:r>
            <w:r w:rsidRPr="007C1AC3">
              <w:rPr>
                <w:color w:val="000000"/>
                <w:sz w:val="20"/>
                <w:szCs w:val="20"/>
                <w:lang w:val="uk-UA"/>
              </w:rPr>
              <w:t>.</w:t>
            </w:r>
          </w:p>
        </w:tc>
        <w:tc>
          <w:tcPr>
            <w:tcW w:w="124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м. Київ, вул. Лисенко/Ярославів Вал, 2/1</w:t>
            </w:r>
          </w:p>
        </w:tc>
      </w:tr>
      <w:tr w:rsidR="00A21CA0" w:rsidRPr="007C1AC3" w:rsidTr="00D340FB">
        <w:trPr>
          <w:cantSplit/>
          <w:jc w:val="center"/>
        </w:trPr>
        <w:tc>
          <w:tcPr>
            <w:tcW w:w="794"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00039019</w:t>
            </w:r>
          </w:p>
        </w:tc>
        <w:tc>
          <w:tcPr>
            <w:tcW w:w="961"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Зберігач цінних паперів</w:t>
            </w:r>
          </w:p>
        </w:tc>
        <w:tc>
          <w:tcPr>
            <w:tcW w:w="95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АТ </w:t>
            </w:r>
            <w:r w:rsidR="007C1AC3" w:rsidRPr="007C1AC3">
              <w:rPr>
                <w:color w:val="000000"/>
                <w:sz w:val="20"/>
                <w:szCs w:val="20"/>
                <w:lang w:val="uk-UA"/>
              </w:rPr>
              <w:t>«Укрсоцбанк»</w:t>
            </w:r>
          </w:p>
        </w:tc>
        <w:tc>
          <w:tcPr>
            <w:tcW w:w="1039"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Ліцензія серія АБ </w:t>
            </w:r>
            <w:r w:rsidR="007C1AC3" w:rsidRPr="007C1AC3">
              <w:rPr>
                <w:color w:val="000000"/>
                <w:sz w:val="20"/>
                <w:szCs w:val="20"/>
                <w:lang w:val="uk-UA"/>
              </w:rPr>
              <w:t>№1</w:t>
            </w:r>
            <w:r w:rsidRPr="007C1AC3">
              <w:rPr>
                <w:color w:val="000000"/>
                <w:sz w:val="20"/>
                <w:szCs w:val="20"/>
                <w:lang w:val="uk-UA"/>
              </w:rPr>
              <w:t>13003 від 12.10.2004</w:t>
            </w:r>
            <w:r w:rsidR="007C1AC3" w:rsidRPr="007C1AC3">
              <w:rPr>
                <w:color w:val="000000"/>
                <w:sz w:val="20"/>
                <w:szCs w:val="20"/>
                <w:lang w:val="uk-UA"/>
              </w:rPr>
              <w:t> р</w:t>
            </w:r>
            <w:r w:rsidRPr="007C1AC3">
              <w:rPr>
                <w:color w:val="000000"/>
                <w:sz w:val="20"/>
                <w:szCs w:val="20"/>
                <w:lang w:val="uk-UA"/>
              </w:rPr>
              <w:t>.</w:t>
            </w:r>
          </w:p>
        </w:tc>
        <w:tc>
          <w:tcPr>
            <w:tcW w:w="124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м. Київ, вул. Ковпака, 29</w:t>
            </w:r>
          </w:p>
        </w:tc>
      </w:tr>
      <w:tr w:rsidR="00A21CA0" w:rsidRPr="007C1AC3" w:rsidTr="00D340FB">
        <w:trPr>
          <w:cantSplit/>
          <w:jc w:val="center"/>
        </w:trPr>
        <w:tc>
          <w:tcPr>
            <w:tcW w:w="794"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19116308</w:t>
            </w:r>
          </w:p>
        </w:tc>
        <w:tc>
          <w:tcPr>
            <w:tcW w:w="961"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Реєстратор</w:t>
            </w:r>
          </w:p>
        </w:tc>
        <w:tc>
          <w:tcPr>
            <w:tcW w:w="95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ТОВ </w:t>
            </w:r>
            <w:r w:rsidR="007C1AC3" w:rsidRPr="007C1AC3">
              <w:rPr>
                <w:color w:val="000000"/>
                <w:sz w:val="20"/>
                <w:szCs w:val="20"/>
                <w:lang w:val="uk-UA"/>
              </w:rPr>
              <w:t>«Нотада»</w:t>
            </w:r>
          </w:p>
        </w:tc>
        <w:tc>
          <w:tcPr>
            <w:tcW w:w="1039"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Ліцензія серія АВ </w:t>
            </w:r>
            <w:r w:rsidR="007C1AC3" w:rsidRPr="007C1AC3">
              <w:rPr>
                <w:color w:val="000000"/>
                <w:sz w:val="20"/>
                <w:szCs w:val="20"/>
                <w:lang w:val="uk-UA"/>
              </w:rPr>
              <w:t>№1</w:t>
            </w:r>
            <w:r w:rsidRPr="007C1AC3">
              <w:rPr>
                <w:color w:val="000000"/>
                <w:sz w:val="20"/>
                <w:szCs w:val="20"/>
                <w:lang w:val="uk-UA"/>
              </w:rPr>
              <w:t>89805 від 29.11.2006</w:t>
            </w:r>
            <w:r w:rsidR="007C1AC3" w:rsidRPr="007C1AC3">
              <w:rPr>
                <w:color w:val="000000"/>
                <w:sz w:val="20"/>
                <w:szCs w:val="20"/>
                <w:lang w:val="uk-UA"/>
              </w:rPr>
              <w:t> р</w:t>
            </w:r>
            <w:r w:rsidRPr="007C1AC3">
              <w:rPr>
                <w:color w:val="000000"/>
                <w:sz w:val="20"/>
                <w:szCs w:val="20"/>
                <w:lang w:val="uk-UA"/>
              </w:rPr>
              <w:t>.</w:t>
            </w:r>
          </w:p>
        </w:tc>
        <w:tc>
          <w:tcPr>
            <w:tcW w:w="124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м. Київ, вул. Лисенко/Ярославів Вал, 2/1</w:t>
            </w:r>
          </w:p>
        </w:tc>
      </w:tr>
      <w:tr w:rsidR="00A21CA0" w:rsidRPr="007C1AC3" w:rsidTr="00D340FB">
        <w:trPr>
          <w:cantSplit/>
          <w:jc w:val="center"/>
        </w:trPr>
        <w:tc>
          <w:tcPr>
            <w:tcW w:w="794"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22919063</w:t>
            </w:r>
          </w:p>
        </w:tc>
        <w:tc>
          <w:tcPr>
            <w:tcW w:w="961"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Аудиторська фірма</w:t>
            </w:r>
          </w:p>
        </w:tc>
        <w:tc>
          <w:tcPr>
            <w:tcW w:w="95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Приватне підприємство аудиторська фірма </w:t>
            </w:r>
            <w:r w:rsidR="007C1AC3" w:rsidRPr="007C1AC3">
              <w:rPr>
                <w:color w:val="000000"/>
                <w:sz w:val="20"/>
                <w:szCs w:val="20"/>
                <w:lang w:val="uk-UA"/>
              </w:rPr>
              <w:t>«КОНТО»</w:t>
            </w:r>
          </w:p>
        </w:tc>
        <w:tc>
          <w:tcPr>
            <w:tcW w:w="1039"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Свідоцтво про внесення до Реєстру суб'єктів аудиторської діяльності </w:t>
            </w:r>
            <w:r w:rsidR="007C1AC3" w:rsidRPr="007C1AC3">
              <w:rPr>
                <w:color w:val="000000"/>
                <w:sz w:val="20"/>
                <w:szCs w:val="20"/>
                <w:lang w:val="uk-UA"/>
              </w:rPr>
              <w:t>№0</w:t>
            </w:r>
            <w:r w:rsidRPr="007C1AC3">
              <w:rPr>
                <w:color w:val="000000"/>
                <w:sz w:val="20"/>
                <w:szCs w:val="20"/>
                <w:lang w:val="uk-UA"/>
              </w:rPr>
              <w:t>449 від 30.03.2001</w:t>
            </w:r>
            <w:r w:rsidR="007C1AC3" w:rsidRPr="007C1AC3">
              <w:rPr>
                <w:color w:val="000000"/>
                <w:sz w:val="20"/>
                <w:szCs w:val="20"/>
                <w:lang w:val="uk-UA"/>
              </w:rPr>
              <w:t> р</w:t>
            </w:r>
            <w:r w:rsidRPr="007C1AC3">
              <w:rPr>
                <w:color w:val="000000"/>
                <w:sz w:val="20"/>
                <w:szCs w:val="20"/>
                <w:lang w:val="uk-UA"/>
              </w:rPr>
              <w:t>.</w:t>
            </w:r>
          </w:p>
        </w:tc>
        <w:tc>
          <w:tcPr>
            <w:tcW w:w="1248"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м. Київ</w:t>
            </w:r>
            <w:r w:rsidR="007C1AC3" w:rsidRPr="007C1AC3">
              <w:rPr>
                <w:color w:val="000000"/>
                <w:sz w:val="20"/>
                <w:szCs w:val="20"/>
                <w:lang w:val="uk-UA"/>
              </w:rPr>
              <w:t>, в</w:t>
            </w:r>
            <w:r w:rsidRPr="007C1AC3">
              <w:rPr>
                <w:color w:val="000000"/>
                <w:sz w:val="20"/>
                <w:szCs w:val="20"/>
                <w:lang w:val="uk-UA"/>
              </w:rPr>
              <w:t>ул. Горького, буд. 122/72</w:t>
            </w:r>
          </w:p>
        </w:tc>
      </w:tr>
      <w:tr w:rsidR="00A21CA0" w:rsidRPr="007C1AC3" w:rsidTr="00D340FB">
        <w:trPr>
          <w:cantSplit/>
          <w:jc w:val="center"/>
        </w:trPr>
        <w:tc>
          <w:tcPr>
            <w:tcW w:w="794"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19263860</w:t>
            </w:r>
          </w:p>
        </w:tc>
        <w:tc>
          <w:tcPr>
            <w:tcW w:w="961"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Торговець цінними паперами</w:t>
            </w:r>
          </w:p>
        </w:tc>
        <w:tc>
          <w:tcPr>
            <w:tcW w:w="958" w:type="pct"/>
          </w:tcPr>
          <w:p w:rsidR="00C31384" w:rsidRPr="007C1AC3" w:rsidRDefault="00C31384" w:rsidP="007C1AC3">
            <w:pPr>
              <w:spacing w:line="360" w:lineRule="auto"/>
              <w:jc w:val="both"/>
              <w:rPr>
                <w:color w:val="000000"/>
                <w:sz w:val="20"/>
                <w:szCs w:val="20"/>
                <w:lang w:val="uk-UA"/>
              </w:rPr>
            </w:pPr>
            <w:r w:rsidRPr="007C1AC3">
              <w:rPr>
                <w:color w:val="000000"/>
                <w:sz w:val="20"/>
                <w:szCs w:val="20"/>
                <w:lang w:val="uk-UA"/>
              </w:rPr>
              <w:t>Товариство з обмеженою</w:t>
            </w:r>
          </w:p>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відповідальністю </w:t>
            </w:r>
            <w:r w:rsidR="007C1AC3" w:rsidRPr="007C1AC3">
              <w:rPr>
                <w:color w:val="000000"/>
                <w:sz w:val="20"/>
                <w:szCs w:val="20"/>
                <w:lang w:val="uk-UA"/>
              </w:rPr>
              <w:t>«КІНТО, Лтд»</w:t>
            </w:r>
          </w:p>
        </w:tc>
        <w:tc>
          <w:tcPr>
            <w:tcW w:w="1039" w:type="pct"/>
          </w:tcPr>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 xml:space="preserve">Ліцензія серія АВ </w:t>
            </w:r>
            <w:r w:rsidR="007C1AC3" w:rsidRPr="007C1AC3">
              <w:rPr>
                <w:color w:val="000000"/>
                <w:sz w:val="20"/>
                <w:szCs w:val="20"/>
                <w:lang w:val="uk-UA"/>
              </w:rPr>
              <w:t>№1</w:t>
            </w:r>
            <w:r w:rsidRPr="007C1AC3">
              <w:rPr>
                <w:color w:val="000000"/>
                <w:sz w:val="20"/>
                <w:szCs w:val="20"/>
                <w:lang w:val="uk-UA"/>
              </w:rPr>
              <w:t>89785 від 20.11.2006</w:t>
            </w:r>
            <w:r w:rsidR="007C1AC3" w:rsidRPr="007C1AC3">
              <w:rPr>
                <w:color w:val="000000"/>
                <w:sz w:val="20"/>
                <w:szCs w:val="20"/>
                <w:lang w:val="uk-UA"/>
              </w:rPr>
              <w:t> р</w:t>
            </w:r>
            <w:r w:rsidRPr="007C1AC3">
              <w:rPr>
                <w:color w:val="000000"/>
                <w:sz w:val="20"/>
                <w:szCs w:val="20"/>
                <w:lang w:val="uk-UA"/>
              </w:rPr>
              <w:t>.</w:t>
            </w:r>
          </w:p>
        </w:tc>
        <w:tc>
          <w:tcPr>
            <w:tcW w:w="1248" w:type="pct"/>
          </w:tcPr>
          <w:p w:rsidR="00C31384" w:rsidRPr="007C1AC3" w:rsidRDefault="00C31384" w:rsidP="007C1AC3">
            <w:pPr>
              <w:spacing w:line="360" w:lineRule="auto"/>
              <w:jc w:val="both"/>
              <w:rPr>
                <w:color w:val="000000"/>
                <w:sz w:val="20"/>
                <w:szCs w:val="20"/>
                <w:lang w:val="uk-UA"/>
              </w:rPr>
            </w:pPr>
            <w:r w:rsidRPr="007C1AC3">
              <w:rPr>
                <w:color w:val="000000"/>
                <w:sz w:val="20"/>
                <w:szCs w:val="20"/>
                <w:lang w:val="uk-UA"/>
              </w:rPr>
              <w:t>м. Київ</w:t>
            </w:r>
            <w:r w:rsidR="007C1AC3" w:rsidRPr="007C1AC3">
              <w:rPr>
                <w:color w:val="000000"/>
                <w:sz w:val="20"/>
                <w:szCs w:val="20"/>
                <w:lang w:val="uk-UA"/>
              </w:rPr>
              <w:t>, в</w:t>
            </w:r>
            <w:r w:rsidRPr="007C1AC3">
              <w:rPr>
                <w:color w:val="000000"/>
                <w:sz w:val="20"/>
                <w:szCs w:val="20"/>
                <w:lang w:val="uk-UA"/>
              </w:rPr>
              <w:t>ул.</w:t>
            </w:r>
          </w:p>
          <w:p w:rsidR="00C31384" w:rsidRPr="007C1AC3" w:rsidRDefault="00C31384" w:rsidP="007C1AC3">
            <w:pPr>
              <w:spacing w:line="360" w:lineRule="auto"/>
              <w:jc w:val="both"/>
              <w:rPr>
                <w:color w:val="000000"/>
                <w:sz w:val="20"/>
                <w:szCs w:val="20"/>
                <w:lang w:val="uk-UA"/>
              </w:rPr>
            </w:pPr>
          </w:p>
          <w:p w:rsidR="00A21CA0" w:rsidRPr="007C1AC3" w:rsidRDefault="00C31384" w:rsidP="007C1AC3">
            <w:pPr>
              <w:spacing w:line="360" w:lineRule="auto"/>
              <w:jc w:val="both"/>
              <w:rPr>
                <w:color w:val="000000"/>
                <w:sz w:val="20"/>
                <w:szCs w:val="20"/>
                <w:lang w:val="uk-UA"/>
              </w:rPr>
            </w:pPr>
            <w:r w:rsidRPr="007C1AC3">
              <w:rPr>
                <w:color w:val="000000"/>
                <w:sz w:val="20"/>
                <w:szCs w:val="20"/>
                <w:lang w:val="uk-UA"/>
              </w:rPr>
              <w:t>Лисенко/Ярославів Вал, 2/1</w:t>
            </w:r>
          </w:p>
        </w:tc>
      </w:tr>
    </w:tbl>
    <w:p w:rsidR="00C31384" w:rsidRPr="007C1AC3" w:rsidRDefault="00C31384" w:rsidP="007C1AC3">
      <w:pPr>
        <w:spacing w:line="360" w:lineRule="auto"/>
        <w:ind w:firstLine="709"/>
        <w:jc w:val="both"/>
        <w:rPr>
          <w:color w:val="000000"/>
          <w:sz w:val="28"/>
          <w:szCs w:val="28"/>
          <w:lang w:val="uk-UA"/>
        </w:rPr>
      </w:pPr>
    </w:p>
    <w:p w:rsidR="00C31384" w:rsidRPr="007C1AC3" w:rsidRDefault="00C31384" w:rsidP="007C1AC3">
      <w:pPr>
        <w:spacing w:line="360" w:lineRule="auto"/>
        <w:ind w:firstLine="709"/>
        <w:jc w:val="both"/>
        <w:rPr>
          <w:color w:val="000000"/>
          <w:sz w:val="28"/>
          <w:szCs w:val="28"/>
          <w:lang w:val="uk-UA"/>
        </w:rPr>
      </w:pPr>
      <w:r w:rsidRPr="007C1AC3">
        <w:rPr>
          <w:color w:val="000000"/>
          <w:sz w:val="28"/>
          <w:szCs w:val="28"/>
          <w:lang w:val="uk-UA"/>
        </w:rPr>
        <w:t>У першому розділі даної роботи було розглянуто діяльність інвестиційного фонду «Синергія Бонд», його структуру та принципи функціонування.</w:t>
      </w:r>
    </w:p>
    <w:p w:rsidR="00C31384" w:rsidRPr="007C1AC3" w:rsidRDefault="00C31384" w:rsidP="007C1AC3">
      <w:pPr>
        <w:spacing w:line="360" w:lineRule="auto"/>
        <w:ind w:firstLine="709"/>
        <w:jc w:val="both"/>
        <w:rPr>
          <w:color w:val="000000"/>
          <w:sz w:val="28"/>
          <w:szCs w:val="28"/>
          <w:lang w:val="uk-UA"/>
        </w:rPr>
      </w:pPr>
      <w:r w:rsidRPr="007C1AC3">
        <w:rPr>
          <w:color w:val="000000"/>
          <w:sz w:val="28"/>
          <w:szCs w:val="28"/>
          <w:lang w:val="uk-UA"/>
        </w:rPr>
        <w:t>Таким чином, слід зробити висновок, що фонд «Синергія Бонд» є закритим не диверсифікованим корпоративним інвестиційним фондом, та призначений для консервативних інвесторів, які надають перевагу мінімальним ринковим ризикам і заради цього згодні на відносно невеликий прибуток.</w:t>
      </w:r>
    </w:p>
    <w:p w:rsidR="00D340FB" w:rsidRDefault="00D340FB" w:rsidP="007C1AC3">
      <w:pPr>
        <w:spacing w:line="360" w:lineRule="auto"/>
        <w:ind w:firstLine="709"/>
        <w:jc w:val="both"/>
        <w:rPr>
          <w:color w:val="000000"/>
          <w:sz w:val="28"/>
          <w:szCs w:val="28"/>
          <w:lang w:val="uk-UA"/>
        </w:rPr>
      </w:pPr>
    </w:p>
    <w:p w:rsidR="00C31384" w:rsidRPr="00D340FB" w:rsidRDefault="00C31384" w:rsidP="007C1AC3">
      <w:pPr>
        <w:spacing w:line="360" w:lineRule="auto"/>
        <w:ind w:firstLine="709"/>
        <w:jc w:val="both"/>
        <w:rPr>
          <w:b/>
          <w:color w:val="000000"/>
          <w:sz w:val="28"/>
          <w:szCs w:val="28"/>
          <w:lang w:val="uk-UA"/>
        </w:rPr>
      </w:pPr>
      <w:r w:rsidRPr="00D340FB">
        <w:rPr>
          <w:b/>
          <w:color w:val="000000"/>
          <w:sz w:val="28"/>
          <w:szCs w:val="28"/>
          <w:lang w:val="uk-UA"/>
        </w:rPr>
        <w:t>2. Фундаментальний та технічний аналіз діяльності фонду «Синергія Бонд»</w:t>
      </w:r>
    </w:p>
    <w:p w:rsidR="006A3D3C" w:rsidRPr="007C1AC3" w:rsidRDefault="006A3D3C" w:rsidP="007C1AC3">
      <w:pPr>
        <w:spacing w:line="360" w:lineRule="auto"/>
        <w:ind w:firstLine="709"/>
        <w:jc w:val="both"/>
        <w:rPr>
          <w:color w:val="000000"/>
          <w:sz w:val="28"/>
          <w:szCs w:val="28"/>
          <w:lang w:val="uk-UA"/>
        </w:rPr>
      </w:pPr>
    </w:p>
    <w:p w:rsidR="006A3D3C" w:rsidRPr="007C1AC3" w:rsidRDefault="006A3D3C" w:rsidP="007C1AC3">
      <w:pPr>
        <w:spacing w:line="360" w:lineRule="auto"/>
        <w:ind w:firstLine="709"/>
        <w:jc w:val="both"/>
        <w:rPr>
          <w:color w:val="000000"/>
          <w:sz w:val="28"/>
          <w:szCs w:val="28"/>
          <w:lang w:val="uk-UA"/>
        </w:rPr>
      </w:pPr>
      <w:r w:rsidRPr="007C1AC3">
        <w:rPr>
          <w:color w:val="000000"/>
          <w:sz w:val="28"/>
          <w:szCs w:val="28"/>
          <w:lang w:val="uk-UA"/>
        </w:rPr>
        <w:t>2008 рік увійде в історію як рік початку світової кризи, зіставленої за своїми масштабами з Великою Депресією 30</w:t>
      </w:r>
      <w:r w:rsidR="007C1AC3" w:rsidRPr="007C1AC3">
        <w:rPr>
          <w:color w:val="000000"/>
          <w:sz w:val="28"/>
          <w:szCs w:val="28"/>
          <w:lang w:val="uk-UA"/>
        </w:rPr>
        <w:t>-х</w:t>
      </w:r>
      <w:r w:rsidRPr="007C1AC3">
        <w:rPr>
          <w:color w:val="000000"/>
          <w:sz w:val="28"/>
          <w:szCs w:val="28"/>
          <w:lang w:val="uk-UA"/>
        </w:rPr>
        <w:t xml:space="preserve"> років у США. Мабуть, немає жодної країни, яку би нинішня криза обійшла стороною, проте нажаль українська економіка виявилася серед тих, хто </w:t>
      </w:r>
      <w:r w:rsidR="00D340FB" w:rsidRPr="007C1AC3">
        <w:rPr>
          <w:color w:val="000000"/>
          <w:sz w:val="28"/>
          <w:szCs w:val="28"/>
          <w:lang w:val="uk-UA"/>
        </w:rPr>
        <w:t>постраждав</w:t>
      </w:r>
      <w:r w:rsidRPr="007C1AC3">
        <w:rPr>
          <w:color w:val="000000"/>
          <w:sz w:val="28"/>
          <w:szCs w:val="28"/>
          <w:lang w:val="uk-UA"/>
        </w:rPr>
        <w:t xml:space="preserve"> найбільше. За результатами року за попередніми даними реальний ВВП виріс усього на 2,</w:t>
      </w:r>
      <w:r w:rsidR="007C1AC3" w:rsidRPr="007C1AC3">
        <w:rPr>
          <w:color w:val="000000"/>
          <w:sz w:val="28"/>
          <w:szCs w:val="28"/>
          <w:lang w:val="uk-UA"/>
        </w:rPr>
        <w:t>1%</w:t>
      </w:r>
      <w:r w:rsidRPr="007C1AC3">
        <w:rPr>
          <w:color w:val="000000"/>
          <w:sz w:val="28"/>
          <w:szCs w:val="28"/>
          <w:lang w:val="uk-UA"/>
        </w:rPr>
        <w:t xml:space="preserve"> (в 2007 ріст склав 7,</w:t>
      </w:r>
      <w:r w:rsidR="007C1AC3" w:rsidRPr="007C1AC3">
        <w:rPr>
          <w:color w:val="000000"/>
          <w:sz w:val="28"/>
          <w:szCs w:val="28"/>
          <w:lang w:val="uk-UA"/>
        </w:rPr>
        <w:t>9%</w:t>
      </w:r>
      <w:r w:rsidRPr="007C1AC3">
        <w:rPr>
          <w:color w:val="000000"/>
          <w:sz w:val="28"/>
          <w:szCs w:val="28"/>
          <w:lang w:val="uk-UA"/>
        </w:rPr>
        <w:t>). При цьому інфляція склала 22,</w:t>
      </w:r>
      <w:r w:rsidR="007C1AC3" w:rsidRPr="007C1AC3">
        <w:rPr>
          <w:color w:val="000000"/>
          <w:sz w:val="28"/>
          <w:szCs w:val="28"/>
          <w:lang w:val="uk-UA"/>
        </w:rPr>
        <w:t>3%</w:t>
      </w:r>
      <w:r w:rsidRPr="007C1AC3">
        <w:rPr>
          <w:color w:val="000000"/>
          <w:sz w:val="28"/>
          <w:szCs w:val="28"/>
          <w:lang w:val="uk-UA"/>
        </w:rPr>
        <w:t>.</w:t>
      </w:r>
    </w:p>
    <w:p w:rsidR="00C31384" w:rsidRPr="007C1AC3" w:rsidRDefault="006A3D3C" w:rsidP="007C1AC3">
      <w:pPr>
        <w:spacing w:line="360" w:lineRule="auto"/>
        <w:ind w:firstLine="709"/>
        <w:jc w:val="both"/>
        <w:rPr>
          <w:color w:val="000000"/>
          <w:sz w:val="28"/>
          <w:szCs w:val="28"/>
          <w:lang w:val="uk-UA"/>
        </w:rPr>
      </w:pPr>
      <w:r w:rsidRPr="007C1AC3">
        <w:rPr>
          <w:color w:val="000000"/>
          <w:sz w:val="28"/>
          <w:szCs w:val="28"/>
          <w:lang w:val="uk-UA"/>
        </w:rPr>
        <w:t>Фондовий ринок України за звітний рік впав на 74,</w:t>
      </w:r>
      <w:r w:rsidR="007C1AC3" w:rsidRPr="007C1AC3">
        <w:rPr>
          <w:color w:val="000000"/>
          <w:sz w:val="28"/>
          <w:szCs w:val="28"/>
          <w:lang w:val="uk-UA"/>
        </w:rPr>
        <w:t>3%</w:t>
      </w:r>
      <w:r w:rsidRPr="007C1AC3">
        <w:rPr>
          <w:color w:val="000000"/>
          <w:sz w:val="28"/>
          <w:szCs w:val="28"/>
          <w:lang w:val="uk-UA"/>
        </w:rPr>
        <w:t>, пропустивши вперед лише Ісландію (-9</w:t>
      </w:r>
      <w:r w:rsidR="007C1AC3" w:rsidRPr="007C1AC3">
        <w:rPr>
          <w:color w:val="000000"/>
          <w:sz w:val="28"/>
          <w:szCs w:val="28"/>
          <w:lang w:val="uk-UA"/>
        </w:rPr>
        <w:t>4%</w:t>
      </w:r>
      <w:r w:rsidRPr="007C1AC3">
        <w:rPr>
          <w:color w:val="000000"/>
          <w:sz w:val="28"/>
          <w:szCs w:val="28"/>
          <w:lang w:val="uk-UA"/>
        </w:rPr>
        <w:t>) і Болгарію (-8</w:t>
      </w:r>
      <w:r w:rsidR="007C1AC3" w:rsidRPr="007C1AC3">
        <w:rPr>
          <w:color w:val="000000"/>
          <w:sz w:val="28"/>
          <w:szCs w:val="28"/>
          <w:lang w:val="uk-UA"/>
        </w:rPr>
        <w:t>0%</w:t>
      </w:r>
      <w:r w:rsidRPr="007C1AC3">
        <w:rPr>
          <w:color w:val="000000"/>
          <w:sz w:val="28"/>
          <w:szCs w:val="28"/>
          <w:lang w:val="uk-UA"/>
        </w:rPr>
        <w:t>). Значення спреду EMBI+Ukraine, який сигналізує про відношення нерезидентів до нашої країни, на кінець року склало 2735.</w:t>
      </w:r>
    </w:p>
    <w:p w:rsidR="006A3D3C" w:rsidRPr="007C1AC3" w:rsidRDefault="006A3D3C" w:rsidP="007C1AC3">
      <w:pPr>
        <w:spacing w:line="360" w:lineRule="auto"/>
        <w:ind w:firstLine="709"/>
        <w:jc w:val="both"/>
        <w:rPr>
          <w:color w:val="000000"/>
          <w:sz w:val="28"/>
          <w:szCs w:val="28"/>
          <w:lang w:val="uk-UA"/>
        </w:rPr>
      </w:pPr>
      <w:r w:rsidRPr="007C1AC3">
        <w:rPr>
          <w:color w:val="000000"/>
          <w:sz w:val="28"/>
          <w:szCs w:val="28"/>
          <w:lang w:val="uk-UA"/>
        </w:rPr>
        <w:t>Розглянемо, яким чином світова криза позначилась на діяльності фонду «Синергія Бонд».</w:t>
      </w:r>
    </w:p>
    <w:p w:rsidR="00C31384" w:rsidRPr="007C1AC3" w:rsidRDefault="00C31384" w:rsidP="007C1AC3">
      <w:pPr>
        <w:spacing w:line="360" w:lineRule="auto"/>
        <w:ind w:firstLine="709"/>
        <w:jc w:val="both"/>
        <w:rPr>
          <w:color w:val="000000"/>
          <w:sz w:val="28"/>
          <w:szCs w:val="28"/>
          <w:lang w:val="uk-UA"/>
        </w:rPr>
      </w:pPr>
      <w:r w:rsidRPr="007C1AC3">
        <w:rPr>
          <w:color w:val="000000"/>
          <w:sz w:val="28"/>
          <w:szCs w:val="28"/>
          <w:lang w:val="uk-UA"/>
        </w:rPr>
        <w:t>Мета діяльності фонду полягає в отриманні стабільної доходності з одночасною мінімізацією ринкового ризику. Об’єктами інвестування Фонду є цінні папери з фіксованим доходом, а саме: державні, муніципальні, корпоративні та іпотечні облігації, а також інструменти грошового ринку.</w:t>
      </w:r>
    </w:p>
    <w:p w:rsidR="00C31384" w:rsidRPr="007C1AC3" w:rsidRDefault="00C31384" w:rsidP="007C1AC3">
      <w:pPr>
        <w:spacing w:line="360" w:lineRule="auto"/>
        <w:ind w:firstLine="709"/>
        <w:jc w:val="both"/>
        <w:rPr>
          <w:color w:val="000000"/>
          <w:sz w:val="28"/>
          <w:szCs w:val="28"/>
          <w:lang w:val="uk-UA"/>
        </w:rPr>
      </w:pPr>
      <w:r w:rsidRPr="007C1AC3">
        <w:rPr>
          <w:color w:val="000000"/>
          <w:sz w:val="28"/>
          <w:szCs w:val="28"/>
          <w:lang w:val="uk-UA"/>
        </w:rPr>
        <w:t>Структура активів Фонду передбачає розміщення залучених коштів у наступних пропорціях:</w:t>
      </w:r>
    </w:p>
    <w:p w:rsidR="00C31384" w:rsidRPr="007C1AC3" w:rsidRDefault="00C31384" w:rsidP="007C1AC3">
      <w:pPr>
        <w:numPr>
          <w:ilvl w:val="0"/>
          <w:numId w:val="12"/>
        </w:numPr>
        <w:spacing w:line="360" w:lineRule="auto"/>
        <w:ind w:left="0" w:firstLine="709"/>
        <w:jc w:val="both"/>
        <w:rPr>
          <w:color w:val="000000"/>
          <w:sz w:val="28"/>
          <w:szCs w:val="28"/>
          <w:lang w:val="uk-UA"/>
        </w:rPr>
      </w:pPr>
      <w:r w:rsidRPr="007C1AC3">
        <w:rPr>
          <w:color w:val="000000"/>
          <w:sz w:val="28"/>
          <w:szCs w:val="28"/>
          <w:lang w:val="uk-UA"/>
        </w:rPr>
        <w:t xml:space="preserve">державні облігації </w:t>
      </w:r>
      <w:r w:rsidR="007C1AC3" w:rsidRPr="007C1AC3">
        <w:rPr>
          <w:color w:val="000000"/>
          <w:sz w:val="28"/>
          <w:szCs w:val="28"/>
          <w:lang w:val="uk-UA"/>
        </w:rPr>
        <w:t xml:space="preserve">– </w:t>
      </w:r>
      <w:r w:rsidRPr="007C1AC3">
        <w:rPr>
          <w:color w:val="000000"/>
          <w:sz w:val="28"/>
          <w:szCs w:val="28"/>
          <w:lang w:val="uk-UA"/>
        </w:rPr>
        <w:t>до 5</w:t>
      </w:r>
      <w:r w:rsidR="007C1AC3" w:rsidRPr="007C1AC3">
        <w:rPr>
          <w:color w:val="000000"/>
          <w:sz w:val="28"/>
          <w:szCs w:val="28"/>
          <w:lang w:val="uk-UA"/>
        </w:rPr>
        <w:t>0%</w:t>
      </w:r>
      <w:r w:rsidRPr="007C1AC3">
        <w:rPr>
          <w:color w:val="000000"/>
          <w:sz w:val="28"/>
          <w:szCs w:val="28"/>
          <w:lang w:val="uk-UA"/>
        </w:rPr>
        <w:t>;</w:t>
      </w:r>
    </w:p>
    <w:p w:rsidR="00C31384" w:rsidRPr="007C1AC3" w:rsidRDefault="00C31384" w:rsidP="007C1AC3">
      <w:pPr>
        <w:numPr>
          <w:ilvl w:val="0"/>
          <w:numId w:val="12"/>
        </w:numPr>
        <w:spacing w:line="360" w:lineRule="auto"/>
        <w:ind w:left="0" w:firstLine="709"/>
        <w:jc w:val="both"/>
        <w:rPr>
          <w:color w:val="000000"/>
          <w:sz w:val="28"/>
          <w:szCs w:val="28"/>
          <w:lang w:val="uk-UA"/>
        </w:rPr>
      </w:pPr>
      <w:r w:rsidRPr="007C1AC3">
        <w:rPr>
          <w:color w:val="000000"/>
          <w:sz w:val="28"/>
          <w:szCs w:val="28"/>
          <w:lang w:val="uk-UA"/>
        </w:rPr>
        <w:t xml:space="preserve">муніципальні облігації </w:t>
      </w:r>
      <w:r w:rsidR="007C1AC3" w:rsidRPr="007C1AC3">
        <w:rPr>
          <w:color w:val="000000"/>
          <w:sz w:val="28"/>
          <w:szCs w:val="28"/>
          <w:lang w:val="uk-UA"/>
        </w:rPr>
        <w:t xml:space="preserve">– </w:t>
      </w:r>
      <w:r w:rsidRPr="007C1AC3">
        <w:rPr>
          <w:color w:val="000000"/>
          <w:sz w:val="28"/>
          <w:szCs w:val="28"/>
          <w:lang w:val="uk-UA"/>
        </w:rPr>
        <w:t>до 5</w:t>
      </w:r>
      <w:r w:rsidR="007C1AC3" w:rsidRPr="007C1AC3">
        <w:rPr>
          <w:color w:val="000000"/>
          <w:sz w:val="28"/>
          <w:szCs w:val="28"/>
          <w:lang w:val="uk-UA"/>
        </w:rPr>
        <w:t>0%</w:t>
      </w:r>
      <w:r w:rsidRPr="007C1AC3">
        <w:rPr>
          <w:color w:val="000000"/>
          <w:sz w:val="28"/>
          <w:szCs w:val="28"/>
          <w:lang w:val="uk-UA"/>
        </w:rPr>
        <w:t>;</w:t>
      </w:r>
    </w:p>
    <w:p w:rsidR="00C31384" w:rsidRPr="007C1AC3" w:rsidRDefault="00C31384" w:rsidP="007C1AC3">
      <w:pPr>
        <w:numPr>
          <w:ilvl w:val="0"/>
          <w:numId w:val="12"/>
        </w:numPr>
        <w:spacing w:line="360" w:lineRule="auto"/>
        <w:ind w:left="0" w:firstLine="709"/>
        <w:jc w:val="both"/>
        <w:rPr>
          <w:color w:val="000000"/>
          <w:sz w:val="28"/>
          <w:szCs w:val="28"/>
          <w:lang w:val="uk-UA"/>
        </w:rPr>
      </w:pPr>
      <w:r w:rsidRPr="007C1AC3">
        <w:rPr>
          <w:color w:val="000000"/>
          <w:sz w:val="28"/>
          <w:szCs w:val="28"/>
          <w:lang w:val="uk-UA"/>
        </w:rPr>
        <w:t xml:space="preserve">корпоративні облігації </w:t>
      </w:r>
      <w:r w:rsidR="007C1AC3" w:rsidRPr="007C1AC3">
        <w:rPr>
          <w:color w:val="000000"/>
          <w:sz w:val="28"/>
          <w:szCs w:val="28"/>
          <w:lang w:val="uk-UA"/>
        </w:rPr>
        <w:t xml:space="preserve">– </w:t>
      </w:r>
      <w:r w:rsidRPr="007C1AC3">
        <w:rPr>
          <w:color w:val="000000"/>
          <w:sz w:val="28"/>
          <w:szCs w:val="28"/>
          <w:lang w:val="uk-UA"/>
        </w:rPr>
        <w:t>до 8</w:t>
      </w:r>
      <w:r w:rsidR="007C1AC3" w:rsidRPr="007C1AC3">
        <w:rPr>
          <w:color w:val="000000"/>
          <w:sz w:val="28"/>
          <w:szCs w:val="28"/>
          <w:lang w:val="uk-UA"/>
        </w:rPr>
        <w:t>0%</w:t>
      </w:r>
      <w:r w:rsidRPr="007C1AC3">
        <w:rPr>
          <w:color w:val="000000"/>
          <w:sz w:val="28"/>
          <w:szCs w:val="28"/>
          <w:lang w:val="uk-UA"/>
        </w:rPr>
        <w:t>;</w:t>
      </w:r>
    </w:p>
    <w:p w:rsidR="00C31384" w:rsidRPr="007C1AC3" w:rsidRDefault="00C31384" w:rsidP="007C1AC3">
      <w:pPr>
        <w:numPr>
          <w:ilvl w:val="0"/>
          <w:numId w:val="12"/>
        </w:numPr>
        <w:spacing w:line="360" w:lineRule="auto"/>
        <w:ind w:left="0" w:firstLine="709"/>
        <w:jc w:val="both"/>
        <w:rPr>
          <w:color w:val="000000"/>
          <w:sz w:val="28"/>
          <w:szCs w:val="28"/>
          <w:lang w:val="uk-UA"/>
        </w:rPr>
      </w:pPr>
      <w:r w:rsidRPr="007C1AC3">
        <w:rPr>
          <w:color w:val="000000"/>
          <w:sz w:val="28"/>
          <w:szCs w:val="28"/>
          <w:lang w:val="uk-UA"/>
        </w:rPr>
        <w:t xml:space="preserve">іпотечні облігації </w:t>
      </w:r>
      <w:r w:rsidR="007C1AC3" w:rsidRPr="007C1AC3">
        <w:rPr>
          <w:color w:val="000000"/>
          <w:sz w:val="28"/>
          <w:szCs w:val="28"/>
          <w:lang w:val="uk-UA"/>
        </w:rPr>
        <w:t xml:space="preserve">– </w:t>
      </w:r>
      <w:r w:rsidRPr="007C1AC3">
        <w:rPr>
          <w:color w:val="000000"/>
          <w:sz w:val="28"/>
          <w:szCs w:val="28"/>
          <w:lang w:val="uk-UA"/>
        </w:rPr>
        <w:t>до 5</w:t>
      </w:r>
      <w:r w:rsidR="007C1AC3" w:rsidRPr="007C1AC3">
        <w:rPr>
          <w:color w:val="000000"/>
          <w:sz w:val="28"/>
          <w:szCs w:val="28"/>
          <w:lang w:val="uk-UA"/>
        </w:rPr>
        <w:t>0%</w:t>
      </w:r>
      <w:r w:rsidRPr="007C1AC3">
        <w:rPr>
          <w:color w:val="000000"/>
          <w:sz w:val="28"/>
          <w:szCs w:val="28"/>
          <w:lang w:val="uk-UA"/>
        </w:rPr>
        <w:t>;</w:t>
      </w:r>
    </w:p>
    <w:p w:rsidR="00C31384" w:rsidRPr="007C1AC3" w:rsidRDefault="00C31384" w:rsidP="007C1AC3">
      <w:pPr>
        <w:numPr>
          <w:ilvl w:val="0"/>
          <w:numId w:val="12"/>
        </w:numPr>
        <w:spacing w:line="360" w:lineRule="auto"/>
        <w:ind w:left="0" w:firstLine="709"/>
        <w:jc w:val="both"/>
        <w:rPr>
          <w:color w:val="000000"/>
          <w:sz w:val="28"/>
          <w:szCs w:val="28"/>
          <w:lang w:val="uk-UA"/>
        </w:rPr>
      </w:pPr>
      <w:r w:rsidRPr="007C1AC3">
        <w:rPr>
          <w:color w:val="000000"/>
          <w:sz w:val="28"/>
          <w:szCs w:val="28"/>
          <w:lang w:val="uk-UA"/>
        </w:rPr>
        <w:t xml:space="preserve">інструменти грошового ринку </w:t>
      </w:r>
      <w:r w:rsidR="007C1AC3" w:rsidRPr="007C1AC3">
        <w:rPr>
          <w:color w:val="000000"/>
          <w:sz w:val="28"/>
          <w:szCs w:val="28"/>
          <w:lang w:val="uk-UA"/>
        </w:rPr>
        <w:t xml:space="preserve">– </w:t>
      </w:r>
      <w:r w:rsidRPr="007C1AC3">
        <w:rPr>
          <w:color w:val="000000"/>
          <w:sz w:val="28"/>
          <w:szCs w:val="28"/>
          <w:lang w:val="uk-UA"/>
        </w:rPr>
        <w:t>до 3</w:t>
      </w:r>
      <w:r w:rsidR="007C1AC3" w:rsidRPr="007C1AC3">
        <w:rPr>
          <w:color w:val="000000"/>
          <w:sz w:val="28"/>
          <w:szCs w:val="28"/>
          <w:lang w:val="uk-UA"/>
        </w:rPr>
        <w:t>0%</w:t>
      </w:r>
      <w:r w:rsidRPr="007C1AC3">
        <w:rPr>
          <w:color w:val="000000"/>
          <w:sz w:val="28"/>
          <w:szCs w:val="28"/>
          <w:lang w:val="uk-UA"/>
        </w:rPr>
        <w:t>.</w:t>
      </w:r>
    </w:p>
    <w:p w:rsidR="002D11A1" w:rsidRPr="007C1AC3" w:rsidRDefault="00BF7826" w:rsidP="007C1AC3">
      <w:pPr>
        <w:spacing w:line="360" w:lineRule="auto"/>
        <w:ind w:firstLine="709"/>
        <w:jc w:val="both"/>
        <w:rPr>
          <w:color w:val="000000"/>
          <w:sz w:val="28"/>
          <w:szCs w:val="28"/>
          <w:lang w:val="uk-UA"/>
        </w:rPr>
      </w:pPr>
      <w:r w:rsidRPr="007C1AC3">
        <w:rPr>
          <w:color w:val="000000"/>
          <w:sz w:val="28"/>
          <w:szCs w:val="28"/>
          <w:lang w:val="uk-UA"/>
        </w:rPr>
        <w:t>У коштовні папери одного емітента (за винятком держави) не вкладатиметься більше 1</w:t>
      </w:r>
      <w:r w:rsidR="007C1AC3" w:rsidRPr="007C1AC3">
        <w:rPr>
          <w:color w:val="000000"/>
          <w:sz w:val="28"/>
          <w:szCs w:val="28"/>
          <w:lang w:val="uk-UA"/>
        </w:rPr>
        <w:t>0%</w:t>
      </w:r>
      <w:r w:rsidRPr="007C1AC3">
        <w:rPr>
          <w:color w:val="000000"/>
          <w:sz w:val="28"/>
          <w:szCs w:val="28"/>
          <w:lang w:val="uk-UA"/>
        </w:rPr>
        <w:t xml:space="preserve"> вартості чистих активів фонду</w:t>
      </w:r>
      <w:r w:rsidR="002D11A1" w:rsidRPr="007C1AC3">
        <w:rPr>
          <w:color w:val="000000"/>
          <w:sz w:val="28"/>
          <w:szCs w:val="28"/>
          <w:lang w:val="uk-UA"/>
        </w:rPr>
        <w:t>.</w:t>
      </w:r>
    </w:p>
    <w:p w:rsidR="00BF7826" w:rsidRDefault="00BF7826" w:rsidP="007C1AC3">
      <w:pPr>
        <w:spacing w:line="360" w:lineRule="auto"/>
        <w:ind w:firstLine="709"/>
        <w:jc w:val="both"/>
        <w:rPr>
          <w:color w:val="000000"/>
          <w:sz w:val="28"/>
          <w:szCs w:val="28"/>
          <w:lang w:val="uk-UA"/>
        </w:rPr>
      </w:pPr>
      <w:r w:rsidRPr="007C1AC3">
        <w:rPr>
          <w:color w:val="000000"/>
          <w:sz w:val="28"/>
          <w:szCs w:val="28"/>
          <w:lang w:val="uk-UA"/>
        </w:rPr>
        <w:t>У табл. 5 приведено відомості про результати діяльності фонду «Синергія Бонд».</w:t>
      </w:r>
    </w:p>
    <w:p w:rsidR="00D340FB" w:rsidRDefault="00D340FB" w:rsidP="007C1AC3">
      <w:pPr>
        <w:spacing w:line="360" w:lineRule="auto"/>
        <w:ind w:firstLine="709"/>
        <w:jc w:val="both"/>
        <w:rPr>
          <w:color w:val="000000"/>
          <w:sz w:val="28"/>
          <w:szCs w:val="28"/>
          <w:lang w:val="uk-UA"/>
        </w:rPr>
      </w:pPr>
    </w:p>
    <w:p w:rsidR="00D340FB" w:rsidRPr="007C1AC3" w:rsidRDefault="00D340FB" w:rsidP="00D340FB">
      <w:pPr>
        <w:spacing w:line="360" w:lineRule="auto"/>
        <w:ind w:firstLine="709"/>
        <w:jc w:val="both"/>
        <w:rPr>
          <w:color w:val="000000"/>
          <w:sz w:val="28"/>
          <w:szCs w:val="28"/>
          <w:lang w:val="uk-UA"/>
        </w:rPr>
      </w:pPr>
      <w:r w:rsidRPr="007C1AC3">
        <w:rPr>
          <w:color w:val="000000"/>
          <w:sz w:val="28"/>
          <w:szCs w:val="28"/>
          <w:lang w:val="uk-UA"/>
        </w:rPr>
        <w:t>Табл. 5. Результати діяльності фонду «Синергія Бонд»</w:t>
      </w:r>
    </w:p>
    <w:tbl>
      <w:tblPr>
        <w:tblStyle w:val="1"/>
        <w:tblW w:w="9297" w:type="dxa"/>
        <w:jc w:val="center"/>
        <w:tblLook w:val="0000" w:firstRow="0" w:lastRow="0" w:firstColumn="0" w:lastColumn="0" w:noHBand="0" w:noVBand="0"/>
      </w:tblPr>
      <w:tblGrid>
        <w:gridCol w:w="2325"/>
        <w:gridCol w:w="2324"/>
        <w:gridCol w:w="2324"/>
        <w:gridCol w:w="2324"/>
      </w:tblGrid>
      <w:tr w:rsidR="00B96B05" w:rsidRPr="007C1AC3" w:rsidTr="007C1AC3">
        <w:trPr>
          <w:cantSplit/>
          <w:jc w:val="center"/>
        </w:trPr>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Поточна вартість, грн.</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21425.99</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ВЧА, млн. грн.</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3.32</w:t>
            </w:r>
          </w:p>
        </w:tc>
      </w:tr>
      <w:tr w:rsidR="00B96B05" w:rsidRPr="007C1AC3" w:rsidTr="007C1AC3">
        <w:trPr>
          <w:cantSplit/>
          <w:jc w:val="center"/>
        </w:trPr>
        <w:tc>
          <w:tcPr>
            <w:tcW w:w="1250" w:type="pct"/>
          </w:tcPr>
          <w:p w:rsidR="00B96B05" w:rsidRPr="007C1AC3" w:rsidRDefault="006A3D3C" w:rsidP="007C1AC3">
            <w:pPr>
              <w:spacing w:line="360" w:lineRule="auto"/>
              <w:jc w:val="both"/>
              <w:rPr>
                <w:color w:val="000000"/>
                <w:sz w:val="20"/>
                <w:szCs w:val="28"/>
                <w:lang w:val="uk-UA"/>
              </w:rPr>
            </w:pPr>
            <w:r w:rsidRPr="007C1AC3">
              <w:rPr>
                <w:color w:val="000000"/>
                <w:sz w:val="20"/>
                <w:szCs w:val="28"/>
                <w:lang w:val="uk-UA"/>
              </w:rPr>
              <w:t>Зміна ціни</w:t>
            </w:r>
            <w:r w:rsidR="00B96B05" w:rsidRPr="007C1AC3">
              <w:rPr>
                <w:color w:val="000000"/>
                <w:sz w:val="20"/>
                <w:szCs w:val="28"/>
                <w:lang w:val="uk-UA"/>
              </w:rPr>
              <w:t>, грн.</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17.35</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Номінальна вартість, грн.</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10 000.00</w:t>
            </w:r>
          </w:p>
        </w:tc>
      </w:tr>
      <w:tr w:rsidR="00B96B05" w:rsidRPr="007C1AC3" w:rsidTr="007C1AC3">
        <w:trPr>
          <w:cantSplit/>
          <w:jc w:val="center"/>
        </w:trPr>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Зміна ціни</w:t>
            </w:r>
            <w:r w:rsidR="007C1AC3" w:rsidRPr="007C1AC3">
              <w:rPr>
                <w:color w:val="000000"/>
                <w:sz w:val="20"/>
                <w:szCs w:val="28"/>
                <w:lang w:val="uk-UA"/>
              </w:rPr>
              <w:t>, %</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0.08</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Об'єм емісії, грн.</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25 310 000.00</w:t>
            </w:r>
          </w:p>
        </w:tc>
      </w:tr>
      <w:tr w:rsidR="00B96B05" w:rsidRPr="007C1AC3" w:rsidTr="007C1AC3">
        <w:trPr>
          <w:cantSplit/>
          <w:jc w:val="center"/>
        </w:trPr>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Річний максимум, грн.</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21425.99</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Кількість сертифікатів в обігу</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232</w:t>
            </w:r>
          </w:p>
        </w:tc>
      </w:tr>
      <w:tr w:rsidR="00B96B05" w:rsidRPr="007C1AC3" w:rsidTr="007C1AC3">
        <w:trPr>
          <w:cantSplit/>
          <w:jc w:val="center"/>
        </w:trPr>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Річний мінімум, грн.</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17250.20</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Винагорода компанії, що керує</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1.</w:t>
            </w:r>
            <w:r w:rsidR="007C1AC3" w:rsidRPr="007C1AC3">
              <w:rPr>
                <w:color w:val="000000"/>
                <w:sz w:val="20"/>
                <w:szCs w:val="28"/>
                <w:lang w:val="uk-UA"/>
              </w:rPr>
              <w:t>5%</w:t>
            </w:r>
            <w:r w:rsidRPr="007C1AC3">
              <w:rPr>
                <w:color w:val="000000"/>
                <w:sz w:val="20"/>
                <w:szCs w:val="28"/>
                <w:lang w:val="uk-UA"/>
              </w:rPr>
              <w:t xml:space="preserve"> від вартості чистих активів</w:t>
            </w:r>
          </w:p>
        </w:tc>
      </w:tr>
      <w:tr w:rsidR="00B96B05" w:rsidRPr="007C1AC3" w:rsidTr="007C1AC3">
        <w:trPr>
          <w:cantSplit/>
          <w:trHeight w:val="806"/>
          <w:jc w:val="center"/>
        </w:trPr>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Динаміка вартості з початку року</w:t>
            </w:r>
            <w:r w:rsidR="007C1AC3" w:rsidRPr="007C1AC3">
              <w:rPr>
                <w:color w:val="000000"/>
                <w:sz w:val="20"/>
                <w:szCs w:val="28"/>
                <w:lang w:val="uk-UA"/>
              </w:rPr>
              <w:t>, %</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14.3</w:t>
            </w:r>
            <w:r w:rsidR="007C1AC3" w:rsidRPr="007C1AC3">
              <w:rPr>
                <w:color w:val="000000"/>
                <w:sz w:val="20"/>
                <w:szCs w:val="28"/>
                <w:lang w:val="uk-UA"/>
              </w:rPr>
              <w:t>5%</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Строк роботи фонду</w:t>
            </w:r>
          </w:p>
        </w:tc>
        <w:tc>
          <w:tcPr>
            <w:tcW w:w="1250" w:type="pct"/>
          </w:tcPr>
          <w:p w:rsidR="00B96B05" w:rsidRPr="007C1AC3" w:rsidRDefault="00B96B05" w:rsidP="007C1AC3">
            <w:pPr>
              <w:spacing w:line="360" w:lineRule="auto"/>
              <w:jc w:val="both"/>
              <w:rPr>
                <w:color w:val="000000"/>
                <w:sz w:val="20"/>
                <w:szCs w:val="28"/>
                <w:lang w:val="uk-UA"/>
              </w:rPr>
            </w:pPr>
            <w:r w:rsidRPr="007C1AC3">
              <w:rPr>
                <w:color w:val="000000"/>
                <w:sz w:val="20"/>
                <w:szCs w:val="28"/>
                <w:lang w:val="uk-UA"/>
              </w:rPr>
              <w:t>до 8 листопада 2014</w:t>
            </w:r>
            <w:r w:rsidR="007C1AC3" w:rsidRPr="007C1AC3">
              <w:rPr>
                <w:color w:val="000000"/>
                <w:sz w:val="20"/>
                <w:szCs w:val="28"/>
                <w:lang w:val="uk-UA"/>
              </w:rPr>
              <w:t> р</w:t>
            </w:r>
          </w:p>
        </w:tc>
      </w:tr>
    </w:tbl>
    <w:p w:rsidR="00D340FB" w:rsidRDefault="00D340FB" w:rsidP="007C1AC3">
      <w:pPr>
        <w:spacing w:line="360" w:lineRule="auto"/>
        <w:ind w:firstLine="709"/>
        <w:jc w:val="both"/>
        <w:rPr>
          <w:color w:val="000000"/>
          <w:sz w:val="28"/>
          <w:szCs w:val="28"/>
          <w:lang w:val="uk-UA"/>
        </w:rPr>
      </w:pPr>
    </w:p>
    <w:p w:rsidR="00BF7826" w:rsidRPr="007C1AC3" w:rsidRDefault="002D11A1" w:rsidP="007C1AC3">
      <w:pPr>
        <w:spacing w:line="360" w:lineRule="auto"/>
        <w:ind w:firstLine="709"/>
        <w:jc w:val="both"/>
        <w:rPr>
          <w:color w:val="000000"/>
          <w:sz w:val="28"/>
          <w:szCs w:val="28"/>
          <w:lang w:val="uk-UA"/>
        </w:rPr>
      </w:pPr>
      <w:r w:rsidRPr="007C1AC3">
        <w:rPr>
          <w:color w:val="000000"/>
          <w:sz w:val="28"/>
          <w:szCs w:val="28"/>
          <w:lang w:val="uk-UA"/>
        </w:rPr>
        <w:t>Слід зробити висновок про незначну різницю між річним мінімумом та максимумом. Це свідчить про відносну стабільність активів фонду в умовах світової кризи.</w:t>
      </w:r>
    </w:p>
    <w:p w:rsidR="002D11A1" w:rsidRPr="007C1AC3" w:rsidRDefault="002D11A1" w:rsidP="007C1AC3">
      <w:pPr>
        <w:spacing w:line="360" w:lineRule="auto"/>
        <w:ind w:firstLine="709"/>
        <w:jc w:val="both"/>
        <w:rPr>
          <w:color w:val="000000"/>
          <w:sz w:val="28"/>
          <w:szCs w:val="28"/>
          <w:lang w:val="uk-UA"/>
        </w:rPr>
      </w:pPr>
      <w:r w:rsidRPr="007C1AC3">
        <w:rPr>
          <w:color w:val="000000"/>
          <w:sz w:val="28"/>
          <w:szCs w:val="28"/>
          <w:lang w:val="uk-UA"/>
        </w:rPr>
        <w:t>Наступним етапом характеризування діяльності фонду є зміна вартості чистих активів у перерахунку на одну акцію. Ці дані наведено у табл. 6.</w:t>
      </w:r>
    </w:p>
    <w:p w:rsidR="00D340FB" w:rsidRDefault="00D340FB" w:rsidP="00D340FB">
      <w:pPr>
        <w:spacing w:line="360" w:lineRule="auto"/>
        <w:ind w:firstLine="709"/>
        <w:jc w:val="both"/>
        <w:rPr>
          <w:color w:val="000000"/>
          <w:sz w:val="28"/>
          <w:szCs w:val="28"/>
          <w:lang w:val="uk-UA"/>
        </w:rPr>
      </w:pPr>
    </w:p>
    <w:p w:rsidR="00D340FB" w:rsidRPr="007C1AC3" w:rsidRDefault="00D340FB" w:rsidP="00D340FB">
      <w:pPr>
        <w:spacing w:line="360" w:lineRule="auto"/>
        <w:ind w:firstLine="709"/>
        <w:jc w:val="both"/>
        <w:rPr>
          <w:color w:val="000000"/>
          <w:sz w:val="28"/>
          <w:szCs w:val="28"/>
          <w:lang w:val="uk-UA"/>
        </w:rPr>
      </w:pPr>
      <w:r w:rsidRPr="007C1AC3">
        <w:rPr>
          <w:color w:val="000000"/>
          <w:sz w:val="28"/>
          <w:szCs w:val="28"/>
          <w:lang w:val="uk-UA"/>
        </w:rPr>
        <w:t>Табл. 6. Зміна вартості чистих активів</w:t>
      </w:r>
    </w:p>
    <w:tbl>
      <w:tblPr>
        <w:tblStyle w:val="1"/>
        <w:tblW w:w="9297" w:type="dxa"/>
        <w:jc w:val="center"/>
        <w:tblLook w:val="0000" w:firstRow="0" w:lastRow="0" w:firstColumn="0" w:lastColumn="0" w:noHBand="0" w:noVBand="0"/>
      </w:tblPr>
      <w:tblGrid>
        <w:gridCol w:w="5766"/>
        <w:gridCol w:w="3531"/>
      </w:tblGrid>
      <w:tr w:rsidR="002D11A1" w:rsidRPr="007C1AC3" w:rsidTr="007C1AC3">
        <w:trPr>
          <w:cantSplit/>
          <w:jc w:val="center"/>
        </w:trPr>
        <w:tc>
          <w:tcPr>
            <w:tcW w:w="3101"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Зміна ВЧА/акція</w:t>
            </w:r>
          </w:p>
        </w:tc>
        <w:tc>
          <w:tcPr>
            <w:tcW w:w="1899"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w:t>
            </w:r>
          </w:p>
        </w:tc>
      </w:tr>
      <w:tr w:rsidR="002D11A1" w:rsidRPr="007C1AC3" w:rsidTr="007C1AC3">
        <w:trPr>
          <w:cantSplit/>
          <w:jc w:val="center"/>
        </w:trPr>
        <w:tc>
          <w:tcPr>
            <w:tcW w:w="3101"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1 день</w:t>
            </w:r>
          </w:p>
        </w:tc>
        <w:tc>
          <w:tcPr>
            <w:tcW w:w="1899"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+0,08</w:t>
            </w:r>
          </w:p>
        </w:tc>
      </w:tr>
      <w:tr w:rsidR="002D11A1" w:rsidRPr="007C1AC3" w:rsidTr="007C1AC3">
        <w:trPr>
          <w:cantSplit/>
          <w:jc w:val="center"/>
        </w:trPr>
        <w:tc>
          <w:tcPr>
            <w:tcW w:w="3101"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1 тиждень</w:t>
            </w:r>
          </w:p>
        </w:tc>
        <w:tc>
          <w:tcPr>
            <w:tcW w:w="1899"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+0,36</w:t>
            </w:r>
          </w:p>
        </w:tc>
      </w:tr>
      <w:tr w:rsidR="002D11A1" w:rsidRPr="007C1AC3" w:rsidTr="007C1AC3">
        <w:trPr>
          <w:cantSplit/>
          <w:jc w:val="center"/>
        </w:trPr>
        <w:tc>
          <w:tcPr>
            <w:tcW w:w="3101"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1 місяць</w:t>
            </w:r>
          </w:p>
        </w:tc>
        <w:tc>
          <w:tcPr>
            <w:tcW w:w="1899"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+2,19</w:t>
            </w:r>
          </w:p>
        </w:tc>
      </w:tr>
      <w:tr w:rsidR="002D11A1" w:rsidRPr="007C1AC3" w:rsidTr="007C1AC3">
        <w:trPr>
          <w:cantSplit/>
          <w:jc w:val="center"/>
        </w:trPr>
        <w:tc>
          <w:tcPr>
            <w:tcW w:w="3101"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1 рік</w:t>
            </w:r>
          </w:p>
        </w:tc>
        <w:tc>
          <w:tcPr>
            <w:tcW w:w="1899"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+18,75</w:t>
            </w:r>
          </w:p>
        </w:tc>
      </w:tr>
      <w:tr w:rsidR="002D11A1" w:rsidRPr="007C1AC3" w:rsidTr="007C1AC3">
        <w:trPr>
          <w:cantSplit/>
          <w:jc w:val="center"/>
        </w:trPr>
        <w:tc>
          <w:tcPr>
            <w:tcW w:w="3101"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З початку діяльності</w:t>
            </w:r>
          </w:p>
        </w:tc>
        <w:tc>
          <w:tcPr>
            <w:tcW w:w="1899" w:type="pct"/>
          </w:tcPr>
          <w:p w:rsidR="002D11A1" w:rsidRPr="007C1AC3" w:rsidRDefault="002D11A1" w:rsidP="007C1AC3">
            <w:pPr>
              <w:spacing w:line="360" w:lineRule="auto"/>
              <w:jc w:val="both"/>
              <w:rPr>
                <w:color w:val="000000"/>
                <w:sz w:val="20"/>
                <w:szCs w:val="28"/>
                <w:lang w:val="uk-UA"/>
              </w:rPr>
            </w:pPr>
            <w:r w:rsidRPr="007C1AC3">
              <w:rPr>
                <w:color w:val="000000"/>
                <w:sz w:val="20"/>
                <w:szCs w:val="28"/>
                <w:lang w:val="uk-UA"/>
              </w:rPr>
              <w:t>+87,81</w:t>
            </w:r>
          </w:p>
        </w:tc>
      </w:tr>
    </w:tbl>
    <w:p w:rsidR="002D11A1" w:rsidRPr="007C1AC3" w:rsidRDefault="002D11A1" w:rsidP="007C1AC3">
      <w:pPr>
        <w:spacing w:line="360" w:lineRule="auto"/>
        <w:ind w:firstLine="709"/>
        <w:jc w:val="both"/>
        <w:rPr>
          <w:color w:val="000000"/>
          <w:sz w:val="28"/>
          <w:szCs w:val="28"/>
          <w:lang w:val="uk-UA"/>
        </w:rPr>
      </w:pPr>
    </w:p>
    <w:p w:rsidR="002D11A1" w:rsidRPr="007C1AC3" w:rsidRDefault="006A3D3C" w:rsidP="007C1AC3">
      <w:pPr>
        <w:spacing w:line="360" w:lineRule="auto"/>
        <w:ind w:firstLine="709"/>
        <w:jc w:val="both"/>
        <w:rPr>
          <w:color w:val="000000"/>
          <w:sz w:val="28"/>
          <w:szCs w:val="28"/>
          <w:lang w:val="uk-UA"/>
        </w:rPr>
      </w:pPr>
      <w:r w:rsidRPr="007C1AC3">
        <w:rPr>
          <w:color w:val="000000"/>
          <w:sz w:val="28"/>
          <w:szCs w:val="28"/>
          <w:lang w:val="uk-UA"/>
        </w:rPr>
        <w:t>Отже, ми бачимо, що зміна вартості чистих активів є доволі стабільною. Це свідчить про надійність вкладень фонду та відносно невеликий ризик.</w:t>
      </w:r>
    </w:p>
    <w:p w:rsidR="006A3D3C" w:rsidRPr="007C1AC3" w:rsidRDefault="006A3D3C" w:rsidP="007C1AC3">
      <w:pPr>
        <w:spacing w:line="360" w:lineRule="auto"/>
        <w:ind w:firstLine="709"/>
        <w:jc w:val="both"/>
        <w:rPr>
          <w:color w:val="000000"/>
          <w:sz w:val="28"/>
          <w:szCs w:val="28"/>
          <w:lang w:val="uk-UA"/>
        </w:rPr>
      </w:pPr>
      <w:r w:rsidRPr="007C1AC3">
        <w:rPr>
          <w:color w:val="000000"/>
          <w:sz w:val="28"/>
          <w:szCs w:val="28"/>
          <w:lang w:val="uk-UA"/>
        </w:rPr>
        <w:t>Графік зміни вартості чистих активів представлено на мал. 2.</w:t>
      </w:r>
    </w:p>
    <w:p w:rsidR="00D340FB" w:rsidRDefault="00D340FB" w:rsidP="007C1AC3">
      <w:pPr>
        <w:spacing w:line="360" w:lineRule="auto"/>
        <w:ind w:firstLine="709"/>
        <w:jc w:val="both"/>
        <w:rPr>
          <w:color w:val="000000"/>
          <w:sz w:val="28"/>
          <w:szCs w:val="28"/>
          <w:lang w:val="uk-UA"/>
        </w:rPr>
      </w:pPr>
    </w:p>
    <w:p w:rsidR="006A3D3C" w:rsidRPr="007C1AC3" w:rsidRDefault="00B47CF6" w:rsidP="007C1AC3">
      <w:pPr>
        <w:spacing w:line="360" w:lineRule="auto"/>
        <w:ind w:firstLine="709"/>
        <w:jc w:val="both"/>
        <w:rPr>
          <w:color w:val="000000"/>
          <w:sz w:val="28"/>
          <w:szCs w:val="28"/>
          <w:lang w:val="uk-UA"/>
        </w:rPr>
      </w:pPr>
      <w:r>
        <w:rPr>
          <w:color w:val="000000"/>
          <w:sz w:val="28"/>
          <w:szCs w:val="28"/>
          <w:lang w:val="uk-UA"/>
        </w:rPr>
        <w:pict>
          <v:shape id="_x0000_i1026" type="#_x0000_t75" style="width:384pt;height:156.75pt">
            <v:imagedata r:id="rId6" o:title=""/>
          </v:shape>
        </w:pict>
      </w:r>
    </w:p>
    <w:p w:rsidR="006A3D3C" w:rsidRPr="007C1AC3" w:rsidRDefault="006A3D3C" w:rsidP="007C1AC3">
      <w:pPr>
        <w:spacing w:line="360" w:lineRule="auto"/>
        <w:ind w:firstLine="709"/>
        <w:jc w:val="both"/>
        <w:rPr>
          <w:color w:val="000000"/>
          <w:sz w:val="28"/>
          <w:szCs w:val="28"/>
          <w:lang w:val="uk-UA"/>
        </w:rPr>
      </w:pPr>
      <w:r w:rsidRPr="007C1AC3">
        <w:rPr>
          <w:color w:val="000000"/>
          <w:sz w:val="28"/>
          <w:szCs w:val="28"/>
          <w:lang w:val="uk-UA"/>
        </w:rPr>
        <w:t>Мал. 2. Зміна вартості чистих активів (2009 рік)</w:t>
      </w:r>
    </w:p>
    <w:p w:rsidR="006A3D3C" w:rsidRPr="007C1AC3" w:rsidRDefault="006A3D3C" w:rsidP="007C1AC3">
      <w:pPr>
        <w:spacing w:line="360" w:lineRule="auto"/>
        <w:ind w:firstLine="709"/>
        <w:jc w:val="both"/>
        <w:rPr>
          <w:color w:val="000000"/>
          <w:sz w:val="28"/>
          <w:szCs w:val="28"/>
          <w:lang w:val="uk-UA"/>
        </w:rPr>
      </w:pPr>
    </w:p>
    <w:p w:rsidR="006A3D3C" w:rsidRPr="007C1AC3" w:rsidRDefault="006A3D3C" w:rsidP="007C1AC3">
      <w:pPr>
        <w:spacing w:line="360" w:lineRule="auto"/>
        <w:ind w:firstLine="709"/>
        <w:jc w:val="both"/>
        <w:rPr>
          <w:color w:val="000000"/>
          <w:sz w:val="28"/>
          <w:szCs w:val="28"/>
          <w:lang w:val="uk-UA"/>
        </w:rPr>
      </w:pPr>
      <w:r w:rsidRPr="007C1AC3">
        <w:rPr>
          <w:color w:val="000000"/>
          <w:sz w:val="28"/>
          <w:szCs w:val="28"/>
          <w:lang w:val="uk-UA"/>
        </w:rPr>
        <w:t xml:space="preserve">Як ми бачимо з графіка, вартість чистих активів фонду «Синергія Бонд» за поточний рік суттєво збільшилась. </w:t>
      </w:r>
      <w:r w:rsidR="0080525C" w:rsidRPr="007C1AC3">
        <w:rPr>
          <w:color w:val="000000"/>
          <w:sz w:val="28"/>
          <w:szCs w:val="28"/>
          <w:lang w:val="uk-UA"/>
        </w:rPr>
        <w:t>Слід допустити, що до кінця року вона трохи відкоригується, але корекція не буде суттєвою.</w:t>
      </w:r>
    </w:p>
    <w:p w:rsidR="0080525C" w:rsidRDefault="0080525C" w:rsidP="007C1AC3">
      <w:pPr>
        <w:spacing w:line="360" w:lineRule="auto"/>
        <w:ind w:firstLine="709"/>
        <w:jc w:val="both"/>
        <w:rPr>
          <w:color w:val="000000"/>
          <w:sz w:val="28"/>
          <w:szCs w:val="28"/>
          <w:lang w:val="uk-UA"/>
        </w:rPr>
      </w:pPr>
      <w:r w:rsidRPr="007C1AC3">
        <w:rPr>
          <w:color w:val="000000"/>
          <w:sz w:val="28"/>
          <w:szCs w:val="28"/>
          <w:lang w:val="uk-UA"/>
        </w:rPr>
        <w:t>Наступним етапом слід визначити розмір та зміну паю. Для цього звернемось до графіку, що показує зміну даного показника на поточний рік.</w:t>
      </w:r>
    </w:p>
    <w:p w:rsidR="00D340FB" w:rsidRPr="007C1AC3" w:rsidRDefault="00D340FB" w:rsidP="007C1AC3">
      <w:pPr>
        <w:spacing w:line="360" w:lineRule="auto"/>
        <w:ind w:firstLine="709"/>
        <w:jc w:val="both"/>
        <w:rPr>
          <w:color w:val="000000"/>
          <w:sz w:val="28"/>
          <w:szCs w:val="28"/>
          <w:lang w:val="uk-UA"/>
        </w:rPr>
      </w:pPr>
    </w:p>
    <w:p w:rsidR="0080525C" w:rsidRPr="007C1AC3" w:rsidRDefault="00B47CF6" w:rsidP="007C1AC3">
      <w:pPr>
        <w:spacing w:line="360" w:lineRule="auto"/>
        <w:ind w:firstLine="709"/>
        <w:jc w:val="both"/>
        <w:rPr>
          <w:color w:val="000000"/>
          <w:sz w:val="28"/>
          <w:szCs w:val="28"/>
          <w:lang w:val="uk-UA"/>
        </w:rPr>
      </w:pPr>
      <w:r>
        <w:rPr>
          <w:color w:val="000000"/>
          <w:sz w:val="28"/>
          <w:szCs w:val="28"/>
          <w:lang w:val="uk-UA"/>
        </w:rPr>
        <w:pict>
          <v:shape id="_x0000_i1027" type="#_x0000_t75" style="width:351pt;height:228pt">
            <v:imagedata r:id="rId7" o:title=""/>
          </v:shape>
        </w:pict>
      </w:r>
    </w:p>
    <w:p w:rsidR="0080525C" w:rsidRPr="007C1AC3" w:rsidRDefault="0080525C" w:rsidP="007C1AC3">
      <w:pPr>
        <w:spacing w:line="360" w:lineRule="auto"/>
        <w:ind w:firstLine="709"/>
        <w:jc w:val="both"/>
        <w:rPr>
          <w:color w:val="000000"/>
          <w:sz w:val="28"/>
          <w:szCs w:val="28"/>
          <w:lang w:val="uk-UA"/>
        </w:rPr>
      </w:pPr>
      <w:r w:rsidRPr="007C1AC3">
        <w:rPr>
          <w:color w:val="000000"/>
          <w:sz w:val="28"/>
          <w:szCs w:val="28"/>
          <w:lang w:val="uk-UA"/>
        </w:rPr>
        <w:t>Мал. 3. Вартість паю фонду «Синергія Бонд»</w:t>
      </w:r>
    </w:p>
    <w:p w:rsidR="0080525C" w:rsidRPr="007C1AC3" w:rsidRDefault="0080525C" w:rsidP="007C1AC3">
      <w:pPr>
        <w:spacing w:line="360" w:lineRule="auto"/>
        <w:ind w:firstLine="709"/>
        <w:jc w:val="both"/>
        <w:rPr>
          <w:color w:val="000000"/>
          <w:sz w:val="28"/>
          <w:szCs w:val="28"/>
          <w:lang w:val="uk-UA"/>
        </w:rPr>
      </w:pPr>
    </w:p>
    <w:p w:rsidR="0080525C" w:rsidRPr="007C1AC3" w:rsidRDefault="00D340FB" w:rsidP="007C1AC3">
      <w:pPr>
        <w:spacing w:line="360" w:lineRule="auto"/>
        <w:ind w:firstLine="709"/>
        <w:jc w:val="both"/>
        <w:rPr>
          <w:color w:val="000000"/>
          <w:sz w:val="28"/>
          <w:szCs w:val="28"/>
          <w:lang w:val="uk-UA"/>
        </w:rPr>
      </w:pPr>
      <w:r>
        <w:rPr>
          <w:color w:val="000000"/>
          <w:sz w:val="28"/>
          <w:szCs w:val="28"/>
          <w:lang w:val="uk-UA"/>
        </w:rPr>
        <w:br w:type="page"/>
      </w:r>
      <w:r w:rsidR="0080525C" w:rsidRPr="007C1AC3">
        <w:rPr>
          <w:color w:val="000000"/>
          <w:sz w:val="28"/>
          <w:szCs w:val="28"/>
          <w:lang w:val="uk-UA"/>
        </w:rPr>
        <w:t>Слід відзначити пряму залежність вартості чистих активів та вартості паю, яку видно на графіку. І хоча за 3 роки вартість чистих активів збільшилась на 4.5</w:t>
      </w:r>
      <w:r w:rsidR="007C1AC3" w:rsidRPr="007C1AC3">
        <w:rPr>
          <w:color w:val="000000"/>
          <w:sz w:val="28"/>
          <w:szCs w:val="28"/>
          <w:lang w:val="uk-UA"/>
        </w:rPr>
        <w:t>7%</w:t>
      </w:r>
      <w:r w:rsidR="0080525C" w:rsidRPr="007C1AC3">
        <w:rPr>
          <w:color w:val="000000"/>
          <w:sz w:val="28"/>
          <w:szCs w:val="28"/>
          <w:lang w:val="uk-UA"/>
        </w:rPr>
        <w:t>, вартість паю при цьому зросла на 56.5</w:t>
      </w:r>
      <w:r w:rsidR="007C1AC3" w:rsidRPr="007C1AC3">
        <w:rPr>
          <w:color w:val="000000"/>
          <w:sz w:val="28"/>
          <w:szCs w:val="28"/>
          <w:lang w:val="uk-UA"/>
        </w:rPr>
        <w:t>1%</w:t>
      </w:r>
      <w:r w:rsidR="0080525C" w:rsidRPr="007C1AC3">
        <w:rPr>
          <w:color w:val="000000"/>
          <w:sz w:val="28"/>
          <w:szCs w:val="28"/>
          <w:lang w:val="uk-UA"/>
        </w:rPr>
        <w:t>.</w:t>
      </w:r>
    </w:p>
    <w:p w:rsidR="0080525C" w:rsidRDefault="00653C00" w:rsidP="007C1AC3">
      <w:pPr>
        <w:spacing w:line="360" w:lineRule="auto"/>
        <w:ind w:firstLine="709"/>
        <w:jc w:val="both"/>
        <w:rPr>
          <w:color w:val="000000"/>
          <w:sz w:val="28"/>
          <w:szCs w:val="28"/>
          <w:lang w:val="uk-UA"/>
        </w:rPr>
      </w:pPr>
      <w:r w:rsidRPr="007C1AC3">
        <w:rPr>
          <w:color w:val="000000"/>
          <w:sz w:val="28"/>
          <w:szCs w:val="28"/>
          <w:lang w:val="uk-UA"/>
        </w:rPr>
        <w:t>Для більшої конкретизації даних про зміну вартості чистих активів порівняємо її з еталоном, який представлено у вигляді відносного індексу KINBOND. Дані представлено на мал. 4</w:t>
      </w:r>
      <w:r w:rsidR="00D340FB">
        <w:rPr>
          <w:color w:val="000000"/>
          <w:sz w:val="28"/>
          <w:szCs w:val="28"/>
          <w:lang w:val="uk-UA"/>
        </w:rPr>
        <w:t>.</w:t>
      </w:r>
    </w:p>
    <w:p w:rsidR="00D340FB" w:rsidRPr="007C1AC3" w:rsidRDefault="00D340FB" w:rsidP="007C1AC3">
      <w:pPr>
        <w:spacing w:line="360" w:lineRule="auto"/>
        <w:ind w:firstLine="709"/>
        <w:jc w:val="both"/>
        <w:rPr>
          <w:color w:val="000000"/>
          <w:sz w:val="28"/>
          <w:szCs w:val="28"/>
          <w:lang w:val="uk-UA"/>
        </w:rPr>
      </w:pPr>
    </w:p>
    <w:p w:rsidR="00653C00" w:rsidRPr="007C1AC3" w:rsidRDefault="00B47CF6" w:rsidP="007C1AC3">
      <w:pPr>
        <w:spacing w:line="360" w:lineRule="auto"/>
        <w:ind w:firstLine="709"/>
        <w:jc w:val="both"/>
        <w:rPr>
          <w:color w:val="000000"/>
          <w:sz w:val="28"/>
          <w:szCs w:val="28"/>
          <w:lang w:val="uk-UA"/>
        </w:rPr>
      </w:pPr>
      <w:r>
        <w:rPr>
          <w:color w:val="000000"/>
          <w:sz w:val="28"/>
          <w:szCs w:val="28"/>
          <w:lang w:val="uk-UA"/>
        </w:rPr>
        <w:pict>
          <v:shape id="_x0000_i1028" type="#_x0000_t75" style="width:301.5pt;height:223.5pt">
            <v:imagedata r:id="rId8" o:title=""/>
          </v:shape>
        </w:pict>
      </w:r>
    </w:p>
    <w:p w:rsidR="00653C00" w:rsidRPr="007C1AC3" w:rsidRDefault="00653C00" w:rsidP="007C1AC3">
      <w:pPr>
        <w:spacing w:line="360" w:lineRule="auto"/>
        <w:ind w:firstLine="709"/>
        <w:jc w:val="both"/>
        <w:rPr>
          <w:color w:val="000000"/>
          <w:sz w:val="28"/>
          <w:szCs w:val="28"/>
          <w:lang w:val="uk-UA"/>
        </w:rPr>
      </w:pPr>
      <w:r w:rsidRPr="007C1AC3">
        <w:rPr>
          <w:color w:val="000000"/>
          <w:sz w:val="28"/>
          <w:szCs w:val="28"/>
          <w:lang w:val="uk-UA"/>
        </w:rPr>
        <w:t>Мал. 4. Динаміка ВЧА/акцію у порівнянні з еталоном</w:t>
      </w:r>
    </w:p>
    <w:p w:rsidR="00653C00" w:rsidRPr="007C1AC3" w:rsidRDefault="00653C00" w:rsidP="007C1AC3">
      <w:pPr>
        <w:spacing w:line="360" w:lineRule="auto"/>
        <w:ind w:firstLine="709"/>
        <w:jc w:val="both"/>
        <w:rPr>
          <w:color w:val="000000"/>
          <w:sz w:val="28"/>
          <w:szCs w:val="28"/>
          <w:lang w:val="uk-UA"/>
        </w:rPr>
      </w:pPr>
    </w:p>
    <w:p w:rsidR="00653C00" w:rsidRPr="007C1AC3" w:rsidRDefault="00653C00" w:rsidP="007C1AC3">
      <w:pPr>
        <w:spacing w:line="360" w:lineRule="auto"/>
        <w:ind w:firstLine="709"/>
        <w:jc w:val="both"/>
        <w:rPr>
          <w:color w:val="000000"/>
          <w:sz w:val="28"/>
          <w:szCs w:val="28"/>
          <w:lang w:val="uk-UA"/>
        </w:rPr>
      </w:pPr>
      <w:r w:rsidRPr="007C1AC3">
        <w:rPr>
          <w:color w:val="000000"/>
          <w:sz w:val="28"/>
          <w:szCs w:val="28"/>
          <w:lang w:val="uk-UA"/>
        </w:rPr>
        <w:t>Як ми бачимо на графіку, відмінності динаміки ВЧА/акцію фонду «Синергія Бонд» є практично несуттєвими. Це свідчить про спрямованість, надійність та передбачуваність зміни вартості чистих активів, що позитивно впливає на діяльність фонду.</w:t>
      </w:r>
    </w:p>
    <w:p w:rsidR="00653C00" w:rsidRDefault="00653C00" w:rsidP="007C1AC3">
      <w:pPr>
        <w:spacing w:line="360" w:lineRule="auto"/>
        <w:ind w:firstLine="709"/>
        <w:jc w:val="both"/>
        <w:rPr>
          <w:color w:val="000000"/>
          <w:sz w:val="28"/>
          <w:szCs w:val="28"/>
          <w:lang w:val="uk-UA"/>
        </w:rPr>
      </w:pPr>
      <w:r w:rsidRPr="007C1AC3">
        <w:rPr>
          <w:color w:val="000000"/>
          <w:sz w:val="28"/>
          <w:szCs w:val="28"/>
          <w:lang w:val="uk-UA"/>
        </w:rPr>
        <w:t>Динаміку діяльності інвестиційного фонду «Синергія Бонд», у порівнянні з іншими інвестиційними фондами представлено на мал. 5.</w:t>
      </w:r>
    </w:p>
    <w:p w:rsidR="00D340FB" w:rsidRPr="007C1AC3" w:rsidRDefault="00D340FB" w:rsidP="00D340FB">
      <w:pPr>
        <w:spacing w:line="360" w:lineRule="auto"/>
        <w:ind w:firstLine="709"/>
        <w:jc w:val="both"/>
        <w:rPr>
          <w:color w:val="000000"/>
          <w:sz w:val="28"/>
          <w:szCs w:val="28"/>
          <w:lang w:val="uk-UA"/>
        </w:rPr>
      </w:pPr>
      <w:r w:rsidRPr="007C1AC3">
        <w:rPr>
          <w:color w:val="000000"/>
          <w:sz w:val="28"/>
          <w:szCs w:val="28"/>
          <w:lang w:val="uk-UA"/>
        </w:rPr>
        <w:t>Якщо взяти до уваги те, що перші чотири представлених у таблиці фонди є прикладами сбалансованої стратегії, в той час, коли інвестиційний фонд «Синергія Бонд» дотримується консервативного напрямку, показники дохідності слід вважати відмінними.</w:t>
      </w:r>
    </w:p>
    <w:p w:rsidR="00653C00" w:rsidRPr="007C1AC3" w:rsidRDefault="00D340FB" w:rsidP="007C1AC3">
      <w:pPr>
        <w:spacing w:line="360" w:lineRule="auto"/>
        <w:ind w:firstLine="709"/>
        <w:jc w:val="both"/>
        <w:rPr>
          <w:color w:val="000000"/>
          <w:sz w:val="28"/>
          <w:szCs w:val="28"/>
          <w:lang w:val="uk-UA"/>
        </w:rPr>
      </w:pPr>
      <w:r>
        <w:rPr>
          <w:color w:val="000000"/>
          <w:sz w:val="28"/>
          <w:szCs w:val="28"/>
          <w:lang w:val="uk-UA"/>
        </w:rPr>
        <w:br w:type="page"/>
      </w:r>
      <w:r w:rsidR="00B47CF6">
        <w:rPr>
          <w:color w:val="000000"/>
          <w:sz w:val="28"/>
          <w:szCs w:val="28"/>
          <w:lang w:val="uk-UA"/>
        </w:rPr>
        <w:pict>
          <v:shape id="_x0000_i1029" type="#_x0000_t75" style="width:412.5pt;height:138.75pt">
            <v:imagedata r:id="rId9" o:title=""/>
          </v:shape>
        </w:pict>
      </w:r>
    </w:p>
    <w:p w:rsidR="00653C00" w:rsidRPr="007C1AC3" w:rsidRDefault="00653C00" w:rsidP="007C1AC3">
      <w:pPr>
        <w:spacing w:line="360" w:lineRule="auto"/>
        <w:ind w:firstLine="709"/>
        <w:jc w:val="both"/>
        <w:rPr>
          <w:color w:val="000000"/>
          <w:sz w:val="28"/>
          <w:szCs w:val="28"/>
          <w:lang w:val="uk-UA"/>
        </w:rPr>
      </w:pPr>
      <w:r w:rsidRPr="007C1AC3">
        <w:rPr>
          <w:color w:val="000000"/>
          <w:sz w:val="28"/>
          <w:szCs w:val="28"/>
          <w:lang w:val="uk-UA"/>
        </w:rPr>
        <w:t>Мал. 5. Динаміка вартості інвестиційних сертифікатів</w:t>
      </w:r>
    </w:p>
    <w:p w:rsidR="00653C00" w:rsidRPr="007C1AC3" w:rsidRDefault="00653C00" w:rsidP="007C1AC3">
      <w:pPr>
        <w:spacing w:line="360" w:lineRule="auto"/>
        <w:ind w:firstLine="709"/>
        <w:jc w:val="both"/>
        <w:rPr>
          <w:color w:val="000000"/>
          <w:sz w:val="28"/>
          <w:szCs w:val="28"/>
          <w:lang w:val="uk-UA"/>
        </w:rPr>
      </w:pPr>
    </w:p>
    <w:p w:rsidR="009109FD" w:rsidRPr="007C1AC3" w:rsidRDefault="009109FD" w:rsidP="007C1AC3">
      <w:pPr>
        <w:spacing w:line="360" w:lineRule="auto"/>
        <w:ind w:firstLine="709"/>
        <w:jc w:val="both"/>
        <w:rPr>
          <w:color w:val="000000"/>
          <w:sz w:val="28"/>
          <w:szCs w:val="28"/>
          <w:lang w:val="uk-UA"/>
        </w:rPr>
      </w:pPr>
      <w:r w:rsidRPr="007C1AC3">
        <w:rPr>
          <w:color w:val="000000"/>
          <w:sz w:val="28"/>
          <w:szCs w:val="28"/>
          <w:lang w:val="uk-UA"/>
        </w:rPr>
        <w:t>Враховуючи всі наведені вище показники, звернемося до графіку котирування акцій фонду «Синергія Бонд» (мал. 6).</w:t>
      </w:r>
    </w:p>
    <w:p w:rsidR="009109FD" w:rsidRPr="007C1AC3" w:rsidRDefault="009109FD" w:rsidP="007C1AC3">
      <w:pPr>
        <w:spacing w:line="360" w:lineRule="auto"/>
        <w:ind w:firstLine="709"/>
        <w:jc w:val="both"/>
        <w:rPr>
          <w:color w:val="000000"/>
          <w:sz w:val="28"/>
          <w:szCs w:val="28"/>
          <w:lang w:val="uk-UA"/>
        </w:rPr>
      </w:pPr>
    </w:p>
    <w:p w:rsidR="009109FD" w:rsidRPr="007C1AC3" w:rsidRDefault="00B47CF6" w:rsidP="007C1AC3">
      <w:pPr>
        <w:spacing w:line="360" w:lineRule="auto"/>
        <w:ind w:firstLine="709"/>
        <w:jc w:val="both"/>
        <w:rPr>
          <w:color w:val="000000"/>
          <w:sz w:val="28"/>
          <w:szCs w:val="28"/>
          <w:lang w:val="uk-UA"/>
        </w:rPr>
      </w:pPr>
      <w:r>
        <w:rPr>
          <w:color w:val="000000"/>
          <w:sz w:val="28"/>
          <w:szCs w:val="28"/>
          <w:lang w:val="uk-UA"/>
        </w:rPr>
        <w:pict>
          <v:shape id="_x0000_i1030" type="#_x0000_t75" style="width:285.75pt;height:212.25pt">
            <v:imagedata r:id="rId10" o:title=""/>
          </v:shape>
        </w:pict>
      </w:r>
    </w:p>
    <w:p w:rsidR="009109FD" w:rsidRPr="007C1AC3" w:rsidRDefault="009109FD" w:rsidP="007C1AC3">
      <w:pPr>
        <w:spacing w:line="360" w:lineRule="auto"/>
        <w:ind w:firstLine="709"/>
        <w:jc w:val="both"/>
        <w:rPr>
          <w:color w:val="000000"/>
          <w:sz w:val="28"/>
          <w:szCs w:val="28"/>
          <w:lang w:val="uk-UA"/>
        </w:rPr>
      </w:pPr>
      <w:r w:rsidRPr="007C1AC3">
        <w:rPr>
          <w:color w:val="000000"/>
          <w:sz w:val="28"/>
          <w:szCs w:val="28"/>
          <w:lang w:val="uk-UA"/>
        </w:rPr>
        <w:t>Мал. 6. Котирування</w:t>
      </w:r>
    </w:p>
    <w:p w:rsidR="009109FD" w:rsidRPr="007C1AC3" w:rsidRDefault="009109FD" w:rsidP="007C1AC3">
      <w:pPr>
        <w:spacing w:line="360" w:lineRule="auto"/>
        <w:ind w:firstLine="709"/>
        <w:jc w:val="both"/>
        <w:rPr>
          <w:color w:val="000000"/>
          <w:sz w:val="28"/>
          <w:szCs w:val="28"/>
          <w:lang w:val="uk-UA"/>
        </w:rPr>
      </w:pPr>
    </w:p>
    <w:p w:rsidR="009109FD" w:rsidRPr="007C1AC3" w:rsidRDefault="00777AFD" w:rsidP="007C1AC3">
      <w:pPr>
        <w:spacing w:line="360" w:lineRule="auto"/>
        <w:ind w:firstLine="709"/>
        <w:jc w:val="both"/>
        <w:rPr>
          <w:color w:val="000000"/>
          <w:sz w:val="28"/>
          <w:szCs w:val="28"/>
          <w:lang w:val="uk-UA"/>
        </w:rPr>
      </w:pPr>
      <w:r w:rsidRPr="007C1AC3">
        <w:rPr>
          <w:color w:val="000000"/>
          <w:sz w:val="28"/>
          <w:szCs w:val="28"/>
          <w:lang w:val="uk-UA"/>
        </w:rPr>
        <w:t>Як ми бачимо, після падіння, яке продовжувалось квітня 2009 року, сформувалася база, яка на початку травня дала стимул для різкого стрибка угору. Після цього, упродовж двох з половиною місяців формувалась ще одна база, яка спричинила другу хвилю зросту. Слід очікувати,</w:t>
      </w:r>
      <w:r w:rsidR="007C1AC3" w:rsidRPr="007C1AC3">
        <w:rPr>
          <w:color w:val="000000"/>
          <w:sz w:val="28"/>
          <w:szCs w:val="28"/>
          <w:lang w:val="uk-UA"/>
        </w:rPr>
        <w:t xml:space="preserve"> </w:t>
      </w:r>
      <w:r w:rsidRPr="007C1AC3">
        <w:rPr>
          <w:color w:val="000000"/>
          <w:sz w:val="28"/>
          <w:szCs w:val="28"/>
          <w:lang w:val="uk-UA"/>
        </w:rPr>
        <w:t>що після невеличкої корекції, графік знову розвернеться угору.</w:t>
      </w:r>
    </w:p>
    <w:p w:rsidR="00777AFD" w:rsidRPr="007C1AC3" w:rsidRDefault="00777AFD" w:rsidP="007C1AC3">
      <w:pPr>
        <w:spacing w:line="360" w:lineRule="auto"/>
        <w:ind w:firstLine="709"/>
        <w:jc w:val="both"/>
        <w:rPr>
          <w:color w:val="000000"/>
          <w:sz w:val="28"/>
          <w:szCs w:val="28"/>
          <w:lang w:val="uk-UA"/>
        </w:rPr>
      </w:pPr>
      <w:r w:rsidRPr="007C1AC3">
        <w:rPr>
          <w:color w:val="000000"/>
          <w:sz w:val="28"/>
          <w:szCs w:val="28"/>
          <w:lang w:val="uk-UA"/>
        </w:rPr>
        <w:t>У другому розділі було приділено увагу фундаментальному та технічному аналізу діяльності фонду «Синергія Бонд», який здійснювався за допомогою таблиць та графіків, що якомога ясніше розкривали сутність нинішнього положення фонду на ринку.</w:t>
      </w:r>
    </w:p>
    <w:p w:rsidR="00777AFD" w:rsidRPr="007C1AC3" w:rsidRDefault="00777AFD" w:rsidP="007C1AC3">
      <w:pPr>
        <w:spacing w:line="360" w:lineRule="auto"/>
        <w:ind w:firstLine="709"/>
        <w:jc w:val="both"/>
        <w:rPr>
          <w:color w:val="000000"/>
          <w:sz w:val="28"/>
          <w:szCs w:val="28"/>
          <w:lang w:val="uk-UA"/>
        </w:rPr>
      </w:pPr>
      <w:r w:rsidRPr="007C1AC3">
        <w:rPr>
          <w:color w:val="000000"/>
          <w:sz w:val="28"/>
          <w:szCs w:val="28"/>
          <w:lang w:val="uk-UA"/>
        </w:rPr>
        <w:t>Враховуючи отримані результати, слід зробити наступні висновки:</w:t>
      </w:r>
    </w:p>
    <w:p w:rsidR="00777AFD" w:rsidRPr="007C1AC3" w:rsidRDefault="00777AFD" w:rsidP="007C1AC3">
      <w:pPr>
        <w:numPr>
          <w:ilvl w:val="0"/>
          <w:numId w:val="13"/>
        </w:numPr>
        <w:spacing w:line="360" w:lineRule="auto"/>
        <w:ind w:left="0" w:firstLine="709"/>
        <w:jc w:val="both"/>
        <w:rPr>
          <w:color w:val="000000"/>
          <w:sz w:val="28"/>
          <w:szCs w:val="28"/>
          <w:lang w:val="uk-UA"/>
        </w:rPr>
      </w:pPr>
      <w:r w:rsidRPr="007C1AC3">
        <w:rPr>
          <w:color w:val="000000"/>
          <w:sz w:val="28"/>
          <w:szCs w:val="28"/>
          <w:lang w:val="uk-UA"/>
        </w:rPr>
        <w:t>Вартість чистих активів фонду збільшилась з початку діяльності на +87,8</w:t>
      </w:r>
      <w:r w:rsidR="007C1AC3" w:rsidRPr="007C1AC3">
        <w:rPr>
          <w:color w:val="000000"/>
          <w:sz w:val="28"/>
          <w:szCs w:val="28"/>
          <w:lang w:val="uk-UA"/>
        </w:rPr>
        <w:t>1%</w:t>
      </w:r>
      <w:r w:rsidRPr="007C1AC3">
        <w:rPr>
          <w:color w:val="000000"/>
          <w:sz w:val="28"/>
          <w:szCs w:val="28"/>
          <w:lang w:val="uk-UA"/>
        </w:rPr>
        <w:t>, за останній рік на +18,75 и є додатною. Очікується подальше продовження цієї тенденції.</w:t>
      </w:r>
    </w:p>
    <w:p w:rsidR="00777AFD" w:rsidRPr="007C1AC3" w:rsidRDefault="00777AFD" w:rsidP="007C1AC3">
      <w:pPr>
        <w:numPr>
          <w:ilvl w:val="0"/>
          <w:numId w:val="13"/>
        </w:numPr>
        <w:spacing w:line="360" w:lineRule="auto"/>
        <w:ind w:left="0" w:firstLine="709"/>
        <w:jc w:val="both"/>
        <w:rPr>
          <w:color w:val="000000"/>
          <w:sz w:val="28"/>
          <w:szCs w:val="28"/>
          <w:lang w:val="uk-UA"/>
        </w:rPr>
      </w:pPr>
      <w:r w:rsidRPr="007C1AC3">
        <w:rPr>
          <w:color w:val="000000"/>
          <w:sz w:val="28"/>
          <w:szCs w:val="28"/>
          <w:lang w:val="uk-UA"/>
        </w:rPr>
        <w:t>Зміна вартості паю є прямо пропорційною величиною вартості чистих активів і також має тенденцію до поступового часткового зростання.</w:t>
      </w:r>
    </w:p>
    <w:p w:rsidR="00777AFD" w:rsidRPr="007C1AC3" w:rsidRDefault="00777AFD" w:rsidP="007C1AC3">
      <w:pPr>
        <w:numPr>
          <w:ilvl w:val="0"/>
          <w:numId w:val="13"/>
        </w:numPr>
        <w:spacing w:line="360" w:lineRule="auto"/>
        <w:ind w:left="0" w:firstLine="709"/>
        <w:jc w:val="both"/>
        <w:rPr>
          <w:color w:val="000000"/>
          <w:sz w:val="28"/>
          <w:szCs w:val="28"/>
          <w:lang w:val="uk-UA"/>
        </w:rPr>
      </w:pPr>
      <w:r w:rsidRPr="007C1AC3">
        <w:rPr>
          <w:color w:val="000000"/>
          <w:sz w:val="28"/>
          <w:szCs w:val="28"/>
          <w:lang w:val="uk-UA"/>
        </w:rPr>
        <w:t>Згідно результатів динаміки інвестиційних фондів на ринку, показники фонду «Синергія Бонд» є оптимальними для обраної стратегії. Середньорічна дохідність фонду складає 14,</w:t>
      </w:r>
      <w:r w:rsidR="007C1AC3" w:rsidRPr="007C1AC3">
        <w:rPr>
          <w:color w:val="000000"/>
          <w:sz w:val="28"/>
          <w:szCs w:val="28"/>
          <w:lang w:val="uk-UA"/>
        </w:rPr>
        <w:t>6%</w:t>
      </w:r>
      <w:r w:rsidRPr="007C1AC3">
        <w:rPr>
          <w:color w:val="000000"/>
          <w:sz w:val="28"/>
          <w:szCs w:val="28"/>
          <w:lang w:val="uk-UA"/>
        </w:rPr>
        <w:t>.</w:t>
      </w:r>
    </w:p>
    <w:p w:rsidR="009109FD" w:rsidRPr="007C1AC3" w:rsidRDefault="00777AFD" w:rsidP="007C1AC3">
      <w:pPr>
        <w:numPr>
          <w:ilvl w:val="0"/>
          <w:numId w:val="13"/>
        </w:numPr>
        <w:spacing w:line="360" w:lineRule="auto"/>
        <w:ind w:left="0" w:firstLine="709"/>
        <w:jc w:val="both"/>
        <w:rPr>
          <w:color w:val="000000"/>
          <w:sz w:val="28"/>
          <w:szCs w:val="28"/>
          <w:lang w:val="uk-UA"/>
        </w:rPr>
      </w:pPr>
      <w:r w:rsidRPr="007C1AC3">
        <w:rPr>
          <w:color w:val="000000"/>
          <w:sz w:val="28"/>
          <w:szCs w:val="28"/>
          <w:lang w:val="uk-UA"/>
        </w:rPr>
        <w:t>Враховуючи всі вищезазначені показники та тенденції, слід зробити висновок про подальше зростання котирування активів інвестиційного фонду «Синергія Бонд» на ринку.</w:t>
      </w:r>
    </w:p>
    <w:p w:rsidR="00D340FB" w:rsidRDefault="00D340FB" w:rsidP="007C1AC3">
      <w:pPr>
        <w:spacing w:line="360" w:lineRule="auto"/>
        <w:ind w:firstLine="709"/>
        <w:jc w:val="both"/>
        <w:rPr>
          <w:color w:val="000000"/>
          <w:sz w:val="28"/>
          <w:szCs w:val="28"/>
          <w:lang w:val="uk-UA"/>
        </w:rPr>
      </w:pPr>
    </w:p>
    <w:p w:rsidR="00777AFD" w:rsidRPr="00D340FB" w:rsidRDefault="00777AFD" w:rsidP="007C1AC3">
      <w:pPr>
        <w:spacing w:line="360" w:lineRule="auto"/>
        <w:ind w:firstLine="709"/>
        <w:jc w:val="both"/>
        <w:rPr>
          <w:b/>
          <w:color w:val="000000"/>
          <w:sz w:val="28"/>
          <w:szCs w:val="28"/>
          <w:lang w:val="uk-UA"/>
        </w:rPr>
      </w:pPr>
      <w:r w:rsidRPr="00D340FB">
        <w:rPr>
          <w:b/>
          <w:color w:val="000000"/>
          <w:sz w:val="28"/>
          <w:szCs w:val="28"/>
          <w:lang w:val="uk-UA"/>
        </w:rPr>
        <w:t>3. Портфель інвестиційного фонду «Синергія Бонд»</w:t>
      </w:r>
    </w:p>
    <w:p w:rsidR="00777AFD" w:rsidRPr="007C1AC3" w:rsidRDefault="00777AFD" w:rsidP="007C1AC3">
      <w:pPr>
        <w:spacing w:line="360" w:lineRule="auto"/>
        <w:ind w:firstLine="709"/>
        <w:jc w:val="both"/>
        <w:rPr>
          <w:color w:val="000000"/>
          <w:sz w:val="28"/>
          <w:szCs w:val="28"/>
          <w:lang w:val="uk-UA"/>
        </w:rPr>
      </w:pPr>
    </w:p>
    <w:p w:rsidR="00DE7EBB" w:rsidRDefault="00DE7EBB" w:rsidP="007C1AC3">
      <w:pPr>
        <w:spacing w:line="360" w:lineRule="auto"/>
        <w:ind w:firstLine="709"/>
        <w:jc w:val="both"/>
        <w:rPr>
          <w:color w:val="000000"/>
          <w:sz w:val="28"/>
          <w:szCs w:val="28"/>
          <w:lang w:val="uk-UA"/>
        </w:rPr>
      </w:pPr>
      <w:r w:rsidRPr="007C1AC3">
        <w:rPr>
          <w:color w:val="000000"/>
          <w:sz w:val="28"/>
          <w:szCs w:val="28"/>
          <w:lang w:val="uk-UA"/>
        </w:rPr>
        <w:t xml:space="preserve">Об’єктами інвестування Фонду є цінні папери з фіксованим доходом, а саме: державні, муніципальні, корпоративні та іпотечні облігації, а також інструменти грошового ринку. Таким чином, </w:t>
      </w:r>
      <w:r w:rsidR="00CC7C5E" w:rsidRPr="007C1AC3">
        <w:rPr>
          <w:color w:val="000000"/>
          <w:sz w:val="28"/>
          <w:szCs w:val="28"/>
          <w:lang w:val="uk-UA"/>
        </w:rPr>
        <w:t>портфель інвестиційного фонду «Синергія Бонд» на другий квартал 2009 року виглядає наступним чином (табл. 7):</w:t>
      </w:r>
    </w:p>
    <w:p w:rsidR="006D022C" w:rsidRDefault="006D022C" w:rsidP="007C1AC3">
      <w:pPr>
        <w:spacing w:line="360" w:lineRule="auto"/>
        <w:ind w:firstLine="709"/>
        <w:jc w:val="both"/>
        <w:rPr>
          <w:color w:val="000000"/>
          <w:sz w:val="28"/>
          <w:szCs w:val="28"/>
          <w:lang w:val="uk-UA"/>
        </w:rPr>
      </w:pPr>
    </w:p>
    <w:p w:rsidR="006D022C" w:rsidRPr="007C1AC3" w:rsidRDefault="006D022C" w:rsidP="006D022C">
      <w:pPr>
        <w:spacing w:line="360" w:lineRule="auto"/>
        <w:ind w:firstLine="709"/>
        <w:jc w:val="both"/>
        <w:rPr>
          <w:color w:val="000000"/>
          <w:sz w:val="28"/>
          <w:szCs w:val="28"/>
          <w:lang w:val="uk-UA"/>
        </w:rPr>
      </w:pPr>
      <w:r w:rsidRPr="007C1AC3">
        <w:rPr>
          <w:color w:val="000000"/>
          <w:sz w:val="28"/>
          <w:szCs w:val="28"/>
          <w:lang w:val="uk-UA"/>
        </w:rPr>
        <w:t>Табл. 7. Портфель інвестиційного фонду «Синергія Бонд» на другий квартал 2009 року</w:t>
      </w:r>
    </w:p>
    <w:tbl>
      <w:tblPr>
        <w:tblStyle w:val="1"/>
        <w:tblW w:w="9297" w:type="dxa"/>
        <w:jc w:val="center"/>
        <w:tblLook w:val="0000" w:firstRow="0" w:lastRow="0" w:firstColumn="0" w:lastColumn="0" w:noHBand="0" w:noVBand="0"/>
      </w:tblPr>
      <w:tblGrid>
        <w:gridCol w:w="723"/>
        <w:gridCol w:w="3637"/>
        <w:gridCol w:w="1140"/>
        <w:gridCol w:w="1140"/>
        <w:gridCol w:w="1404"/>
        <w:gridCol w:w="1253"/>
      </w:tblGrid>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 з/п</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Назва емітента</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Назва цінного паперу</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Кількість цінних паперів</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Номінальна вартість, грн.</w:t>
            </w:r>
          </w:p>
        </w:tc>
        <w:tc>
          <w:tcPr>
            <w:tcW w:w="674"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Оцінна вартість, грн.</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1</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ВАТ «Дрогобицький долотний завод» серія А</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235</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235 000,00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232 372,7000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2</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ВАТ «Луцький автомобільний завод» серія А</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356</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356 000,00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280 875,1000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ВАТ «Ощадбанк» серія В</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300</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300 000,00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237 711,0000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ВАТ «ЕК «Кіровоградобленерго» серія В</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300</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300 000,00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305 256,0000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5</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Державний міжнародний аеропорт «Бориспіль» серія</w:t>
            </w:r>
            <w:r w:rsidR="007C1AC3" w:rsidRPr="007C1AC3">
              <w:rPr>
                <w:color w:val="000000"/>
                <w:sz w:val="20"/>
                <w:szCs w:val="22"/>
                <w:lang w:val="uk-UA"/>
              </w:rPr>
              <w:t>-3-А</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430</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430 000,00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387 589,1000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6</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ЗАТ «Компанія «Райз» серія А</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410</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410 000,00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398 433,9000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7</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ЗАТ «НЗСТ «ЮТіСТ» серія А</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351</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351 000,00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30 989,7900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8</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ЗАТ «АБ «Київська Русь» серія В</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299</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299 000,00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301 514,5900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9</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СК «Універсальна» серія В</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320</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320 000,00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332 428,8000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10</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ТОВ «Агропродукт» серія А</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78</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78 000,00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0,0000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11</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ТОВ «Квіза-Трейд» серія С</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377</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377 000,00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389 271,3500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12</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ТОВ «Юнігран» серія D</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368</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368 000,00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377 505,4400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13</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Міністерство фінансів України 01.04.09</w:t>
            </w:r>
            <w:r w:rsidR="007C1AC3" w:rsidRPr="007C1AC3">
              <w:rPr>
                <w:color w:val="000000"/>
                <w:sz w:val="20"/>
                <w:szCs w:val="22"/>
                <w:lang w:val="uk-UA"/>
              </w:rPr>
              <w:t> р</w:t>
            </w:r>
            <w:r w:rsidRPr="007C1AC3">
              <w:rPr>
                <w:color w:val="000000"/>
                <w:sz w:val="20"/>
                <w:szCs w:val="22"/>
                <w:lang w:val="uk-UA"/>
              </w:rPr>
              <w:t>.</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413</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413 000,00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419 430,4100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14</w:t>
            </w:r>
          </w:p>
        </w:tc>
        <w:tc>
          <w:tcPr>
            <w:tcW w:w="1956"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Міністерство фінансів України 02.09.09</w:t>
            </w:r>
            <w:r w:rsidR="007C1AC3" w:rsidRPr="007C1AC3">
              <w:rPr>
                <w:color w:val="000000"/>
                <w:sz w:val="20"/>
                <w:szCs w:val="22"/>
                <w:lang w:val="uk-UA"/>
              </w:rPr>
              <w:t> р</w:t>
            </w:r>
            <w:r w:rsidRPr="007C1AC3">
              <w:rPr>
                <w:color w:val="000000"/>
                <w:sz w:val="20"/>
                <w:szCs w:val="22"/>
                <w:lang w:val="uk-UA"/>
              </w:rPr>
              <w:t>.</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облігація</w:t>
            </w:r>
          </w:p>
        </w:tc>
        <w:tc>
          <w:tcPr>
            <w:tcW w:w="613"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470</w:t>
            </w:r>
          </w:p>
        </w:tc>
        <w:tc>
          <w:tcPr>
            <w:tcW w:w="755"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470 000,00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color w:val="000000"/>
                <w:sz w:val="20"/>
                <w:szCs w:val="22"/>
                <w:lang w:val="uk-UA"/>
              </w:rPr>
              <w:t>440 719,0000</w:t>
            </w:r>
          </w:p>
        </w:tc>
      </w:tr>
      <w:tr w:rsidR="007C1AC3" w:rsidRPr="007C1AC3" w:rsidTr="006D022C">
        <w:trPr>
          <w:cantSplit/>
          <w:jc w:val="center"/>
        </w:trPr>
        <w:tc>
          <w:tcPr>
            <w:tcW w:w="389" w:type="pct"/>
          </w:tcPr>
          <w:p w:rsidR="002605D2" w:rsidRPr="007C1AC3" w:rsidRDefault="002605D2" w:rsidP="007C1AC3">
            <w:pPr>
              <w:spacing w:line="360" w:lineRule="auto"/>
              <w:jc w:val="both"/>
              <w:rPr>
                <w:color w:val="000000"/>
                <w:sz w:val="20"/>
                <w:szCs w:val="22"/>
                <w:lang w:val="uk-UA"/>
              </w:rPr>
            </w:pPr>
            <w:r w:rsidRPr="007C1AC3">
              <w:rPr>
                <w:color w:val="000000"/>
                <w:sz w:val="20"/>
                <w:szCs w:val="22"/>
                <w:lang w:val="uk-UA"/>
              </w:rPr>
              <w:t>Разом</w:t>
            </w:r>
          </w:p>
        </w:tc>
        <w:tc>
          <w:tcPr>
            <w:tcW w:w="1956" w:type="pct"/>
          </w:tcPr>
          <w:p w:rsidR="002605D2" w:rsidRPr="007C1AC3" w:rsidRDefault="002605D2" w:rsidP="007C1AC3">
            <w:pPr>
              <w:spacing w:line="360" w:lineRule="auto"/>
              <w:jc w:val="both"/>
              <w:rPr>
                <w:color w:val="000000"/>
                <w:sz w:val="20"/>
                <w:szCs w:val="22"/>
                <w:lang w:val="uk-UA"/>
              </w:rPr>
            </w:pPr>
          </w:p>
        </w:tc>
        <w:tc>
          <w:tcPr>
            <w:tcW w:w="613" w:type="pct"/>
          </w:tcPr>
          <w:p w:rsidR="002605D2" w:rsidRPr="007C1AC3" w:rsidRDefault="002605D2" w:rsidP="007C1AC3">
            <w:pPr>
              <w:spacing w:line="360" w:lineRule="auto"/>
              <w:jc w:val="both"/>
              <w:rPr>
                <w:color w:val="000000"/>
                <w:sz w:val="20"/>
                <w:szCs w:val="22"/>
                <w:lang w:val="uk-UA"/>
              </w:rPr>
            </w:pPr>
          </w:p>
        </w:tc>
        <w:tc>
          <w:tcPr>
            <w:tcW w:w="613" w:type="pct"/>
          </w:tcPr>
          <w:p w:rsidR="002605D2" w:rsidRPr="007C1AC3" w:rsidRDefault="002605D2" w:rsidP="007C1AC3">
            <w:pPr>
              <w:spacing w:line="360" w:lineRule="auto"/>
              <w:jc w:val="both"/>
              <w:rPr>
                <w:color w:val="000000"/>
                <w:sz w:val="20"/>
                <w:szCs w:val="22"/>
                <w:lang w:val="uk-UA"/>
              </w:rPr>
            </w:pPr>
          </w:p>
        </w:tc>
        <w:tc>
          <w:tcPr>
            <w:tcW w:w="755"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bCs/>
                <w:color w:val="000000"/>
                <w:sz w:val="20"/>
                <w:szCs w:val="22"/>
                <w:lang w:val="uk-UA"/>
              </w:rPr>
              <w:t>4 707 000,00</w:t>
            </w:r>
          </w:p>
        </w:tc>
        <w:tc>
          <w:tcPr>
            <w:tcW w:w="674" w:type="pct"/>
          </w:tcPr>
          <w:p w:rsidR="002605D2" w:rsidRPr="007C1AC3" w:rsidRDefault="002605D2" w:rsidP="007C1AC3">
            <w:pPr>
              <w:autoSpaceDE w:val="0"/>
              <w:autoSpaceDN w:val="0"/>
              <w:adjustRightInd w:val="0"/>
              <w:spacing w:line="360" w:lineRule="auto"/>
              <w:jc w:val="both"/>
              <w:rPr>
                <w:color w:val="000000"/>
                <w:sz w:val="20"/>
                <w:szCs w:val="22"/>
                <w:lang w:val="uk-UA"/>
              </w:rPr>
            </w:pPr>
            <w:r w:rsidRPr="007C1AC3">
              <w:rPr>
                <w:bCs/>
                <w:color w:val="000000"/>
                <w:sz w:val="20"/>
                <w:szCs w:val="22"/>
                <w:lang w:val="uk-UA"/>
              </w:rPr>
              <w:t>4 134 097,18</w:t>
            </w:r>
          </w:p>
        </w:tc>
      </w:tr>
    </w:tbl>
    <w:p w:rsidR="00270912" w:rsidRPr="007C1AC3" w:rsidRDefault="00270912" w:rsidP="007C1AC3">
      <w:pPr>
        <w:spacing w:line="360" w:lineRule="auto"/>
        <w:ind w:firstLine="709"/>
        <w:jc w:val="both"/>
        <w:rPr>
          <w:color w:val="000000"/>
          <w:sz w:val="28"/>
          <w:szCs w:val="28"/>
          <w:lang w:val="uk-UA"/>
        </w:rPr>
      </w:pPr>
    </w:p>
    <w:p w:rsidR="002605D2" w:rsidRPr="007C1AC3" w:rsidRDefault="002605D2" w:rsidP="007C1AC3">
      <w:pPr>
        <w:spacing w:line="360" w:lineRule="auto"/>
        <w:ind w:firstLine="709"/>
        <w:jc w:val="both"/>
        <w:rPr>
          <w:color w:val="000000"/>
          <w:sz w:val="28"/>
          <w:szCs w:val="28"/>
          <w:lang w:val="uk-UA"/>
        </w:rPr>
      </w:pPr>
      <w:r w:rsidRPr="007C1AC3">
        <w:rPr>
          <w:color w:val="000000"/>
          <w:sz w:val="28"/>
          <w:szCs w:val="28"/>
          <w:lang w:val="uk-UA"/>
        </w:rPr>
        <w:t>Структура активів Фонду передбачає розміщення залучених коштів у наступних пропорціях:</w:t>
      </w:r>
    </w:p>
    <w:p w:rsidR="002605D2" w:rsidRPr="007C1AC3" w:rsidRDefault="002605D2" w:rsidP="007C1AC3">
      <w:pPr>
        <w:numPr>
          <w:ilvl w:val="0"/>
          <w:numId w:val="15"/>
        </w:numPr>
        <w:spacing w:line="360" w:lineRule="auto"/>
        <w:ind w:left="0" w:firstLine="709"/>
        <w:jc w:val="both"/>
        <w:rPr>
          <w:color w:val="000000"/>
          <w:sz w:val="28"/>
          <w:szCs w:val="28"/>
          <w:lang w:val="uk-UA"/>
        </w:rPr>
      </w:pPr>
      <w:r w:rsidRPr="007C1AC3">
        <w:rPr>
          <w:color w:val="000000"/>
          <w:sz w:val="28"/>
          <w:szCs w:val="28"/>
          <w:lang w:val="uk-UA"/>
        </w:rPr>
        <w:t xml:space="preserve">державні облігації </w:t>
      </w:r>
      <w:r w:rsidR="007C1AC3" w:rsidRPr="007C1AC3">
        <w:rPr>
          <w:color w:val="000000"/>
          <w:sz w:val="28"/>
          <w:szCs w:val="28"/>
          <w:lang w:val="uk-UA"/>
        </w:rPr>
        <w:t xml:space="preserve">– </w:t>
      </w:r>
      <w:r w:rsidRPr="007C1AC3">
        <w:rPr>
          <w:color w:val="000000"/>
          <w:sz w:val="28"/>
          <w:szCs w:val="28"/>
          <w:lang w:val="uk-UA"/>
        </w:rPr>
        <w:t>до 5</w:t>
      </w:r>
      <w:r w:rsidR="007C1AC3" w:rsidRPr="007C1AC3">
        <w:rPr>
          <w:color w:val="000000"/>
          <w:sz w:val="28"/>
          <w:szCs w:val="28"/>
          <w:lang w:val="uk-UA"/>
        </w:rPr>
        <w:t>0%</w:t>
      </w:r>
      <w:r w:rsidRPr="007C1AC3">
        <w:rPr>
          <w:color w:val="000000"/>
          <w:sz w:val="28"/>
          <w:szCs w:val="28"/>
          <w:lang w:val="uk-UA"/>
        </w:rPr>
        <w:t>;</w:t>
      </w:r>
    </w:p>
    <w:p w:rsidR="002605D2" w:rsidRPr="007C1AC3" w:rsidRDefault="002605D2" w:rsidP="007C1AC3">
      <w:pPr>
        <w:numPr>
          <w:ilvl w:val="0"/>
          <w:numId w:val="15"/>
        </w:numPr>
        <w:spacing w:line="360" w:lineRule="auto"/>
        <w:ind w:left="0" w:firstLine="709"/>
        <w:jc w:val="both"/>
        <w:rPr>
          <w:color w:val="000000"/>
          <w:sz w:val="28"/>
          <w:szCs w:val="28"/>
          <w:lang w:val="uk-UA"/>
        </w:rPr>
      </w:pPr>
      <w:r w:rsidRPr="007C1AC3">
        <w:rPr>
          <w:color w:val="000000"/>
          <w:sz w:val="28"/>
          <w:szCs w:val="28"/>
          <w:lang w:val="uk-UA"/>
        </w:rPr>
        <w:t xml:space="preserve">муніципальні облігації </w:t>
      </w:r>
      <w:r w:rsidR="007C1AC3" w:rsidRPr="007C1AC3">
        <w:rPr>
          <w:color w:val="000000"/>
          <w:sz w:val="28"/>
          <w:szCs w:val="28"/>
          <w:lang w:val="uk-UA"/>
        </w:rPr>
        <w:t xml:space="preserve">– </w:t>
      </w:r>
      <w:r w:rsidRPr="007C1AC3">
        <w:rPr>
          <w:color w:val="000000"/>
          <w:sz w:val="28"/>
          <w:szCs w:val="28"/>
          <w:lang w:val="uk-UA"/>
        </w:rPr>
        <w:t>до 5</w:t>
      </w:r>
      <w:r w:rsidR="007C1AC3" w:rsidRPr="007C1AC3">
        <w:rPr>
          <w:color w:val="000000"/>
          <w:sz w:val="28"/>
          <w:szCs w:val="28"/>
          <w:lang w:val="uk-UA"/>
        </w:rPr>
        <w:t>0%</w:t>
      </w:r>
      <w:r w:rsidRPr="007C1AC3">
        <w:rPr>
          <w:color w:val="000000"/>
          <w:sz w:val="28"/>
          <w:szCs w:val="28"/>
          <w:lang w:val="uk-UA"/>
        </w:rPr>
        <w:t>;</w:t>
      </w:r>
    </w:p>
    <w:p w:rsidR="002605D2" w:rsidRPr="007C1AC3" w:rsidRDefault="002605D2" w:rsidP="007C1AC3">
      <w:pPr>
        <w:numPr>
          <w:ilvl w:val="0"/>
          <w:numId w:val="15"/>
        </w:numPr>
        <w:spacing w:line="360" w:lineRule="auto"/>
        <w:ind w:left="0" w:firstLine="709"/>
        <w:jc w:val="both"/>
        <w:rPr>
          <w:color w:val="000000"/>
          <w:sz w:val="28"/>
          <w:szCs w:val="28"/>
          <w:lang w:val="uk-UA"/>
        </w:rPr>
      </w:pPr>
      <w:r w:rsidRPr="007C1AC3">
        <w:rPr>
          <w:color w:val="000000"/>
          <w:sz w:val="28"/>
          <w:szCs w:val="28"/>
          <w:lang w:val="uk-UA"/>
        </w:rPr>
        <w:t xml:space="preserve">корпоративні облігації </w:t>
      </w:r>
      <w:r w:rsidR="007C1AC3" w:rsidRPr="007C1AC3">
        <w:rPr>
          <w:color w:val="000000"/>
          <w:sz w:val="28"/>
          <w:szCs w:val="28"/>
          <w:lang w:val="uk-UA"/>
        </w:rPr>
        <w:t xml:space="preserve">– </w:t>
      </w:r>
      <w:r w:rsidRPr="007C1AC3">
        <w:rPr>
          <w:color w:val="000000"/>
          <w:sz w:val="28"/>
          <w:szCs w:val="28"/>
          <w:lang w:val="uk-UA"/>
        </w:rPr>
        <w:t>до 8</w:t>
      </w:r>
      <w:r w:rsidR="007C1AC3" w:rsidRPr="007C1AC3">
        <w:rPr>
          <w:color w:val="000000"/>
          <w:sz w:val="28"/>
          <w:szCs w:val="28"/>
          <w:lang w:val="uk-UA"/>
        </w:rPr>
        <w:t>0%</w:t>
      </w:r>
      <w:r w:rsidRPr="007C1AC3">
        <w:rPr>
          <w:color w:val="000000"/>
          <w:sz w:val="28"/>
          <w:szCs w:val="28"/>
          <w:lang w:val="uk-UA"/>
        </w:rPr>
        <w:t>;</w:t>
      </w:r>
    </w:p>
    <w:p w:rsidR="002605D2" w:rsidRPr="007C1AC3" w:rsidRDefault="002605D2" w:rsidP="007C1AC3">
      <w:pPr>
        <w:numPr>
          <w:ilvl w:val="0"/>
          <w:numId w:val="15"/>
        </w:numPr>
        <w:spacing w:line="360" w:lineRule="auto"/>
        <w:ind w:left="0" w:firstLine="709"/>
        <w:jc w:val="both"/>
        <w:rPr>
          <w:color w:val="000000"/>
          <w:sz w:val="28"/>
          <w:szCs w:val="28"/>
          <w:lang w:val="uk-UA"/>
        </w:rPr>
      </w:pPr>
      <w:r w:rsidRPr="007C1AC3">
        <w:rPr>
          <w:color w:val="000000"/>
          <w:sz w:val="28"/>
          <w:szCs w:val="28"/>
          <w:lang w:val="uk-UA"/>
        </w:rPr>
        <w:t xml:space="preserve">іпотечні облігації </w:t>
      </w:r>
      <w:r w:rsidR="007C1AC3" w:rsidRPr="007C1AC3">
        <w:rPr>
          <w:color w:val="000000"/>
          <w:sz w:val="28"/>
          <w:szCs w:val="28"/>
          <w:lang w:val="uk-UA"/>
        </w:rPr>
        <w:t xml:space="preserve">– </w:t>
      </w:r>
      <w:r w:rsidRPr="007C1AC3">
        <w:rPr>
          <w:color w:val="000000"/>
          <w:sz w:val="28"/>
          <w:szCs w:val="28"/>
          <w:lang w:val="uk-UA"/>
        </w:rPr>
        <w:t>до 5</w:t>
      </w:r>
      <w:r w:rsidR="007C1AC3" w:rsidRPr="007C1AC3">
        <w:rPr>
          <w:color w:val="000000"/>
          <w:sz w:val="28"/>
          <w:szCs w:val="28"/>
          <w:lang w:val="uk-UA"/>
        </w:rPr>
        <w:t>0%</w:t>
      </w:r>
      <w:r w:rsidRPr="007C1AC3">
        <w:rPr>
          <w:color w:val="000000"/>
          <w:sz w:val="28"/>
          <w:szCs w:val="28"/>
          <w:lang w:val="uk-UA"/>
        </w:rPr>
        <w:t>;</w:t>
      </w:r>
    </w:p>
    <w:p w:rsidR="002605D2" w:rsidRPr="007C1AC3" w:rsidRDefault="002605D2" w:rsidP="007C1AC3">
      <w:pPr>
        <w:numPr>
          <w:ilvl w:val="0"/>
          <w:numId w:val="15"/>
        </w:numPr>
        <w:spacing w:line="360" w:lineRule="auto"/>
        <w:ind w:left="0" w:firstLine="709"/>
        <w:jc w:val="both"/>
        <w:rPr>
          <w:color w:val="000000"/>
          <w:sz w:val="28"/>
          <w:szCs w:val="28"/>
          <w:lang w:val="uk-UA"/>
        </w:rPr>
      </w:pPr>
      <w:r w:rsidRPr="007C1AC3">
        <w:rPr>
          <w:color w:val="000000"/>
          <w:sz w:val="28"/>
          <w:szCs w:val="28"/>
          <w:lang w:val="uk-UA"/>
        </w:rPr>
        <w:t xml:space="preserve">інструменти грошового ринку </w:t>
      </w:r>
      <w:r w:rsidR="007C1AC3" w:rsidRPr="007C1AC3">
        <w:rPr>
          <w:color w:val="000000"/>
          <w:sz w:val="28"/>
          <w:szCs w:val="28"/>
          <w:lang w:val="uk-UA"/>
        </w:rPr>
        <w:t xml:space="preserve">– </w:t>
      </w:r>
      <w:r w:rsidRPr="007C1AC3">
        <w:rPr>
          <w:color w:val="000000"/>
          <w:sz w:val="28"/>
          <w:szCs w:val="28"/>
          <w:lang w:val="uk-UA"/>
        </w:rPr>
        <w:t>до 3</w:t>
      </w:r>
      <w:r w:rsidR="007C1AC3" w:rsidRPr="007C1AC3">
        <w:rPr>
          <w:color w:val="000000"/>
          <w:sz w:val="28"/>
          <w:szCs w:val="28"/>
          <w:lang w:val="uk-UA"/>
        </w:rPr>
        <w:t>0%</w:t>
      </w:r>
      <w:r w:rsidRPr="007C1AC3">
        <w:rPr>
          <w:color w:val="000000"/>
          <w:sz w:val="28"/>
          <w:szCs w:val="28"/>
          <w:lang w:val="uk-UA"/>
        </w:rPr>
        <w:t>.</w:t>
      </w:r>
    </w:p>
    <w:p w:rsidR="002605D2" w:rsidRPr="007C1AC3" w:rsidRDefault="002605D2" w:rsidP="007C1AC3">
      <w:pPr>
        <w:spacing w:line="360" w:lineRule="auto"/>
        <w:ind w:firstLine="709"/>
        <w:jc w:val="both"/>
        <w:rPr>
          <w:color w:val="000000"/>
          <w:sz w:val="28"/>
          <w:szCs w:val="28"/>
          <w:lang w:val="uk-UA"/>
        </w:rPr>
      </w:pPr>
      <w:r w:rsidRPr="007C1AC3">
        <w:rPr>
          <w:color w:val="000000"/>
          <w:sz w:val="28"/>
          <w:szCs w:val="28"/>
          <w:lang w:val="uk-UA"/>
        </w:rPr>
        <w:t>У цінні папери одного емітента (крім цінних паперів, погашення та отримання доходу за якими гарантовано Кабінетом Міністрів України) не буде інвестовано більш ніж 1</w:t>
      </w:r>
      <w:r w:rsidR="007C1AC3" w:rsidRPr="007C1AC3">
        <w:rPr>
          <w:color w:val="000000"/>
          <w:sz w:val="28"/>
          <w:szCs w:val="28"/>
          <w:lang w:val="uk-UA"/>
        </w:rPr>
        <w:t>0%</w:t>
      </w:r>
      <w:r w:rsidRPr="007C1AC3">
        <w:rPr>
          <w:color w:val="000000"/>
          <w:sz w:val="28"/>
          <w:szCs w:val="28"/>
          <w:lang w:val="uk-UA"/>
        </w:rPr>
        <w:t xml:space="preserve"> вартості чистих активів Фонду, що дозволить досягти значної диверсифікації інвестиційного портфелю Фонду, зменшивши його власні ризики.</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За перший квартал 2009 року доходність фонду «Синергія Бонд» склала -3,8</w:t>
      </w:r>
      <w:r w:rsidR="007C1AC3" w:rsidRPr="007C1AC3">
        <w:rPr>
          <w:color w:val="000000"/>
          <w:sz w:val="28"/>
          <w:szCs w:val="28"/>
          <w:lang w:val="uk-UA"/>
        </w:rPr>
        <w:t>5%</w:t>
      </w:r>
      <w:r w:rsidRPr="007C1AC3">
        <w:rPr>
          <w:color w:val="000000"/>
          <w:sz w:val="28"/>
          <w:szCs w:val="28"/>
          <w:lang w:val="uk-UA"/>
        </w:rPr>
        <w:t>. Головним чином це було зумовлено списанням заборгованості за облігаціями «Нікопольського заводу сталевих труб «ЮТіСТ», який у грудні 2008 року через суд ініціював процедуру своєї санації. Внаслідок цього, середньорічна доходність з початку 2009 року знизилась на 193 базисних пункти, і на кінець першого кварталу склала 11,7</w:t>
      </w:r>
      <w:r w:rsidR="007C1AC3" w:rsidRPr="007C1AC3">
        <w:rPr>
          <w:color w:val="000000"/>
          <w:sz w:val="28"/>
          <w:szCs w:val="28"/>
          <w:lang w:val="uk-UA"/>
        </w:rPr>
        <w:t>1%</w:t>
      </w:r>
      <w:r w:rsidRPr="007C1AC3">
        <w:rPr>
          <w:color w:val="000000"/>
          <w:sz w:val="28"/>
          <w:szCs w:val="28"/>
          <w:lang w:val="uk-UA"/>
        </w:rPr>
        <w:t>. За цей час індекс корпоративних облігацій KINBOND зріс на 3,4</w:t>
      </w:r>
      <w:r w:rsidR="007C1AC3" w:rsidRPr="007C1AC3">
        <w:rPr>
          <w:color w:val="000000"/>
          <w:sz w:val="28"/>
          <w:szCs w:val="28"/>
          <w:lang w:val="uk-UA"/>
        </w:rPr>
        <w:t>1%</w:t>
      </w:r>
      <w:r w:rsidRPr="007C1AC3">
        <w:rPr>
          <w:color w:val="000000"/>
          <w:sz w:val="28"/>
          <w:szCs w:val="28"/>
          <w:lang w:val="uk-UA"/>
        </w:rPr>
        <w:t>.</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У першому кварталі до портфелю було придбано державні облігації (22400) з доходністю до погашення 3</w:t>
      </w:r>
      <w:r w:rsidR="007C1AC3" w:rsidRPr="007C1AC3">
        <w:rPr>
          <w:color w:val="000000"/>
          <w:sz w:val="28"/>
          <w:szCs w:val="28"/>
          <w:lang w:val="uk-UA"/>
        </w:rPr>
        <w:t>2%</w:t>
      </w:r>
      <w:r w:rsidRPr="007C1AC3">
        <w:rPr>
          <w:color w:val="000000"/>
          <w:sz w:val="28"/>
          <w:szCs w:val="28"/>
          <w:lang w:val="uk-UA"/>
        </w:rPr>
        <w:t xml:space="preserve"> та облігації «Ощадбанку» з доходністю -20,2</w:t>
      </w:r>
      <w:r w:rsidR="007C1AC3" w:rsidRPr="007C1AC3">
        <w:rPr>
          <w:color w:val="000000"/>
          <w:sz w:val="28"/>
          <w:szCs w:val="28"/>
          <w:lang w:val="uk-UA"/>
        </w:rPr>
        <w:t>5%</w:t>
      </w:r>
      <w:r w:rsidRPr="007C1AC3">
        <w:rPr>
          <w:color w:val="000000"/>
          <w:sz w:val="28"/>
          <w:szCs w:val="28"/>
          <w:lang w:val="uk-UA"/>
        </w:rPr>
        <w:t>.</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Вартість чистих активів фонду на кінець першого кварталу склала 1 179 789,21 грн.</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За другий квартал дохідність фонду «Синергія Бонд» зросла на 15,0</w:t>
      </w:r>
      <w:r w:rsidR="007C1AC3" w:rsidRPr="007C1AC3">
        <w:rPr>
          <w:color w:val="000000"/>
          <w:sz w:val="28"/>
          <w:szCs w:val="28"/>
          <w:lang w:val="uk-UA"/>
        </w:rPr>
        <w:t>7%</w:t>
      </w:r>
      <w:r w:rsidRPr="007C1AC3">
        <w:rPr>
          <w:color w:val="000000"/>
          <w:sz w:val="28"/>
          <w:szCs w:val="28"/>
          <w:lang w:val="uk-UA"/>
        </w:rPr>
        <w:t>. Причиною такого стрімкого зростання стали облігації «Нікопольського заводу сталевих труб «ЮТіСТ», які, доречи, обумовили падіння у першому кварталі. Тільки якщо в першому кварталі фонд був змушений списувати заборгованість за цими облігаціями в наслідок процедури санації їх емітента, то вже у другому кварталі, у зв’язку з тим, що на біржі ПФТС була укладена угода з облігаціями «ЮТіСТа», фонд за формальними критеріями згідно з існуючим положенням Комісії по цінним паперам був вимушений оцінити їх за ринковою вартістю.</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Внаслідок результату за другий квартал середньорічна дохідність фонду з початку 2009 року склала 14,6</w:t>
      </w:r>
      <w:r w:rsidR="007C1AC3" w:rsidRPr="007C1AC3">
        <w:rPr>
          <w:color w:val="000000"/>
          <w:sz w:val="28"/>
          <w:szCs w:val="28"/>
          <w:lang w:val="uk-UA"/>
        </w:rPr>
        <w:t>3%</w:t>
      </w:r>
      <w:r w:rsidRPr="007C1AC3">
        <w:rPr>
          <w:color w:val="000000"/>
          <w:sz w:val="28"/>
          <w:szCs w:val="28"/>
          <w:lang w:val="uk-UA"/>
        </w:rPr>
        <w:t>, збільшившись на 292 базисні пункти. За цей же проміжок часу індекс корпоративних облігацій KINBOND виріс на 12,0</w:t>
      </w:r>
      <w:r w:rsidR="007C1AC3" w:rsidRPr="007C1AC3">
        <w:rPr>
          <w:color w:val="000000"/>
          <w:sz w:val="28"/>
          <w:szCs w:val="28"/>
          <w:lang w:val="uk-UA"/>
        </w:rPr>
        <w:t>6%</w:t>
      </w:r>
      <w:r w:rsidRPr="007C1AC3">
        <w:rPr>
          <w:color w:val="000000"/>
          <w:sz w:val="28"/>
          <w:szCs w:val="28"/>
          <w:lang w:val="uk-UA"/>
        </w:rPr>
        <w:t>. Це означає, що фонд переграв ринок на 2,5</w:t>
      </w:r>
      <w:r w:rsidR="007C1AC3" w:rsidRPr="007C1AC3">
        <w:rPr>
          <w:color w:val="000000"/>
          <w:sz w:val="28"/>
          <w:szCs w:val="28"/>
          <w:lang w:val="uk-UA"/>
        </w:rPr>
        <w:t>7%</w:t>
      </w:r>
      <w:r w:rsidRPr="007C1AC3">
        <w:rPr>
          <w:color w:val="000000"/>
          <w:sz w:val="28"/>
          <w:szCs w:val="28"/>
          <w:lang w:val="uk-UA"/>
        </w:rPr>
        <w:t>.</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У</w:t>
      </w:r>
      <w:r w:rsidR="006D022C">
        <w:rPr>
          <w:color w:val="000000"/>
          <w:sz w:val="28"/>
          <w:szCs w:val="28"/>
          <w:lang w:val="uk-UA"/>
        </w:rPr>
        <w:t xml:space="preserve"> </w:t>
      </w:r>
      <w:r w:rsidRPr="007C1AC3">
        <w:rPr>
          <w:color w:val="000000"/>
          <w:sz w:val="28"/>
          <w:szCs w:val="28"/>
          <w:lang w:val="uk-UA"/>
        </w:rPr>
        <w:t>другому кварталі фонд ніяких придбань не здійснював. В той же час, в портфелі фонду були своєчасно погашені:</w:t>
      </w:r>
    </w:p>
    <w:p w:rsidR="00DE13B1" w:rsidRPr="007C1AC3" w:rsidRDefault="00DE13B1" w:rsidP="007C1AC3">
      <w:pPr>
        <w:numPr>
          <w:ilvl w:val="0"/>
          <w:numId w:val="14"/>
        </w:numPr>
        <w:spacing w:line="360" w:lineRule="auto"/>
        <w:ind w:left="0" w:firstLine="709"/>
        <w:jc w:val="both"/>
        <w:rPr>
          <w:color w:val="000000"/>
          <w:sz w:val="28"/>
          <w:szCs w:val="28"/>
          <w:lang w:val="uk-UA"/>
        </w:rPr>
      </w:pPr>
      <w:r w:rsidRPr="007C1AC3">
        <w:rPr>
          <w:color w:val="000000"/>
          <w:sz w:val="28"/>
          <w:szCs w:val="28"/>
          <w:lang w:val="uk-UA"/>
        </w:rPr>
        <w:t>державні облігації (21006);</w:t>
      </w:r>
    </w:p>
    <w:p w:rsidR="00DE13B1" w:rsidRPr="007C1AC3" w:rsidRDefault="00DE13B1" w:rsidP="007C1AC3">
      <w:pPr>
        <w:numPr>
          <w:ilvl w:val="0"/>
          <w:numId w:val="14"/>
        </w:numPr>
        <w:spacing w:line="360" w:lineRule="auto"/>
        <w:ind w:left="0" w:firstLine="709"/>
        <w:jc w:val="both"/>
        <w:rPr>
          <w:color w:val="000000"/>
          <w:sz w:val="28"/>
          <w:szCs w:val="28"/>
          <w:lang w:val="uk-UA"/>
        </w:rPr>
      </w:pPr>
      <w:r w:rsidRPr="007C1AC3">
        <w:rPr>
          <w:color w:val="000000"/>
          <w:sz w:val="28"/>
          <w:szCs w:val="28"/>
          <w:lang w:val="uk-UA"/>
        </w:rPr>
        <w:t>облігації «Дрогобицького долотного заводу» (серія А);</w:t>
      </w:r>
    </w:p>
    <w:p w:rsidR="00DE13B1" w:rsidRPr="007C1AC3" w:rsidRDefault="00DE13B1" w:rsidP="007C1AC3">
      <w:pPr>
        <w:numPr>
          <w:ilvl w:val="0"/>
          <w:numId w:val="14"/>
        </w:numPr>
        <w:spacing w:line="360" w:lineRule="auto"/>
        <w:ind w:left="0" w:firstLine="709"/>
        <w:jc w:val="both"/>
        <w:rPr>
          <w:color w:val="000000"/>
          <w:sz w:val="28"/>
          <w:szCs w:val="28"/>
          <w:lang w:val="uk-UA"/>
        </w:rPr>
      </w:pPr>
      <w:r w:rsidRPr="007C1AC3">
        <w:rPr>
          <w:color w:val="000000"/>
          <w:sz w:val="28"/>
          <w:szCs w:val="28"/>
          <w:lang w:val="uk-UA"/>
        </w:rPr>
        <w:t>облігації «Луцького автомобільного заводу» (серія А);</w:t>
      </w:r>
    </w:p>
    <w:p w:rsidR="00DE13B1" w:rsidRPr="007C1AC3" w:rsidRDefault="00DE13B1" w:rsidP="007C1AC3">
      <w:pPr>
        <w:numPr>
          <w:ilvl w:val="0"/>
          <w:numId w:val="14"/>
        </w:numPr>
        <w:spacing w:line="360" w:lineRule="auto"/>
        <w:ind w:left="0" w:firstLine="709"/>
        <w:jc w:val="both"/>
        <w:rPr>
          <w:color w:val="000000"/>
          <w:sz w:val="28"/>
          <w:szCs w:val="28"/>
          <w:lang w:val="uk-UA"/>
        </w:rPr>
      </w:pPr>
      <w:r w:rsidRPr="007C1AC3">
        <w:rPr>
          <w:color w:val="000000"/>
          <w:sz w:val="28"/>
          <w:szCs w:val="28"/>
          <w:lang w:val="uk-UA"/>
        </w:rPr>
        <w:t>облігації АБ «Київська Русь» (серія В).</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За звітний другий квартал 2009 року з фонду було</w:t>
      </w:r>
      <w:r w:rsidR="007C1AC3" w:rsidRPr="007C1AC3">
        <w:rPr>
          <w:color w:val="000000"/>
          <w:sz w:val="28"/>
          <w:szCs w:val="28"/>
          <w:lang w:val="uk-UA"/>
        </w:rPr>
        <w:t xml:space="preserve"> </w:t>
      </w:r>
      <w:r w:rsidRPr="007C1AC3">
        <w:rPr>
          <w:color w:val="000000"/>
          <w:sz w:val="28"/>
          <w:szCs w:val="28"/>
          <w:lang w:val="uk-UA"/>
        </w:rPr>
        <w:t>вилучено коштів на загальну суму 1 493 661,98 грн.</w:t>
      </w:r>
    </w:p>
    <w:p w:rsidR="00DE13B1" w:rsidRPr="007C1AC3" w:rsidRDefault="00DE13B1" w:rsidP="007C1AC3">
      <w:pPr>
        <w:spacing w:line="360" w:lineRule="auto"/>
        <w:ind w:firstLine="709"/>
        <w:jc w:val="both"/>
        <w:rPr>
          <w:color w:val="000000"/>
          <w:sz w:val="28"/>
          <w:szCs w:val="28"/>
          <w:lang w:val="uk-UA"/>
        </w:rPr>
      </w:pPr>
      <w:r w:rsidRPr="007C1AC3">
        <w:rPr>
          <w:color w:val="000000"/>
          <w:sz w:val="28"/>
          <w:szCs w:val="28"/>
          <w:lang w:val="uk-UA"/>
        </w:rPr>
        <w:t>Вартість чистих активів фонду на кінець другого кварталу склала 3 123 290,35 грн., зменшившись на 966 498, 86 грн., або на 23,1</w:t>
      </w:r>
      <w:r w:rsidR="007C1AC3" w:rsidRPr="007C1AC3">
        <w:rPr>
          <w:color w:val="000000"/>
          <w:sz w:val="28"/>
          <w:szCs w:val="28"/>
          <w:lang w:val="uk-UA"/>
        </w:rPr>
        <w:t>2%</w:t>
      </w:r>
      <w:r w:rsidRPr="007C1AC3">
        <w:rPr>
          <w:color w:val="000000"/>
          <w:sz w:val="28"/>
          <w:szCs w:val="28"/>
          <w:lang w:val="uk-UA"/>
        </w:rPr>
        <w:t>.</w:t>
      </w:r>
    </w:p>
    <w:p w:rsidR="002605D2" w:rsidRPr="007C1AC3" w:rsidRDefault="002605D2" w:rsidP="007C1AC3">
      <w:pPr>
        <w:spacing w:line="360" w:lineRule="auto"/>
        <w:ind w:firstLine="709"/>
        <w:jc w:val="both"/>
        <w:rPr>
          <w:color w:val="000000"/>
          <w:sz w:val="28"/>
          <w:szCs w:val="28"/>
          <w:lang w:val="uk-UA"/>
        </w:rPr>
      </w:pPr>
      <w:r w:rsidRPr="007C1AC3">
        <w:rPr>
          <w:color w:val="000000"/>
          <w:sz w:val="28"/>
          <w:szCs w:val="28"/>
          <w:lang w:val="uk-UA"/>
        </w:rPr>
        <w:t xml:space="preserve">Інвестиціям </w:t>
      </w:r>
      <w:r w:rsidR="00DE13B1" w:rsidRPr="007C1AC3">
        <w:rPr>
          <w:color w:val="000000"/>
          <w:sz w:val="28"/>
          <w:szCs w:val="28"/>
          <w:lang w:val="uk-UA"/>
        </w:rPr>
        <w:t>ф</w:t>
      </w:r>
      <w:r w:rsidRPr="007C1AC3">
        <w:rPr>
          <w:color w:val="000000"/>
          <w:sz w:val="28"/>
          <w:szCs w:val="28"/>
          <w:lang w:val="uk-UA"/>
        </w:rPr>
        <w:t>онду</w:t>
      </w:r>
      <w:r w:rsidR="00DE13B1" w:rsidRPr="007C1AC3">
        <w:rPr>
          <w:color w:val="000000"/>
          <w:sz w:val="28"/>
          <w:szCs w:val="28"/>
          <w:lang w:val="uk-UA"/>
        </w:rPr>
        <w:t xml:space="preserve"> «Синергія Бонд»</w:t>
      </w:r>
      <w:r w:rsidRPr="007C1AC3">
        <w:rPr>
          <w:color w:val="000000"/>
          <w:sz w:val="28"/>
          <w:szCs w:val="28"/>
          <w:lang w:val="uk-UA"/>
        </w:rPr>
        <w:t xml:space="preserve"> притаманні наступні ризики:</w:t>
      </w:r>
    </w:p>
    <w:p w:rsidR="002605D2" w:rsidRPr="007C1AC3" w:rsidRDefault="002605D2" w:rsidP="007C1AC3">
      <w:pPr>
        <w:numPr>
          <w:ilvl w:val="0"/>
          <w:numId w:val="16"/>
        </w:numPr>
        <w:spacing w:line="360" w:lineRule="auto"/>
        <w:ind w:left="0" w:firstLine="709"/>
        <w:jc w:val="both"/>
        <w:rPr>
          <w:color w:val="000000"/>
          <w:sz w:val="28"/>
          <w:szCs w:val="28"/>
          <w:lang w:val="uk-UA"/>
        </w:rPr>
      </w:pPr>
      <w:r w:rsidRPr="007C1AC3">
        <w:rPr>
          <w:color w:val="000000"/>
          <w:sz w:val="28"/>
          <w:szCs w:val="28"/>
          <w:lang w:val="uk-UA"/>
        </w:rPr>
        <w:t>ризик процентної ставки – вартість облігації змінюється зі зміною процентних ставок. При збільшенні процентних ставок вартість облігацій зменшується;</w:t>
      </w:r>
    </w:p>
    <w:p w:rsidR="002605D2" w:rsidRPr="007C1AC3" w:rsidRDefault="002605D2" w:rsidP="007C1AC3">
      <w:pPr>
        <w:numPr>
          <w:ilvl w:val="0"/>
          <w:numId w:val="16"/>
        </w:numPr>
        <w:spacing w:line="360" w:lineRule="auto"/>
        <w:ind w:left="0" w:firstLine="709"/>
        <w:jc w:val="both"/>
        <w:rPr>
          <w:color w:val="000000"/>
          <w:sz w:val="28"/>
          <w:szCs w:val="28"/>
          <w:lang w:val="uk-UA"/>
        </w:rPr>
      </w:pPr>
      <w:r w:rsidRPr="007C1AC3">
        <w:rPr>
          <w:color w:val="000000"/>
          <w:sz w:val="28"/>
          <w:szCs w:val="28"/>
          <w:lang w:val="uk-UA"/>
        </w:rPr>
        <w:t xml:space="preserve">ризик дефолту </w:t>
      </w:r>
      <w:r w:rsidR="00D6681A" w:rsidRPr="007C1AC3">
        <w:rPr>
          <w:color w:val="000000"/>
          <w:sz w:val="28"/>
          <w:szCs w:val="28"/>
          <w:lang w:val="uk-UA"/>
        </w:rPr>
        <w:t>–</w:t>
      </w:r>
      <w:r w:rsidRPr="007C1AC3">
        <w:rPr>
          <w:color w:val="000000"/>
          <w:sz w:val="28"/>
          <w:szCs w:val="28"/>
          <w:lang w:val="uk-UA"/>
        </w:rPr>
        <w:t xml:space="preserve"> емітент облігацій може бути неспроможний здійснити своєчасну виплату як купонів, так і основного боргу;</w:t>
      </w:r>
    </w:p>
    <w:p w:rsidR="002605D2" w:rsidRPr="007C1AC3" w:rsidRDefault="002605D2" w:rsidP="007C1AC3">
      <w:pPr>
        <w:numPr>
          <w:ilvl w:val="0"/>
          <w:numId w:val="16"/>
        </w:numPr>
        <w:spacing w:line="360" w:lineRule="auto"/>
        <w:ind w:left="0" w:firstLine="709"/>
        <w:jc w:val="both"/>
        <w:rPr>
          <w:color w:val="000000"/>
          <w:sz w:val="28"/>
          <w:szCs w:val="28"/>
          <w:lang w:val="uk-UA"/>
        </w:rPr>
      </w:pPr>
      <w:r w:rsidRPr="007C1AC3">
        <w:rPr>
          <w:color w:val="000000"/>
          <w:sz w:val="28"/>
          <w:szCs w:val="28"/>
          <w:lang w:val="uk-UA"/>
        </w:rPr>
        <w:t xml:space="preserve">ризик реінвестування </w:t>
      </w:r>
      <w:r w:rsidR="00D6681A" w:rsidRPr="007C1AC3">
        <w:rPr>
          <w:color w:val="000000"/>
          <w:sz w:val="28"/>
          <w:szCs w:val="28"/>
          <w:lang w:val="uk-UA"/>
        </w:rPr>
        <w:t>–</w:t>
      </w:r>
      <w:r w:rsidRPr="007C1AC3">
        <w:rPr>
          <w:color w:val="000000"/>
          <w:sz w:val="28"/>
          <w:szCs w:val="28"/>
          <w:lang w:val="uk-UA"/>
        </w:rPr>
        <w:t xml:space="preserve"> фонд може бути неспроможний реінвестувати купонні/амортизаційні виплати під ставку, що дорівнює доходності до погашення;</w:t>
      </w:r>
    </w:p>
    <w:p w:rsidR="002605D2" w:rsidRPr="007C1AC3" w:rsidRDefault="002605D2" w:rsidP="007C1AC3">
      <w:pPr>
        <w:numPr>
          <w:ilvl w:val="0"/>
          <w:numId w:val="16"/>
        </w:numPr>
        <w:spacing w:line="360" w:lineRule="auto"/>
        <w:ind w:left="0" w:firstLine="709"/>
        <w:jc w:val="both"/>
        <w:rPr>
          <w:color w:val="000000"/>
          <w:sz w:val="28"/>
          <w:szCs w:val="28"/>
          <w:lang w:val="uk-UA"/>
        </w:rPr>
      </w:pPr>
      <w:r w:rsidRPr="007C1AC3">
        <w:rPr>
          <w:color w:val="000000"/>
          <w:sz w:val="28"/>
          <w:szCs w:val="28"/>
          <w:lang w:val="uk-UA"/>
        </w:rPr>
        <w:t xml:space="preserve">ризик </w:t>
      </w:r>
      <w:r w:rsidR="006D022C" w:rsidRPr="007C1AC3">
        <w:rPr>
          <w:color w:val="000000"/>
          <w:sz w:val="28"/>
          <w:szCs w:val="28"/>
          <w:lang w:val="uk-UA"/>
        </w:rPr>
        <w:t>передплат</w:t>
      </w:r>
      <w:r w:rsidRPr="007C1AC3">
        <w:rPr>
          <w:color w:val="000000"/>
          <w:sz w:val="28"/>
          <w:szCs w:val="28"/>
          <w:lang w:val="uk-UA"/>
        </w:rPr>
        <w:t xml:space="preserve"> </w:t>
      </w:r>
      <w:r w:rsidR="00D6681A" w:rsidRPr="007C1AC3">
        <w:rPr>
          <w:color w:val="000000"/>
          <w:sz w:val="28"/>
          <w:szCs w:val="28"/>
          <w:lang w:val="uk-UA"/>
        </w:rPr>
        <w:t>–</w:t>
      </w:r>
      <w:r w:rsidRPr="007C1AC3">
        <w:rPr>
          <w:color w:val="000000"/>
          <w:sz w:val="28"/>
          <w:szCs w:val="28"/>
          <w:lang w:val="uk-UA"/>
        </w:rPr>
        <w:t xml:space="preserve"> у випадку інвестування в іпотечні облігації та їх передчасного погашення, Фонд зіткнеться з ризиком реінвестування;</w:t>
      </w:r>
    </w:p>
    <w:p w:rsidR="002605D2" w:rsidRPr="007C1AC3" w:rsidRDefault="002605D2" w:rsidP="007C1AC3">
      <w:pPr>
        <w:numPr>
          <w:ilvl w:val="0"/>
          <w:numId w:val="16"/>
        </w:numPr>
        <w:spacing w:line="360" w:lineRule="auto"/>
        <w:ind w:left="0" w:firstLine="709"/>
        <w:jc w:val="both"/>
        <w:rPr>
          <w:color w:val="000000"/>
          <w:sz w:val="28"/>
          <w:szCs w:val="28"/>
          <w:lang w:val="uk-UA"/>
        </w:rPr>
      </w:pPr>
      <w:r w:rsidRPr="007C1AC3">
        <w:rPr>
          <w:color w:val="000000"/>
          <w:sz w:val="28"/>
          <w:szCs w:val="28"/>
          <w:lang w:val="uk-UA"/>
        </w:rPr>
        <w:t>валютний ризик – у випадку інвестування в облігації іноземних емітентів, портфель Фонду буде під впливом змін обмінних валютних курсів.</w:t>
      </w:r>
    </w:p>
    <w:p w:rsidR="002605D2" w:rsidRPr="007C1AC3" w:rsidRDefault="002605D2" w:rsidP="007C1AC3">
      <w:pPr>
        <w:spacing w:line="360" w:lineRule="auto"/>
        <w:ind w:firstLine="709"/>
        <w:jc w:val="both"/>
        <w:rPr>
          <w:color w:val="000000"/>
          <w:sz w:val="28"/>
          <w:szCs w:val="28"/>
          <w:lang w:val="uk-UA"/>
        </w:rPr>
      </w:pPr>
      <w:r w:rsidRPr="007C1AC3">
        <w:rPr>
          <w:color w:val="000000"/>
          <w:sz w:val="28"/>
          <w:szCs w:val="28"/>
          <w:lang w:val="uk-UA"/>
        </w:rPr>
        <w:t>З метою зниження зазначених ризиків і збільшення доходності компані</w:t>
      </w:r>
      <w:r w:rsidR="00DE13B1" w:rsidRPr="007C1AC3">
        <w:rPr>
          <w:color w:val="000000"/>
          <w:sz w:val="28"/>
          <w:szCs w:val="28"/>
          <w:lang w:val="uk-UA"/>
        </w:rPr>
        <w:t>ї</w:t>
      </w:r>
      <w:r w:rsidRPr="007C1AC3">
        <w:rPr>
          <w:color w:val="000000"/>
          <w:sz w:val="28"/>
          <w:szCs w:val="28"/>
          <w:lang w:val="uk-UA"/>
        </w:rPr>
        <w:t xml:space="preserve"> з управління активами </w:t>
      </w:r>
      <w:r w:rsidR="00DE13B1" w:rsidRPr="007C1AC3">
        <w:rPr>
          <w:color w:val="000000"/>
          <w:sz w:val="28"/>
          <w:szCs w:val="28"/>
          <w:lang w:val="uk-UA"/>
        </w:rPr>
        <w:t xml:space="preserve">слід </w:t>
      </w:r>
      <w:r w:rsidRPr="007C1AC3">
        <w:rPr>
          <w:color w:val="000000"/>
          <w:sz w:val="28"/>
          <w:szCs w:val="28"/>
          <w:lang w:val="uk-UA"/>
        </w:rPr>
        <w:t>дотримуватись стратегії активного інвестиційного менеджменту на основі економічного, фінансового, ринкового аналізу та інвестиційних оцінок. Зокрема, компані</w:t>
      </w:r>
      <w:r w:rsidR="00DE13B1" w:rsidRPr="007C1AC3">
        <w:rPr>
          <w:color w:val="000000"/>
          <w:sz w:val="28"/>
          <w:szCs w:val="28"/>
          <w:lang w:val="uk-UA"/>
        </w:rPr>
        <w:t>ї</w:t>
      </w:r>
      <w:r w:rsidRPr="007C1AC3">
        <w:rPr>
          <w:color w:val="000000"/>
          <w:sz w:val="28"/>
          <w:szCs w:val="28"/>
          <w:lang w:val="uk-UA"/>
        </w:rPr>
        <w:t xml:space="preserve"> з управління активами </w:t>
      </w:r>
      <w:r w:rsidR="00DE13B1" w:rsidRPr="007C1AC3">
        <w:rPr>
          <w:color w:val="000000"/>
          <w:sz w:val="28"/>
          <w:szCs w:val="28"/>
          <w:lang w:val="uk-UA"/>
        </w:rPr>
        <w:t>слід</w:t>
      </w:r>
      <w:r w:rsidRPr="007C1AC3">
        <w:rPr>
          <w:color w:val="000000"/>
          <w:sz w:val="28"/>
          <w:szCs w:val="28"/>
          <w:lang w:val="uk-UA"/>
        </w:rPr>
        <w:t>:</w:t>
      </w:r>
    </w:p>
    <w:p w:rsidR="002605D2" w:rsidRPr="007C1AC3" w:rsidRDefault="002605D2" w:rsidP="007C1AC3">
      <w:pPr>
        <w:numPr>
          <w:ilvl w:val="0"/>
          <w:numId w:val="17"/>
        </w:numPr>
        <w:spacing w:line="360" w:lineRule="auto"/>
        <w:ind w:left="0" w:firstLine="709"/>
        <w:jc w:val="both"/>
        <w:rPr>
          <w:color w:val="000000"/>
          <w:sz w:val="28"/>
          <w:szCs w:val="28"/>
          <w:lang w:val="uk-UA"/>
        </w:rPr>
      </w:pPr>
      <w:r w:rsidRPr="007C1AC3">
        <w:rPr>
          <w:color w:val="000000"/>
          <w:sz w:val="28"/>
          <w:szCs w:val="28"/>
          <w:lang w:val="uk-UA"/>
        </w:rPr>
        <w:t>включати у свій портфель тільки облігації високонадійних позичальників на основі проведеного горизонтального аналізу;</w:t>
      </w:r>
    </w:p>
    <w:p w:rsidR="002605D2" w:rsidRPr="007C1AC3" w:rsidRDefault="002605D2" w:rsidP="007C1AC3">
      <w:pPr>
        <w:numPr>
          <w:ilvl w:val="0"/>
          <w:numId w:val="17"/>
        </w:numPr>
        <w:spacing w:line="360" w:lineRule="auto"/>
        <w:ind w:left="0" w:firstLine="709"/>
        <w:jc w:val="both"/>
        <w:rPr>
          <w:color w:val="000000"/>
          <w:sz w:val="28"/>
          <w:szCs w:val="28"/>
          <w:lang w:val="uk-UA"/>
        </w:rPr>
      </w:pPr>
      <w:r w:rsidRPr="007C1AC3">
        <w:rPr>
          <w:color w:val="000000"/>
          <w:sz w:val="28"/>
          <w:szCs w:val="28"/>
          <w:lang w:val="uk-UA"/>
        </w:rPr>
        <w:t>управляти дюрацією портфеля в залежності від змін процентних ставок, що передбачаються;</w:t>
      </w:r>
    </w:p>
    <w:p w:rsidR="002605D2" w:rsidRPr="007C1AC3" w:rsidRDefault="002605D2" w:rsidP="007C1AC3">
      <w:pPr>
        <w:numPr>
          <w:ilvl w:val="0"/>
          <w:numId w:val="17"/>
        </w:numPr>
        <w:spacing w:line="360" w:lineRule="auto"/>
        <w:ind w:left="0" w:firstLine="709"/>
        <w:jc w:val="both"/>
        <w:rPr>
          <w:color w:val="000000"/>
          <w:sz w:val="28"/>
          <w:szCs w:val="28"/>
          <w:lang w:val="uk-UA"/>
        </w:rPr>
      </w:pPr>
      <w:r w:rsidRPr="007C1AC3">
        <w:rPr>
          <w:color w:val="000000"/>
          <w:sz w:val="28"/>
          <w:szCs w:val="28"/>
          <w:lang w:val="uk-UA"/>
        </w:rPr>
        <w:t>управляти структурою портфеля в залежності від поведінки кривої доходності облігацій, а також змін спреду доходності між різними секторами ринку, що передбачаються;</w:t>
      </w:r>
    </w:p>
    <w:p w:rsidR="002605D2" w:rsidRPr="007C1AC3" w:rsidRDefault="002605D2" w:rsidP="007C1AC3">
      <w:pPr>
        <w:numPr>
          <w:ilvl w:val="0"/>
          <w:numId w:val="17"/>
        </w:numPr>
        <w:spacing w:line="360" w:lineRule="auto"/>
        <w:ind w:left="0" w:firstLine="709"/>
        <w:jc w:val="both"/>
        <w:rPr>
          <w:color w:val="000000"/>
          <w:sz w:val="28"/>
          <w:szCs w:val="28"/>
          <w:lang w:val="uk-UA"/>
        </w:rPr>
      </w:pPr>
      <w:r w:rsidRPr="007C1AC3">
        <w:rPr>
          <w:color w:val="000000"/>
          <w:sz w:val="28"/>
          <w:szCs w:val="28"/>
          <w:lang w:val="uk-UA"/>
        </w:rPr>
        <w:t>продавати облігації, не очікуючи їх погашення, коли їх доходність до погашення стане суттєво нижчою, ніж доходність паперів з аналогічним рівнем ризику.</w:t>
      </w:r>
    </w:p>
    <w:p w:rsidR="00D6681A" w:rsidRPr="007C1AC3" w:rsidRDefault="00D6681A" w:rsidP="007C1AC3">
      <w:pPr>
        <w:spacing w:line="360" w:lineRule="auto"/>
        <w:ind w:firstLine="709"/>
        <w:jc w:val="both"/>
        <w:rPr>
          <w:color w:val="000000"/>
          <w:sz w:val="28"/>
          <w:szCs w:val="28"/>
          <w:lang w:val="uk-UA"/>
        </w:rPr>
      </w:pPr>
      <w:r w:rsidRPr="007C1AC3">
        <w:rPr>
          <w:color w:val="000000"/>
          <w:sz w:val="28"/>
          <w:szCs w:val="28"/>
          <w:lang w:val="uk-UA"/>
        </w:rPr>
        <w:t>В третьому розділі було розглянуто портфель фонду «Синергія Бонд» та принципи його формування у першому півріччі 2009 року. Було визначено пріоритети та потенційні ризики, пов’язані з формуванням портфелю акцій фонду. Також були приведені рекомендації щодо зниження значних ризиків і збільшення доходності фонду.</w:t>
      </w:r>
    </w:p>
    <w:p w:rsidR="006D022C" w:rsidRDefault="006D022C" w:rsidP="007C1AC3">
      <w:pPr>
        <w:spacing w:line="360" w:lineRule="auto"/>
        <w:ind w:firstLine="709"/>
        <w:jc w:val="both"/>
        <w:rPr>
          <w:color w:val="000000"/>
          <w:sz w:val="28"/>
          <w:szCs w:val="28"/>
          <w:lang w:val="uk-UA"/>
        </w:rPr>
      </w:pPr>
    </w:p>
    <w:p w:rsidR="00DE7EBB" w:rsidRPr="006D022C" w:rsidRDefault="00D6681A" w:rsidP="007C1AC3">
      <w:pPr>
        <w:spacing w:line="360" w:lineRule="auto"/>
        <w:ind w:firstLine="709"/>
        <w:jc w:val="both"/>
        <w:rPr>
          <w:b/>
          <w:color w:val="000000"/>
          <w:sz w:val="28"/>
          <w:szCs w:val="28"/>
          <w:lang w:val="uk-UA"/>
        </w:rPr>
      </w:pPr>
      <w:r w:rsidRPr="006D022C">
        <w:rPr>
          <w:b/>
          <w:color w:val="000000"/>
          <w:sz w:val="28"/>
          <w:szCs w:val="28"/>
          <w:lang w:val="uk-UA"/>
        </w:rPr>
        <w:t>4. Порівняння показників фонду «Синергія Бонд» із середньоринковими</w:t>
      </w:r>
    </w:p>
    <w:p w:rsidR="00D6681A" w:rsidRPr="007C1AC3" w:rsidRDefault="00D6681A" w:rsidP="007C1AC3">
      <w:pPr>
        <w:spacing w:line="360" w:lineRule="auto"/>
        <w:ind w:firstLine="709"/>
        <w:jc w:val="both"/>
        <w:rPr>
          <w:color w:val="000000"/>
          <w:sz w:val="28"/>
          <w:szCs w:val="28"/>
          <w:lang w:val="uk-UA"/>
        </w:rPr>
      </w:pPr>
    </w:p>
    <w:p w:rsidR="00D6681A" w:rsidRPr="007C1AC3" w:rsidRDefault="00D6681A" w:rsidP="007C1AC3">
      <w:pPr>
        <w:spacing w:line="360" w:lineRule="auto"/>
        <w:ind w:firstLine="709"/>
        <w:jc w:val="both"/>
        <w:rPr>
          <w:color w:val="000000"/>
          <w:sz w:val="28"/>
          <w:szCs w:val="28"/>
          <w:lang w:val="uk-UA"/>
        </w:rPr>
      </w:pPr>
      <w:r w:rsidRPr="007C1AC3">
        <w:rPr>
          <w:color w:val="000000"/>
          <w:sz w:val="28"/>
          <w:szCs w:val="28"/>
          <w:lang w:val="uk-UA"/>
        </w:rPr>
        <w:t>Останній місяць першого кварталу 2009 року пробудив у інвесторів надії про зростання українського фондового ринку та про те, що криза не буде такою глибокою та тривалою. Хоча початок 2009 року не обіцяв нічого доброго. Ринок продовжував падати. За перші два місяці роботи індекс ПФТС знизився на 29,8</w:t>
      </w:r>
      <w:r w:rsidR="007C1AC3" w:rsidRPr="007C1AC3">
        <w:rPr>
          <w:color w:val="000000"/>
          <w:sz w:val="28"/>
          <w:szCs w:val="28"/>
          <w:lang w:val="uk-UA"/>
        </w:rPr>
        <w:t>4%</w:t>
      </w:r>
      <w:r w:rsidRPr="007C1AC3">
        <w:rPr>
          <w:color w:val="000000"/>
          <w:sz w:val="28"/>
          <w:szCs w:val="28"/>
          <w:lang w:val="uk-UA"/>
        </w:rPr>
        <w:t>. Проте, коли індекс 10 березня досяг значення 199,12, ринок нарешті розвернувся та пішов угору. У результаті ринок акцій завершив перший квартал з падінням 24,5</w:t>
      </w:r>
      <w:r w:rsidR="007C1AC3" w:rsidRPr="007C1AC3">
        <w:rPr>
          <w:color w:val="000000"/>
          <w:sz w:val="28"/>
          <w:szCs w:val="28"/>
          <w:lang w:val="uk-UA"/>
        </w:rPr>
        <w:t>8%</w:t>
      </w:r>
      <w:r w:rsidRPr="007C1AC3">
        <w:rPr>
          <w:color w:val="000000"/>
          <w:sz w:val="28"/>
          <w:szCs w:val="28"/>
          <w:lang w:val="uk-UA"/>
        </w:rPr>
        <w:t>.</w:t>
      </w:r>
    </w:p>
    <w:p w:rsidR="00D6681A" w:rsidRPr="007C1AC3" w:rsidRDefault="00D6681A" w:rsidP="007C1AC3">
      <w:pPr>
        <w:spacing w:line="360" w:lineRule="auto"/>
        <w:ind w:firstLine="709"/>
        <w:jc w:val="both"/>
        <w:rPr>
          <w:color w:val="000000"/>
          <w:sz w:val="28"/>
          <w:szCs w:val="28"/>
          <w:lang w:val="uk-UA"/>
        </w:rPr>
      </w:pPr>
      <w:r w:rsidRPr="007C1AC3">
        <w:rPr>
          <w:color w:val="000000"/>
          <w:sz w:val="28"/>
          <w:szCs w:val="28"/>
          <w:lang w:val="uk-UA"/>
        </w:rPr>
        <w:t>Таким чином, проведемо порівняння показників фонду «Синергія Бонд» із середньоринковими з використанням наступних елементів:</w:t>
      </w:r>
    </w:p>
    <w:p w:rsidR="00D6681A" w:rsidRPr="007C1AC3" w:rsidRDefault="00D6681A" w:rsidP="007C1AC3">
      <w:pPr>
        <w:numPr>
          <w:ilvl w:val="0"/>
          <w:numId w:val="18"/>
        </w:numPr>
        <w:spacing w:line="360" w:lineRule="auto"/>
        <w:ind w:left="0" w:firstLine="709"/>
        <w:jc w:val="both"/>
        <w:rPr>
          <w:color w:val="000000"/>
          <w:sz w:val="28"/>
          <w:szCs w:val="28"/>
          <w:lang w:val="uk-UA"/>
        </w:rPr>
      </w:pPr>
      <w:r w:rsidRPr="007C1AC3">
        <w:rPr>
          <w:color w:val="000000"/>
          <w:sz w:val="28"/>
          <w:szCs w:val="28"/>
          <w:lang w:val="uk-UA"/>
        </w:rPr>
        <w:t>середня доходність;</w:t>
      </w:r>
    </w:p>
    <w:p w:rsidR="00D6681A" w:rsidRPr="007C1AC3" w:rsidRDefault="00D6681A" w:rsidP="007C1AC3">
      <w:pPr>
        <w:numPr>
          <w:ilvl w:val="0"/>
          <w:numId w:val="18"/>
        </w:numPr>
        <w:spacing w:line="360" w:lineRule="auto"/>
        <w:ind w:left="0" w:firstLine="709"/>
        <w:jc w:val="both"/>
        <w:rPr>
          <w:color w:val="000000"/>
          <w:sz w:val="28"/>
          <w:szCs w:val="28"/>
          <w:lang w:val="uk-UA"/>
        </w:rPr>
      </w:pPr>
      <w:r w:rsidRPr="007C1AC3">
        <w:rPr>
          <w:color w:val="000000"/>
          <w:sz w:val="28"/>
          <w:szCs w:val="28"/>
          <w:lang w:val="uk-UA"/>
        </w:rPr>
        <w:t>стандартне відхилення;</w:t>
      </w:r>
    </w:p>
    <w:p w:rsidR="00D6681A" w:rsidRPr="007C1AC3" w:rsidRDefault="00D6681A" w:rsidP="007C1AC3">
      <w:pPr>
        <w:numPr>
          <w:ilvl w:val="0"/>
          <w:numId w:val="18"/>
        </w:numPr>
        <w:spacing w:line="360" w:lineRule="auto"/>
        <w:ind w:left="0" w:firstLine="709"/>
        <w:jc w:val="both"/>
        <w:rPr>
          <w:color w:val="000000"/>
          <w:sz w:val="28"/>
          <w:szCs w:val="28"/>
          <w:lang w:val="uk-UA"/>
        </w:rPr>
      </w:pPr>
      <w:r w:rsidRPr="007C1AC3">
        <w:rPr>
          <w:color w:val="000000"/>
          <w:sz w:val="28"/>
          <w:szCs w:val="28"/>
          <w:lang w:val="uk-UA"/>
        </w:rPr>
        <w:t>індекс KINBOND;</w:t>
      </w:r>
    </w:p>
    <w:p w:rsidR="00D6681A" w:rsidRPr="007C1AC3" w:rsidRDefault="00D6681A" w:rsidP="007C1AC3">
      <w:pPr>
        <w:numPr>
          <w:ilvl w:val="0"/>
          <w:numId w:val="18"/>
        </w:numPr>
        <w:spacing w:line="360" w:lineRule="auto"/>
        <w:ind w:left="0" w:firstLine="709"/>
        <w:jc w:val="both"/>
        <w:rPr>
          <w:color w:val="000000"/>
          <w:sz w:val="28"/>
          <w:szCs w:val="28"/>
          <w:lang w:val="uk-UA"/>
        </w:rPr>
      </w:pPr>
      <w:r w:rsidRPr="007C1AC3">
        <w:rPr>
          <w:color w:val="000000"/>
          <w:sz w:val="28"/>
          <w:szCs w:val="28"/>
          <w:lang w:val="uk-UA"/>
        </w:rPr>
        <w:t>коефіцієнт Шарпа;</w:t>
      </w:r>
    </w:p>
    <w:p w:rsidR="00D6681A" w:rsidRPr="007C1AC3" w:rsidRDefault="00D6681A" w:rsidP="007C1AC3">
      <w:pPr>
        <w:numPr>
          <w:ilvl w:val="0"/>
          <w:numId w:val="18"/>
        </w:numPr>
        <w:spacing w:line="360" w:lineRule="auto"/>
        <w:ind w:left="0" w:firstLine="709"/>
        <w:jc w:val="both"/>
        <w:rPr>
          <w:color w:val="000000"/>
          <w:sz w:val="28"/>
          <w:szCs w:val="28"/>
          <w:lang w:val="uk-UA"/>
        </w:rPr>
      </w:pPr>
      <w:r w:rsidRPr="007C1AC3">
        <w:rPr>
          <w:color w:val="000000"/>
          <w:sz w:val="28"/>
          <w:szCs w:val="28"/>
          <w:lang w:val="uk-UA"/>
        </w:rPr>
        <w:t>коефіцієнт Сортіно;</w:t>
      </w:r>
    </w:p>
    <w:p w:rsidR="00D6681A" w:rsidRPr="007C1AC3" w:rsidRDefault="00D6681A" w:rsidP="007C1AC3">
      <w:pPr>
        <w:numPr>
          <w:ilvl w:val="0"/>
          <w:numId w:val="18"/>
        </w:numPr>
        <w:spacing w:line="360" w:lineRule="auto"/>
        <w:ind w:left="0" w:firstLine="709"/>
        <w:jc w:val="both"/>
        <w:rPr>
          <w:color w:val="000000"/>
          <w:sz w:val="28"/>
          <w:szCs w:val="28"/>
          <w:lang w:val="uk-UA"/>
        </w:rPr>
      </w:pPr>
      <w:r w:rsidRPr="007C1AC3">
        <w:rPr>
          <w:color w:val="000000"/>
          <w:sz w:val="28"/>
          <w:szCs w:val="28"/>
          <w:lang w:val="uk-UA"/>
        </w:rPr>
        <w:t>альфа і бета;</w:t>
      </w:r>
    </w:p>
    <w:p w:rsidR="00D6681A" w:rsidRPr="007C1AC3" w:rsidRDefault="00D6681A" w:rsidP="007C1AC3">
      <w:pPr>
        <w:numPr>
          <w:ilvl w:val="0"/>
          <w:numId w:val="18"/>
        </w:numPr>
        <w:spacing w:line="360" w:lineRule="auto"/>
        <w:ind w:left="0" w:firstLine="709"/>
        <w:jc w:val="both"/>
        <w:rPr>
          <w:color w:val="000000"/>
          <w:sz w:val="28"/>
          <w:szCs w:val="28"/>
          <w:lang w:val="uk-UA"/>
        </w:rPr>
      </w:pPr>
      <w:r w:rsidRPr="007C1AC3">
        <w:rPr>
          <w:color w:val="000000"/>
          <w:sz w:val="28"/>
          <w:szCs w:val="28"/>
          <w:lang w:val="uk-UA"/>
        </w:rPr>
        <w:t>коефіцієнт кореляції.</w:t>
      </w:r>
    </w:p>
    <w:p w:rsidR="00D6681A" w:rsidRDefault="00D6681A" w:rsidP="007C1AC3">
      <w:pPr>
        <w:spacing w:line="360" w:lineRule="auto"/>
        <w:ind w:firstLine="709"/>
        <w:jc w:val="both"/>
        <w:rPr>
          <w:color w:val="000000"/>
          <w:sz w:val="28"/>
          <w:szCs w:val="28"/>
          <w:lang w:val="uk-UA"/>
        </w:rPr>
      </w:pPr>
      <w:r w:rsidRPr="007C1AC3">
        <w:rPr>
          <w:color w:val="000000"/>
          <w:sz w:val="28"/>
          <w:szCs w:val="28"/>
          <w:lang w:val="uk-UA"/>
        </w:rPr>
        <w:t>Отже, станом на перший квартал 2009 року динаміка ВЧА/акцію у порівнянні з еталоном (індекс KINBOND) мала наступний вигляд (мал. 9):</w:t>
      </w:r>
    </w:p>
    <w:p w:rsidR="006D022C" w:rsidRPr="007C1AC3" w:rsidRDefault="006D022C" w:rsidP="007C1AC3">
      <w:pPr>
        <w:spacing w:line="360" w:lineRule="auto"/>
        <w:ind w:firstLine="709"/>
        <w:jc w:val="both"/>
        <w:rPr>
          <w:color w:val="000000"/>
          <w:sz w:val="28"/>
          <w:szCs w:val="28"/>
          <w:lang w:val="uk-UA"/>
        </w:rPr>
      </w:pPr>
    </w:p>
    <w:p w:rsidR="00D6681A" w:rsidRPr="007C1AC3" w:rsidRDefault="00B47CF6" w:rsidP="007C1AC3">
      <w:pPr>
        <w:spacing w:line="360" w:lineRule="auto"/>
        <w:ind w:firstLine="709"/>
        <w:jc w:val="both"/>
        <w:rPr>
          <w:color w:val="000000"/>
          <w:sz w:val="28"/>
          <w:szCs w:val="28"/>
          <w:lang w:val="uk-UA"/>
        </w:rPr>
      </w:pPr>
      <w:r>
        <w:rPr>
          <w:color w:val="000000"/>
          <w:sz w:val="28"/>
          <w:szCs w:val="28"/>
          <w:lang w:val="uk-UA"/>
        </w:rPr>
        <w:pict>
          <v:shape id="_x0000_i1031" type="#_x0000_t75" style="width:231pt;height:146.25pt">
            <v:imagedata r:id="rId11" o:title=""/>
          </v:shape>
        </w:pict>
      </w:r>
    </w:p>
    <w:p w:rsidR="00D6681A" w:rsidRPr="007C1AC3" w:rsidRDefault="00D6681A" w:rsidP="007C1AC3">
      <w:pPr>
        <w:spacing w:line="360" w:lineRule="auto"/>
        <w:ind w:firstLine="709"/>
        <w:jc w:val="both"/>
        <w:rPr>
          <w:color w:val="000000"/>
          <w:sz w:val="28"/>
          <w:szCs w:val="28"/>
          <w:lang w:val="uk-UA"/>
        </w:rPr>
      </w:pPr>
      <w:r w:rsidRPr="007C1AC3">
        <w:rPr>
          <w:color w:val="000000"/>
          <w:sz w:val="28"/>
          <w:szCs w:val="28"/>
          <w:lang w:val="uk-UA"/>
        </w:rPr>
        <w:t>Мал. 9. Динаміка ВЧА/акцію у порівнянні з еталоном</w:t>
      </w:r>
      <w:r w:rsidR="007E1048" w:rsidRPr="007C1AC3">
        <w:rPr>
          <w:color w:val="000000"/>
          <w:sz w:val="28"/>
          <w:szCs w:val="28"/>
          <w:lang w:val="uk-UA"/>
        </w:rPr>
        <w:t xml:space="preserve"> (1 кв. 2009)</w:t>
      </w:r>
    </w:p>
    <w:p w:rsidR="00D6681A" w:rsidRPr="007C1AC3" w:rsidRDefault="00D6681A" w:rsidP="007C1AC3">
      <w:pPr>
        <w:spacing w:line="360" w:lineRule="auto"/>
        <w:ind w:firstLine="709"/>
        <w:jc w:val="both"/>
        <w:rPr>
          <w:color w:val="000000"/>
          <w:sz w:val="28"/>
          <w:szCs w:val="28"/>
          <w:lang w:val="uk-UA"/>
        </w:rPr>
      </w:pPr>
    </w:p>
    <w:p w:rsidR="00D6681A" w:rsidRPr="007C1AC3" w:rsidRDefault="00D6681A" w:rsidP="007C1AC3">
      <w:pPr>
        <w:spacing w:line="360" w:lineRule="auto"/>
        <w:ind w:firstLine="709"/>
        <w:jc w:val="both"/>
        <w:rPr>
          <w:color w:val="000000"/>
          <w:sz w:val="28"/>
          <w:szCs w:val="28"/>
          <w:lang w:val="uk-UA"/>
        </w:rPr>
      </w:pPr>
      <w:r w:rsidRPr="007C1AC3">
        <w:rPr>
          <w:color w:val="000000"/>
          <w:sz w:val="28"/>
          <w:szCs w:val="28"/>
          <w:lang w:val="uk-UA"/>
        </w:rPr>
        <w:t xml:space="preserve">Як бачимо, відмінності невеликі, що свідчить про стабільність та </w:t>
      </w:r>
      <w:r w:rsidR="007E1048" w:rsidRPr="007C1AC3">
        <w:rPr>
          <w:color w:val="000000"/>
          <w:sz w:val="28"/>
          <w:szCs w:val="28"/>
          <w:lang w:val="uk-UA"/>
        </w:rPr>
        <w:t>надійність активів портфелю фонду.</w:t>
      </w:r>
    </w:p>
    <w:p w:rsidR="007E1048" w:rsidRDefault="007E1048" w:rsidP="007C1AC3">
      <w:pPr>
        <w:spacing w:line="360" w:lineRule="auto"/>
        <w:ind w:firstLine="709"/>
        <w:jc w:val="both"/>
        <w:rPr>
          <w:color w:val="000000"/>
          <w:sz w:val="28"/>
          <w:szCs w:val="28"/>
          <w:lang w:val="uk-UA"/>
        </w:rPr>
      </w:pPr>
      <w:r w:rsidRPr="007C1AC3">
        <w:rPr>
          <w:color w:val="000000"/>
          <w:sz w:val="28"/>
          <w:szCs w:val="28"/>
          <w:lang w:val="uk-UA"/>
        </w:rPr>
        <w:t>У табл. 10 наведено показники ринку та фонду «Синергія Бонд» за 1 квартал 2009 року.</w:t>
      </w:r>
    </w:p>
    <w:p w:rsidR="006D022C" w:rsidRDefault="006D022C" w:rsidP="006D022C">
      <w:pPr>
        <w:spacing w:line="360" w:lineRule="auto"/>
        <w:ind w:firstLine="709"/>
        <w:jc w:val="both"/>
        <w:rPr>
          <w:color w:val="000000"/>
          <w:sz w:val="28"/>
          <w:szCs w:val="28"/>
          <w:lang w:val="uk-UA"/>
        </w:rPr>
      </w:pPr>
    </w:p>
    <w:p w:rsidR="006D022C" w:rsidRPr="007C1AC3" w:rsidRDefault="006D022C" w:rsidP="006D022C">
      <w:pPr>
        <w:spacing w:line="360" w:lineRule="auto"/>
        <w:ind w:firstLine="709"/>
        <w:jc w:val="both"/>
        <w:rPr>
          <w:color w:val="000000"/>
          <w:sz w:val="28"/>
          <w:szCs w:val="28"/>
          <w:lang w:val="uk-UA"/>
        </w:rPr>
      </w:pPr>
      <w:r w:rsidRPr="007C1AC3">
        <w:rPr>
          <w:color w:val="000000"/>
          <w:sz w:val="28"/>
          <w:szCs w:val="28"/>
          <w:lang w:val="uk-UA"/>
        </w:rPr>
        <w:t>Табл. 10. Показники ринку та фонду «Синергія Бонд» за 1 квартал 2009 року</w:t>
      </w:r>
    </w:p>
    <w:tbl>
      <w:tblPr>
        <w:tblStyle w:val="1"/>
        <w:tblW w:w="9297" w:type="dxa"/>
        <w:jc w:val="center"/>
        <w:tblLook w:val="0000" w:firstRow="0" w:lastRow="0" w:firstColumn="0" w:lastColumn="0" w:noHBand="0" w:noVBand="0"/>
      </w:tblPr>
      <w:tblGrid>
        <w:gridCol w:w="3897"/>
        <w:gridCol w:w="2014"/>
        <w:gridCol w:w="3386"/>
      </w:tblGrid>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Динаміка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Фонд</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Індекс KINBOND</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Доходність за 1 квартал 2009 року</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-3,</w:t>
            </w:r>
            <w:r w:rsidR="007C1AC3" w:rsidRPr="007C1AC3">
              <w:rPr>
                <w:color w:val="000000"/>
                <w:sz w:val="20"/>
                <w:szCs w:val="20"/>
                <w:lang w:val="uk-UA"/>
              </w:rPr>
              <w:t>9%</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3,</w:t>
            </w:r>
            <w:r w:rsidR="007C1AC3" w:rsidRPr="007C1AC3">
              <w:rPr>
                <w:color w:val="000000"/>
                <w:sz w:val="20"/>
                <w:szCs w:val="20"/>
                <w:lang w:val="uk-UA"/>
              </w:rPr>
              <w:t>4%</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Дохідність за 2008 рік</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10,</w:t>
            </w:r>
            <w:r w:rsidR="007C1AC3" w:rsidRPr="007C1AC3">
              <w:rPr>
                <w:color w:val="000000"/>
                <w:sz w:val="20"/>
                <w:szCs w:val="20"/>
                <w:lang w:val="uk-UA"/>
              </w:rPr>
              <w:t>1%</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11,</w:t>
            </w:r>
            <w:r w:rsidR="007C1AC3" w:rsidRPr="007C1AC3">
              <w:rPr>
                <w:color w:val="000000"/>
                <w:sz w:val="20"/>
                <w:szCs w:val="20"/>
                <w:lang w:val="uk-UA"/>
              </w:rPr>
              <w:t>1%</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Середньорічна дохідність</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11,</w:t>
            </w:r>
            <w:r w:rsidR="007C1AC3" w:rsidRPr="007C1AC3">
              <w:rPr>
                <w:color w:val="000000"/>
                <w:sz w:val="20"/>
                <w:szCs w:val="20"/>
                <w:lang w:val="uk-UA"/>
              </w:rPr>
              <w:t>7%</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13,</w:t>
            </w:r>
            <w:r w:rsidR="007C1AC3" w:rsidRPr="007C1AC3">
              <w:rPr>
                <w:color w:val="000000"/>
                <w:sz w:val="20"/>
                <w:szCs w:val="20"/>
                <w:lang w:val="uk-UA"/>
              </w:rPr>
              <w:t>3%</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Показники ринку</w:t>
            </w:r>
          </w:p>
        </w:tc>
        <w:tc>
          <w:tcPr>
            <w:tcW w:w="1083" w:type="pct"/>
          </w:tcPr>
          <w:p w:rsidR="007E1048" w:rsidRPr="007C1AC3" w:rsidRDefault="007E1048" w:rsidP="007C1AC3">
            <w:pPr>
              <w:spacing w:line="360" w:lineRule="auto"/>
              <w:jc w:val="both"/>
              <w:rPr>
                <w:color w:val="000000"/>
                <w:sz w:val="20"/>
                <w:szCs w:val="20"/>
                <w:lang w:val="uk-UA"/>
              </w:rPr>
            </w:pPr>
          </w:p>
        </w:tc>
        <w:tc>
          <w:tcPr>
            <w:tcW w:w="1821" w:type="pct"/>
          </w:tcPr>
          <w:p w:rsidR="007E1048" w:rsidRPr="007C1AC3" w:rsidRDefault="007E1048" w:rsidP="007C1AC3">
            <w:pPr>
              <w:spacing w:line="360" w:lineRule="auto"/>
              <w:jc w:val="both"/>
              <w:rPr>
                <w:color w:val="000000"/>
                <w:sz w:val="20"/>
                <w:szCs w:val="20"/>
                <w:lang w:val="uk-UA"/>
              </w:rPr>
            </w:pP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Стандартне відхилення</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3,</w:t>
            </w:r>
            <w:r w:rsidR="007C1AC3" w:rsidRPr="007C1AC3">
              <w:rPr>
                <w:color w:val="000000"/>
                <w:sz w:val="20"/>
                <w:szCs w:val="20"/>
                <w:lang w:val="uk-UA"/>
              </w:rPr>
              <w:t>5%</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4,</w:t>
            </w:r>
            <w:r w:rsidR="007C1AC3" w:rsidRPr="007C1AC3">
              <w:rPr>
                <w:color w:val="000000"/>
                <w:sz w:val="20"/>
                <w:szCs w:val="20"/>
                <w:lang w:val="uk-UA"/>
              </w:rPr>
              <w:t>0%</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Коефіцієнт Шарпа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-3,35</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-1,20</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Коефіцієнт Сортіно</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-3,55</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-0,87</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Альфа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w:t>
            </w:r>
            <w:r w:rsidR="007C1AC3" w:rsidRPr="007C1AC3">
              <w:rPr>
                <w:color w:val="000000"/>
                <w:sz w:val="20"/>
                <w:szCs w:val="20"/>
                <w:lang w:val="uk-UA"/>
              </w:rPr>
              <w:t>2%</w:t>
            </w:r>
          </w:p>
        </w:tc>
        <w:tc>
          <w:tcPr>
            <w:tcW w:w="1821" w:type="pct"/>
          </w:tcPr>
          <w:p w:rsidR="007E1048" w:rsidRPr="007C1AC3" w:rsidRDefault="007E1048" w:rsidP="007C1AC3">
            <w:pPr>
              <w:spacing w:line="360" w:lineRule="auto"/>
              <w:jc w:val="both"/>
              <w:rPr>
                <w:color w:val="000000"/>
                <w:sz w:val="20"/>
                <w:szCs w:val="20"/>
                <w:lang w:val="uk-UA"/>
              </w:rPr>
            </w:pP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Бета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-0,61</w:t>
            </w:r>
          </w:p>
        </w:tc>
        <w:tc>
          <w:tcPr>
            <w:tcW w:w="1821" w:type="pct"/>
          </w:tcPr>
          <w:p w:rsidR="007E1048" w:rsidRPr="007C1AC3" w:rsidRDefault="007E1048" w:rsidP="007C1AC3">
            <w:pPr>
              <w:spacing w:line="360" w:lineRule="auto"/>
              <w:jc w:val="both"/>
              <w:rPr>
                <w:color w:val="000000"/>
                <w:sz w:val="20"/>
                <w:szCs w:val="20"/>
                <w:lang w:val="uk-UA"/>
              </w:rPr>
            </w:pP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Коефіцієнт кореляції</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-0,29</w:t>
            </w:r>
          </w:p>
        </w:tc>
        <w:tc>
          <w:tcPr>
            <w:tcW w:w="1821" w:type="pct"/>
          </w:tcPr>
          <w:p w:rsidR="007E1048" w:rsidRPr="007C1AC3" w:rsidRDefault="007E1048" w:rsidP="007C1AC3">
            <w:pPr>
              <w:spacing w:line="360" w:lineRule="auto"/>
              <w:jc w:val="both"/>
              <w:rPr>
                <w:color w:val="000000"/>
                <w:sz w:val="20"/>
                <w:szCs w:val="20"/>
                <w:lang w:val="uk-UA"/>
              </w:rPr>
            </w:pPr>
          </w:p>
        </w:tc>
      </w:tr>
    </w:tbl>
    <w:p w:rsidR="007E1048" w:rsidRPr="007C1AC3" w:rsidRDefault="007E1048" w:rsidP="007C1AC3">
      <w:pPr>
        <w:spacing w:line="360" w:lineRule="auto"/>
        <w:ind w:firstLine="709"/>
        <w:jc w:val="both"/>
        <w:rPr>
          <w:color w:val="000000"/>
          <w:sz w:val="28"/>
          <w:szCs w:val="28"/>
          <w:lang w:val="uk-UA"/>
        </w:rPr>
      </w:pPr>
    </w:p>
    <w:p w:rsidR="00266011" w:rsidRPr="007C1AC3" w:rsidRDefault="006D022C" w:rsidP="007C1AC3">
      <w:pPr>
        <w:spacing w:line="360" w:lineRule="auto"/>
        <w:ind w:firstLine="709"/>
        <w:jc w:val="both"/>
        <w:rPr>
          <w:color w:val="000000"/>
          <w:sz w:val="28"/>
          <w:szCs w:val="28"/>
          <w:lang w:val="uk-UA"/>
        </w:rPr>
      </w:pPr>
      <w:r>
        <w:rPr>
          <w:color w:val="000000"/>
          <w:sz w:val="28"/>
          <w:szCs w:val="28"/>
          <w:lang w:val="uk-UA"/>
        </w:rPr>
        <w:br w:type="page"/>
      </w:r>
      <w:r w:rsidR="00266011" w:rsidRPr="007C1AC3">
        <w:rPr>
          <w:color w:val="000000"/>
          <w:sz w:val="28"/>
          <w:szCs w:val="28"/>
          <w:lang w:val="uk-UA"/>
        </w:rPr>
        <w:t>Оскільки коефіцієнт Шарпа для фонду виявився нижчим за ринковий, ризик вкладень у фонд трохи більший за середньоринковий. Теж саме слід відзначити відносно коефіцієнта Сортіно, при цьому зазначивши значну волатильність вниз фонду. Оскільки коефіцієнт бета виявився меншим за одиницю, то ризик вкладення у фонд нижче за середньо ринкові показники. Також слід зазначити слабку кореляцію фонду з ринком.</w:t>
      </w:r>
    </w:p>
    <w:p w:rsidR="007E1048" w:rsidRDefault="007E1048" w:rsidP="007C1AC3">
      <w:pPr>
        <w:spacing w:line="360" w:lineRule="auto"/>
        <w:ind w:firstLine="709"/>
        <w:jc w:val="both"/>
        <w:rPr>
          <w:color w:val="000000"/>
          <w:sz w:val="28"/>
          <w:szCs w:val="28"/>
          <w:lang w:val="uk-UA"/>
        </w:rPr>
      </w:pPr>
      <w:r w:rsidRPr="007C1AC3">
        <w:rPr>
          <w:color w:val="000000"/>
          <w:sz w:val="28"/>
          <w:szCs w:val="28"/>
          <w:lang w:val="uk-UA"/>
        </w:rPr>
        <w:t>У другому кварталі 2009 року динаміка ВЧА/акцію у порівнянні з індексом KINBOND суттєво не змінилась (мал. 10)</w:t>
      </w:r>
      <w:r w:rsidR="006D022C">
        <w:rPr>
          <w:color w:val="000000"/>
          <w:sz w:val="28"/>
          <w:szCs w:val="28"/>
          <w:lang w:val="uk-UA"/>
        </w:rPr>
        <w:t>.</w:t>
      </w:r>
    </w:p>
    <w:p w:rsidR="006D022C" w:rsidRPr="007C1AC3" w:rsidRDefault="006D022C" w:rsidP="007C1AC3">
      <w:pPr>
        <w:spacing w:line="360" w:lineRule="auto"/>
        <w:ind w:firstLine="709"/>
        <w:jc w:val="both"/>
        <w:rPr>
          <w:color w:val="000000"/>
          <w:sz w:val="28"/>
          <w:szCs w:val="28"/>
          <w:lang w:val="uk-UA"/>
        </w:rPr>
      </w:pPr>
    </w:p>
    <w:p w:rsidR="007E1048" w:rsidRPr="007C1AC3" w:rsidRDefault="00B47CF6" w:rsidP="007C1AC3">
      <w:pPr>
        <w:spacing w:line="360" w:lineRule="auto"/>
        <w:ind w:firstLine="709"/>
        <w:jc w:val="both"/>
        <w:rPr>
          <w:color w:val="000000"/>
          <w:sz w:val="28"/>
          <w:szCs w:val="28"/>
          <w:lang w:val="uk-UA"/>
        </w:rPr>
      </w:pPr>
      <w:r>
        <w:rPr>
          <w:color w:val="000000"/>
          <w:sz w:val="28"/>
          <w:szCs w:val="28"/>
          <w:lang w:val="uk-UA"/>
        </w:rPr>
        <w:pict>
          <v:shape id="_x0000_i1032" type="#_x0000_t75" style="width:240pt;height:176.25pt">
            <v:imagedata r:id="rId12" o:title=""/>
          </v:shape>
        </w:pict>
      </w:r>
    </w:p>
    <w:p w:rsidR="007E1048" w:rsidRPr="007C1AC3" w:rsidRDefault="007E1048" w:rsidP="007C1AC3">
      <w:pPr>
        <w:spacing w:line="360" w:lineRule="auto"/>
        <w:ind w:firstLine="709"/>
        <w:jc w:val="both"/>
        <w:rPr>
          <w:color w:val="000000"/>
          <w:sz w:val="28"/>
          <w:szCs w:val="28"/>
          <w:lang w:val="uk-UA"/>
        </w:rPr>
      </w:pPr>
      <w:r w:rsidRPr="007C1AC3">
        <w:rPr>
          <w:color w:val="000000"/>
          <w:sz w:val="28"/>
          <w:szCs w:val="28"/>
          <w:lang w:val="uk-UA"/>
        </w:rPr>
        <w:t>Мал. 9. Динаміка ВЧА/акцію у порівнянні з еталоном (2 кв. 2009)</w:t>
      </w:r>
    </w:p>
    <w:p w:rsidR="007E1048" w:rsidRPr="007C1AC3" w:rsidRDefault="007E1048" w:rsidP="007C1AC3">
      <w:pPr>
        <w:spacing w:line="360" w:lineRule="auto"/>
        <w:ind w:firstLine="709"/>
        <w:jc w:val="both"/>
        <w:rPr>
          <w:color w:val="000000"/>
          <w:sz w:val="28"/>
          <w:szCs w:val="28"/>
          <w:lang w:val="uk-UA"/>
        </w:rPr>
      </w:pPr>
    </w:p>
    <w:p w:rsidR="007E1048" w:rsidRPr="007C1AC3" w:rsidRDefault="007E1048" w:rsidP="007C1AC3">
      <w:pPr>
        <w:spacing w:line="360" w:lineRule="auto"/>
        <w:ind w:firstLine="709"/>
        <w:jc w:val="both"/>
        <w:rPr>
          <w:color w:val="000000"/>
          <w:sz w:val="28"/>
          <w:szCs w:val="28"/>
          <w:lang w:val="uk-UA"/>
        </w:rPr>
      </w:pPr>
      <w:r w:rsidRPr="007C1AC3">
        <w:rPr>
          <w:color w:val="000000"/>
          <w:sz w:val="28"/>
          <w:szCs w:val="28"/>
          <w:lang w:val="uk-UA"/>
        </w:rPr>
        <w:t>У табл. 11 наведено показники ринку та фонду «Синергія Бонд» за 1 квартал 2009 року.</w:t>
      </w:r>
    </w:p>
    <w:p w:rsidR="006D022C" w:rsidRDefault="006D022C" w:rsidP="006D022C">
      <w:pPr>
        <w:spacing w:line="360" w:lineRule="auto"/>
        <w:ind w:firstLine="709"/>
        <w:jc w:val="both"/>
        <w:rPr>
          <w:color w:val="000000"/>
          <w:sz w:val="28"/>
          <w:szCs w:val="28"/>
          <w:lang w:val="uk-UA"/>
        </w:rPr>
      </w:pPr>
    </w:p>
    <w:p w:rsidR="006D022C" w:rsidRPr="007C1AC3" w:rsidRDefault="006D022C" w:rsidP="006D022C">
      <w:pPr>
        <w:spacing w:line="360" w:lineRule="auto"/>
        <w:ind w:firstLine="709"/>
        <w:jc w:val="both"/>
        <w:rPr>
          <w:color w:val="000000"/>
          <w:sz w:val="28"/>
          <w:szCs w:val="28"/>
          <w:lang w:val="uk-UA"/>
        </w:rPr>
      </w:pPr>
      <w:r w:rsidRPr="007C1AC3">
        <w:rPr>
          <w:color w:val="000000"/>
          <w:sz w:val="28"/>
          <w:szCs w:val="28"/>
          <w:lang w:val="uk-UA"/>
        </w:rPr>
        <w:t>Табл. 10. Показники ринку та фонду «Синергія Бонд» за 2 квартал 2009 року</w:t>
      </w:r>
    </w:p>
    <w:tbl>
      <w:tblPr>
        <w:tblStyle w:val="1"/>
        <w:tblW w:w="9297" w:type="dxa"/>
        <w:jc w:val="center"/>
        <w:tblLook w:val="0000" w:firstRow="0" w:lastRow="0" w:firstColumn="0" w:lastColumn="0" w:noHBand="0" w:noVBand="0"/>
      </w:tblPr>
      <w:tblGrid>
        <w:gridCol w:w="3897"/>
        <w:gridCol w:w="2014"/>
        <w:gridCol w:w="3386"/>
      </w:tblGrid>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8"/>
                <w:lang w:val="uk-UA"/>
              </w:rPr>
              <w:br w:type="page"/>
            </w:r>
            <w:r w:rsidRPr="007C1AC3">
              <w:rPr>
                <w:color w:val="000000"/>
                <w:sz w:val="20"/>
                <w:szCs w:val="20"/>
                <w:lang w:val="uk-UA"/>
              </w:rPr>
              <w:t>Динаміка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Фонд</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Індекс KINBOND</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Доходність за 1 квартал 2009 року</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10,</w:t>
            </w:r>
            <w:r w:rsidR="007C1AC3" w:rsidRPr="007C1AC3">
              <w:rPr>
                <w:color w:val="000000"/>
                <w:sz w:val="20"/>
                <w:szCs w:val="20"/>
                <w:lang w:val="uk-UA"/>
              </w:rPr>
              <w:t>6%</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15,</w:t>
            </w:r>
            <w:r w:rsidR="007C1AC3" w:rsidRPr="007C1AC3">
              <w:rPr>
                <w:color w:val="000000"/>
                <w:sz w:val="20"/>
                <w:szCs w:val="20"/>
                <w:lang w:val="uk-UA"/>
              </w:rPr>
              <w:t>9%</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Дохідність за 2008 рік</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10,</w:t>
            </w:r>
            <w:r w:rsidR="007C1AC3" w:rsidRPr="007C1AC3">
              <w:rPr>
                <w:color w:val="000000"/>
                <w:sz w:val="20"/>
                <w:szCs w:val="20"/>
                <w:lang w:val="uk-UA"/>
              </w:rPr>
              <w:t>1%</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11,</w:t>
            </w:r>
            <w:r w:rsidR="007C1AC3" w:rsidRPr="007C1AC3">
              <w:rPr>
                <w:color w:val="000000"/>
                <w:sz w:val="20"/>
                <w:szCs w:val="20"/>
                <w:lang w:val="uk-UA"/>
              </w:rPr>
              <w:t>1%</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Середньорічна дохідність</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14,</w:t>
            </w:r>
            <w:r w:rsidR="007C1AC3" w:rsidRPr="007C1AC3">
              <w:rPr>
                <w:color w:val="000000"/>
                <w:sz w:val="20"/>
                <w:szCs w:val="20"/>
                <w:lang w:val="uk-UA"/>
              </w:rPr>
              <w:t>6%</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15,</w:t>
            </w:r>
            <w:r w:rsidR="007C1AC3" w:rsidRPr="007C1AC3">
              <w:rPr>
                <w:color w:val="000000"/>
                <w:sz w:val="20"/>
                <w:szCs w:val="20"/>
                <w:lang w:val="uk-UA"/>
              </w:rPr>
              <w:t>5%</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Показники ринку</w:t>
            </w:r>
          </w:p>
        </w:tc>
        <w:tc>
          <w:tcPr>
            <w:tcW w:w="1083" w:type="pct"/>
          </w:tcPr>
          <w:p w:rsidR="007E1048" w:rsidRPr="007C1AC3" w:rsidRDefault="007E1048" w:rsidP="007C1AC3">
            <w:pPr>
              <w:spacing w:line="360" w:lineRule="auto"/>
              <w:jc w:val="both"/>
              <w:rPr>
                <w:color w:val="000000"/>
                <w:sz w:val="20"/>
                <w:szCs w:val="20"/>
                <w:lang w:val="uk-UA"/>
              </w:rPr>
            </w:pPr>
          </w:p>
        </w:tc>
        <w:tc>
          <w:tcPr>
            <w:tcW w:w="1821" w:type="pct"/>
          </w:tcPr>
          <w:p w:rsidR="007E1048" w:rsidRPr="007C1AC3" w:rsidRDefault="007E1048" w:rsidP="007C1AC3">
            <w:pPr>
              <w:spacing w:line="360" w:lineRule="auto"/>
              <w:jc w:val="both"/>
              <w:rPr>
                <w:color w:val="000000"/>
                <w:sz w:val="20"/>
                <w:szCs w:val="20"/>
                <w:lang w:val="uk-UA"/>
              </w:rPr>
            </w:pP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Стандартне відхилення</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12,</w:t>
            </w:r>
            <w:r w:rsidR="007C1AC3" w:rsidRPr="007C1AC3">
              <w:rPr>
                <w:color w:val="000000"/>
                <w:sz w:val="20"/>
                <w:szCs w:val="20"/>
                <w:lang w:val="uk-UA"/>
              </w:rPr>
              <w:t>1%</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6,</w:t>
            </w:r>
            <w:r w:rsidR="007C1AC3" w:rsidRPr="007C1AC3">
              <w:rPr>
                <w:color w:val="000000"/>
                <w:sz w:val="20"/>
                <w:szCs w:val="20"/>
                <w:lang w:val="uk-UA"/>
              </w:rPr>
              <w:t>4%</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Коефіцієнт Шарпа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-0,11</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0,31</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Коефіцієнт Сортіно</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0,11</w:t>
            </w:r>
          </w:p>
        </w:tc>
        <w:tc>
          <w:tcPr>
            <w:tcW w:w="1821"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0,83</w:t>
            </w: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Альфа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-0,0</w:t>
            </w:r>
            <w:r w:rsidR="007C1AC3" w:rsidRPr="007C1AC3">
              <w:rPr>
                <w:color w:val="000000"/>
                <w:sz w:val="20"/>
                <w:szCs w:val="20"/>
                <w:lang w:val="uk-UA"/>
              </w:rPr>
              <w:t>5%</w:t>
            </w:r>
          </w:p>
        </w:tc>
        <w:tc>
          <w:tcPr>
            <w:tcW w:w="1821" w:type="pct"/>
          </w:tcPr>
          <w:p w:rsidR="007E1048" w:rsidRPr="007C1AC3" w:rsidRDefault="007E1048" w:rsidP="007C1AC3">
            <w:pPr>
              <w:spacing w:line="360" w:lineRule="auto"/>
              <w:jc w:val="both"/>
              <w:rPr>
                <w:color w:val="000000"/>
                <w:sz w:val="20"/>
                <w:szCs w:val="20"/>
                <w:lang w:val="uk-UA"/>
              </w:rPr>
            </w:pP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Бета</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-0,22</w:t>
            </w:r>
          </w:p>
        </w:tc>
        <w:tc>
          <w:tcPr>
            <w:tcW w:w="1821" w:type="pct"/>
          </w:tcPr>
          <w:p w:rsidR="007E1048" w:rsidRPr="007C1AC3" w:rsidRDefault="007E1048" w:rsidP="007C1AC3">
            <w:pPr>
              <w:spacing w:line="360" w:lineRule="auto"/>
              <w:jc w:val="both"/>
              <w:rPr>
                <w:color w:val="000000"/>
                <w:sz w:val="20"/>
                <w:szCs w:val="20"/>
                <w:lang w:val="uk-UA"/>
              </w:rPr>
            </w:pPr>
          </w:p>
        </w:tc>
      </w:tr>
      <w:tr w:rsidR="007E1048" w:rsidRPr="007C1AC3" w:rsidTr="007C1AC3">
        <w:trPr>
          <w:cantSplit/>
          <w:jc w:val="center"/>
        </w:trPr>
        <w:tc>
          <w:tcPr>
            <w:tcW w:w="2096"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Коефіцієнт кореляції</w:t>
            </w:r>
          </w:p>
        </w:tc>
        <w:tc>
          <w:tcPr>
            <w:tcW w:w="1083" w:type="pct"/>
          </w:tcPr>
          <w:p w:rsidR="007E1048" w:rsidRPr="007C1AC3" w:rsidRDefault="007E1048" w:rsidP="007C1AC3">
            <w:pPr>
              <w:spacing w:line="360" w:lineRule="auto"/>
              <w:jc w:val="both"/>
              <w:rPr>
                <w:color w:val="000000"/>
                <w:sz w:val="20"/>
                <w:szCs w:val="20"/>
                <w:lang w:val="uk-UA"/>
              </w:rPr>
            </w:pPr>
            <w:r w:rsidRPr="007C1AC3">
              <w:rPr>
                <w:color w:val="000000"/>
                <w:sz w:val="20"/>
                <w:szCs w:val="20"/>
                <w:lang w:val="uk-UA"/>
              </w:rPr>
              <w:t>-0,12</w:t>
            </w:r>
          </w:p>
        </w:tc>
        <w:tc>
          <w:tcPr>
            <w:tcW w:w="1821" w:type="pct"/>
          </w:tcPr>
          <w:p w:rsidR="007E1048" w:rsidRPr="007C1AC3" w:rsidRDefault="007E1048" w:rsidP="007C1AC3">
            <w:pPr>
              <w:spacing w:line="360" w:lineRule="auto"/>
              <w:jc w:val="both"/>
              <w:rPr>
                <w:color w:val="000000"/>
                <w:sz w:val="20"/>
                <w:szCs w:val="20"/>
                <w:lang w:val="uk-UA"/>
              </w:rPr>
            </w:pPr>
          </w:p>
        </w:tc>
      </w:tr>
    </w:tbl>
    <w:p w:rsidR="007E1048" w:rsidRPr="007C1AC3" w:rsidRDefault="007E1048" w:rsidP="007C1AC3">
      <w:pPr>
        <w:spacing w:line="360" w:lineRule="auto"/>
        <w:ind w:firstLine="709"/>
        <w:jc w:val="both"/>
        <w:rPr>
          <w:color w:val="000000"/>
          <w:sz w:val="28"/>
          <w:szCs w:val="28"/>
          <w:lang w:val="uk-UA"/>
        </w:rPr>
      </w:pPr>
    </w:p>
    <w:p w:rsidR="007E1048" w:rsidRPr="007C1AC3" w:rsidRDefault="00266011" w:rsidP="007C1AC3">
      <w:pPr>
        <w:spacing w:line="360" w:lineRule="auto"/>
        <w:ind w:firstLine="709"/>
        <w:jc w:val="both"/>
        <w:rPr>
          <w:color w:val="000000"/>
          <w:sz w:val="28"/>
          <w:szCs w:val="28"/>
          <w:lang w:val="uk-UA"/>
        </w:rPr>
      </w:pPr>
      <w:r w:rsidRPr="007C1AC3">
        <w:rPr>
          <w:color w:val="000000"/>
          <w:sz w:val="28"/>
          <w:szCs w:val="28"/>
          <w:lang w:val="uk-UA"/>
        </w:rPr>
        <w:t>Оскільки коефіцієнт Шарпа для фонду виявився нижчим за ринковий, ризик вкладень у фонд трохи більший за середньоринковий. Теж саме слід відзначити відносно коефіцієнта Сортіно, при цьому зазначивши значну волатильність вниз фонду. Оскільки коефіцієнт бета виявився меншим за одиницю, то ризик вкладення у фонд нижче за середньо ринкові показники. Також слід зазначити слабку кореляцію фонду з ринком.</w:t>
      </w:r>
    </w:p>
    <w:p w:rsidR="00266011" w:rsidRPr="007C1AC3" w:rsidRDefault="00266011" w:rsidP="007C1AC3">
      <w:pPr>
        <w:spacing w:line="360" w:lineRule="auto"/>
        <w:ind w:firstLine="709"/>
        <w:jc w:val="both"/>
        <w:rPr>
          <w:color w:val="000000"/>
          <w:sz w:val="28"/>
          <w:szCs w:val="28"/>
          <w:lang w:val="uk-UA"/>
        </w:rPr>
      </w:pPr>
      <w:r w:rsidRPr="007C1AC3">
        <w:rPr>
          <w:color w:val="000000"/>
          <w:sz w:val="28"/>
          <w:szCs w:val="28"/>
          <w:lang w:val="uk-UA"/>
        </w:rPr>
        <w:t>У четвертому розділі було розглянуто показники фонду «Синергія Бонд» та середньоринкові показники. Відмінності у поведінці та стані фонду та ринку визначались за допомогою стандартного відхилення, індексу KINBOND, коефіцієнта Шарпа, коефіцієнта Сортіно, альфа і бета, а також коефіцієнту кореляції.</w:t>
      </w:r>
    </w:p>
    <w:p w:rsidR="00266011" w:rsidRDefault="00266011" w:rsidP="007C1AC3">
      <w:pPr>
        <w:spacing w:line="360" w:lineRule="auto"/>
        <w:ind w:firstLine="709"/>
        <w:jc w:val="both"/>
        <w:rPr>
          <w:color w:val="000000"/>
          <w:sz w:val="28"/>
          <w:szCs w:val="28"/>
          <w:lang w:val="uk-UA"/>
        </w:rPr>
      </w:pPr>
    </w:p>
    <w:p w:rsidR="006D022C" w:rsidRPr="007C1AC3" w:rsidRDefault="006D022C" w:rsidP="007C1AC3">
      <w:pPr>
        <w:spacing w:line="360" w:lineRule="auto"/>
        <w:ind w:firstLine="709"/>
        <w:jc w:val="both"/>
        <w:rPr>
          <w:color w:val="000000"/>
          <w:sz w:val="28"/>
          <w:szCs w:val="28"/>
          <w:lang w:val="uk-UA"/>
        </w:rPr>
      </w:pPr>
    </w:p>
    <w:p w:rsidR="00266011" w:rsidRPr="007C1AC3" w:rsidRDefault="006D022C" w:rsidP="007C1AC3">
      <w:pPr>
        <w:spacing w:line="360" w:lineRule="auto"/>
        <w:ind w:firstLine="709"/>
        <w:jc w:val="both"/>
        <w:rPr>
          <w:color w:val="000000"/>
          <w:sz w:val="28"/>
          <w:szCs w:val="28"/>
          <w:lang w:val="uk-UA"/>
        </w:rPr>
      </w:pPr>
      <w:r>
        <w:rPr>
          <w:color w:val="000000"/>
          <w:sz w:val="28"/>
          <w:szCs w:val="28"/>
          <w:lang w:val="uk-UA"/>
        </w:rPr>
        <w:br w:type="page"/>
      </w:r>
      <w:r w:rsidRPr="006D022C">
        <w:rPr>
          <w:b/>
          <w:color w:val="000000"/>
          <w:sz w:val="28"/>
          <w:szCs w:val="28"/>
          <w:lang w:val="uk-UA"/>
        </w:rPr>
        <w:t>Висновки</w:t>
      </w:r>
    </w:p>
    <w:p w:rsidR="00266011" w:rsidRPr="007C1AC3" w:rsidRDefault="00266011" w:rsidP="007C1AC3">
      <w:pPr>
        <w:spacing w:line="360" w:lineRule="auto"/>
        <w:ind w:firstLine="709"/>
        <w:jc w:val="both"/>
        <w:rPr>
          <w:color w:val="000000"/>
          <w:sz w:val="28"/>
          <w:szCs w:val="28"/>
          <w:lang w:val="uk-UA"/>
        </w:rPr>
      </w:pPr>
    </w:p>
    <w:p w:rsidR="00266011" w:rsidRPr="007C1AC3" w:rsidRDefault="00266011" w:rsidP="007C1AC3">
      <w:pPr>
        <w:spacing w:line="360" w:lineRule="auto"/>
        <w:ind w:firstLine="709"/>
        <w:jc w:val="both"/>
        <w:rPr>
          <w:color w:val="000000"/>
          <w:sz w:val="28"/>
          <w:szCs w:val="28"/>
          <w:lang w:val="uk-UA"/>
        </w:rPr>
      </w:pPr>
      <w:r w:rsidRPr="007C1AC3">
        <w:rPr>
          <w:color w:val="000000"/>
          <w:sz w:val="28"/>
          <w:szCs w:val="28"/>
          <w:lang w:val="uk-UA"/>
        </w:rPr>
        <w:t>У ході даної роботи було проведено аналіз та результати діяльності інвестиційного фонду «Синергія Бонд». Було реалізовано та розкрито наступні завдання:</w:t>
      </w:r>
    </w:p>
    <w:p w:rsidR="00266011" w:rsidRPr="007C1AC3" w:rsidRDefault="00266011" w:rsidP="007C1AC3">
      <w:pPr>
        <w:numPr>
          <w:ilvl w:val="0"/>
          <w:numId w:val="19"/>
        </w:numPr>
        <w:spacing w:line="360" w:lineRule="auto"/>
        <w:ind w:left="0" w:firstLine="709"/>
        <w:jc w:val="both"/>
        <w:rPr>
          <w:color w:val="000000"/>
          <w:sz w:val="28"/>
          <w:szCs w:val="28"/>
          <w:lang w:val="uk-UA"/>
        </w:rPr>
      </w:pPr>
      <w:r w:rsidRPr="007C1AC3">
        <w:rPr>
          <w:color w:val="000000"/>
          <w:sz w:val="28"/>
          <w:szCs w:val="28"/>
          <w:lang w:val="uk-UA"/>
        </w:rPr>
        <w:t>Ознайомитись з діяльністю інвестиційного фонду, показниками прибутковості, структурою фонду та принципами функціонування.</w:t>
      </w:r>
    </w:p>
    <w:p w:rsidR="00266011" w:rsidRPr="007C1AC3" w:rsidRDefault="00266011" w:rsidP="007C1AC3">
      <w:pPr>
        <w:numPr>
          <w:ilvl w:val="0"/>
          <w:numId w:val="19"/>
        </w:numPr>
        <w:spacing w:line="360" w:lineRule="auto"/>
        <w:ind w:left="0" w:firstLine="709"/>
        <w:jc w:val="both"/>
        <w:rPr>
          <w:color w:val="000000"/>
          <w:sz w:val="28"/>
          <w:szCs w:val="28"/>
          <w:lang w:val="uk-UA"/>
        </w:rPr>
      </w:pPr>
      <w:r w:rsidRPr="007C1AC3">
        <w:rPr>
          <w:color w:val="000000"/>
          <w:sz w:val="28"/>
          <w:szCs w:val="28"/>
          <w:lang w:val="uk-UA"/>
        </w:rPr>
        <w:t>Провести технічний та фундаментальний аналіз активів фонду та зробити відповідні висновки.</w:t>
      </w:r>
    </w:p>
    <w:p w:rsidR="00266011" w:rsidRPr="007C1AC3" w:rsidRDefault="00266011" w:rsidP="007C1AC3">
      <w:pPr>
        <w:numPr>
          <w:ilvl w:val="0"/>
          <w:numId w:val="19"/>
        </w:numPr>
        <w:spacing w:line="360" w:lineRule="auto"/>
        <w:ind w:left="0" w:firstLine="709"/>
        <w:jc w:val="both"/>
        <w:rPr>
          <w:color w:val="000000"/>
          <w:sz w:val="28"/>
          <w:szCs w:val="28"/>
          <w:lang w:val="uk-UA"/>
        </w:rPr>
      </w:pPr>
      <w:r w:rsidRPr="007C1AC3">
        <w:rPr>
          <w:color w:val="000000"/>
          <w:sz w:val="28"/>
          <w:szCs w:val="28"/>
          <w:lang w:val="uk-UA"/>
        </w:rPr>
        <w:t>Оцінити ризики фонду, що виникають при формуванні портфелю акцій.</w:t>
      </w:r>
    </w:p>
    <w:p w:rsidR="00587E2D" w:rsidRPr="007C1AC3" w:rsidRDefault="00266011" w:rsidP="007C1AC3">
      <w:pPr>
        <w:numPr>
          <w:ilvl w:val="0"/>
          <w:numId w:val="19"/>
        </w:numPr>
        <w:spacing w:line="360" w:lineRule="auto"/>
        <w:ind w:left="0" w:firstLine="709"/>
        <w:jc w:val="both"/>
        <w:rPr>
          <w:color w:val="000000"/>
          <w:sz w:val="28"/>
          <w:szCs w:val="28"/>
          <w:lang w:val="uk-UA"/>
        </w:rPr>
      </w:pPr>
      <w:r w:rsidRPr="007C1AC3">
        <w:rPr>
          <w:color w:val="000000"/>
          <w:sz w:val="28"/>
          <w:szCs w:val="28"/>
          <w:lang w:val="uk-UA"/>
        </w:rPr>
        <w:t>Порівняти результати діяльності інвестиційного фонду із середньоринковими показниками.</w:t>
      </w:r>
    </w:p>
    <w:p w:rsidR="00266011" w:rsidRPr="007C1AC3" w:rsidRDefault="00266011" w:rsidP="007C1AC3">
      <w:pPr>
        <w:spacing w:line="360" w:lineRule="auto"/>
        <w:ind w:firstLine="709"/>
        <w:jc w:val="both"/>
        <w:rPr>
          <w:color w:val="000000"/>
          <w:sz w:val="28"/>
          <w:szCs w:val="28"/>
          <w:lang w:val="uk-UA"/>
        </w:rPr>
      </w:pPr>
    </w:p>
    <w:p w:rsidR="00587E2D" w:rsidRPr="007C1AC3" w:rsidRDefault="00587E2D" w:rsidP="007C1AC3">
      <w:pPr>
        <w:spacing w:line="360" w:lineRule="auto"/>
        <w:ind w:firstLine="709"/>
        <w:jc w:val="both"/>
        <w:rPr>
          <w:color w:val="000000"/>
          <w:sz w:val="28"/>
          <w:szCs w:val="28"/>
          <w:lang w:val="uk-UA"/>
        </w:rPr>
      </w:pPr>
    </w:p>
    <w:p w:rsidR="00587E2D" w:rsidRPr="006D022C" w:rsidRDefault="00587E2D" w:rsidP="007C1AC3">
      <w:pPr>
        <w:spacing w:line="360" w:lineRule="auto"/>
        <w:ind w:firstLine="709"/>
        <w:jc w:val="both"/>
        <w:rPr>
          <w:b/>
          <w:color w:val="000000"/>
          <w:sz w:val="28"/>
          <w:szCs w:val="28"/>
          <w:lang w:val="uk-UA"/>
        </w:rPr>
      </w:pPr>
      <w:r w:rsidRPr="007C1AC3">
        <w:rPr>
          <w:color w:val="000000"/>
          <w:sz w:val="28"/>
          <w:szCs w:val="28"/>
          <w:lang w:val="uk-UA"/>
        </w:rPr>
        <w:br w:type="page"/>
      </w:r>
      <w:r w:rsidRPr="006D022C">
        <w:rPr>
          <w:b/>
          <w:color w:val="000000"/>
          <w:sz w:val="28"/>
          <w:szCs w:val="28"/>
          <w:lang w:val="uk-UA"/>
        </w:rPr>
        <w:t xml:space="preserve">Список </w:t>
      </w:r>
      <w:r w:rsidR="006D022C">
        <w:rPr>
          <w:b/>
          <w:color w:val="000000"/>
          <w:sz w:val="28"/>
          <w:szCs w:val="28"/>
          <w:lang w:val="uk-UA"/>
        </w:rPr>
        <w:t>джерел</w:t>
      </w:r>
    </w:p>
    <w:p w:rsidR="00587E2D" w:rsidRPr="007C1AC3" w:rsidRDefault="00587E2D" w:rsidP="007C1AC3">
      <w:pPr>
        <w:spacing w:line="360" w:lineRule="auto"/>
        <w:ind w:firstLine="709"/>
        <w:jc w:val="both"/>
        <w:rPr>
          <w:color w:val="000000"/>
          <w:sz w:val="28"/>
          <w:szCs w:val="28"/>
          <w:lang w:val="uk-UA"/>
        </w:rPr>
      </w:pPr>
    </w:p>
    <w:p w:rsidR="00587E2D" w:rsidRPr="007C1AC3" w:rsidRDefault="007C1AC3"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Семенкова Е.В. Операции</w:t>
      </w:r>
      <w:r w:rsidR="00587E2D" w:rsidRPr="007C1AC3">
        <w:rPr>
          <w:color w:val="000000"/>
          <w:sz w:val="28"/>
          <w:lang w:val="uk-UA"/>
        </w:rPr>
        <w:t xml:space="preserve"> с ценными бумагами. – М., 1997.</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 xml:space="preserve">Алексей Рухлов. Принципы портфельного инвестирования. </w:t>
      </w:r>
      <w:r w:rsidR="007C1AC3" w:rsidRPr="007C1AC3">
        <w:rPr>
          <w:color w:val="000000"/>
          <w:sz w:val="28"/>
          <w:lang w:val="uk-UA"/>
        </w:rPr>
        <w:t xml:space="preserve">– </w:t>
      </w:r>
      <w:r w:rsidRPr="007C1AC3">
        <w:rPr>
          <w:color w:val="000000"/>
          <w:sz w:val="28"/>
          <w:lang w:val="uk-UA"/>
        </w:rPr>
        <w:t xml:space="preserve">Финансы. Ценные бумаги. </w:t>
      </w:r>
      <w:r w:rsidR="007C1AC3" w:rsidRPr="007C1AC3">
        <w:rPr>
          <w:color w:val="000000"/>
          <w:sz w:val="28"/>
          <w:lang w:val="uk-UA"/>
        </w:rPr>
        <w:t xml:space="preserve">– </w:t>
      </w:r>
      <w:r w:rsidRPr="007C1AC3">
        <w:rPr>
          <w:color w:val="000000"/>
          <w:sz w:val="28"/>
          <w:lang w:val="uk-UA"/>
        </w:rPr>
        <w:t>1997.</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Ринок облігаці</w:t>
      </w:r>
      <w:r w:rsidR="007C1AC3" w:rsidRPr="007C1AC3">
        <w:rPr>
          <w:color w:val="000000"/>
          <w:sz w:val="28"/>
          <w:lang w:val="uk-UA"/>
        </w:rPr>
        <w:t xml:space="preserve">й [електронний </w:t>
      </w:r>
      <w:r w:rsidRPr="007C1AC3">
        <w:rPr>
          <w:color w:val="000000"/>
          <w:sz w:val="28"/>
          <w:lang w:val="uk-UA"/>
        </w:rPr>
        <w:t>ресурс] – Режим доступу: http://www.cbonds.info/all/rus/</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Думки посеред тижня: фінансові рішення в епоху кризи [електронний ресурс] – Режим доступу: http://www.investadviser.com.ua/ukr/advices/thoughts/873.html</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Фонд Синергия Бонд [електронний ресурс] – Режим доступу: http://www.investadviser.com.ua/ukr/partners/kinto/30.html</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Синергия Бонд (ПИФ) [електронний ресурс] – Режим доступу: http://www.investfunds.com.ua/funds/10/detail/1/</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Офіційна звітність КІНТО [електронний ресурс] – Режим доступу: http://www.kinto.com/pf/social/reports.html</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Результати діяльності КІНТО [електронний ресурс] – Режим доступу: http://www.kinto.com/pf/social/performance.html#nav</w:t>
      </w:r>
    </w:p>
    <w:p w:rsidR="00587E2D" w:rsidRPr="007C1AC3" w:rsidRDefault="007C1AC3"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«Синергия Бонд» //</w:t>
      </w:r>
      <w:r w:rsidR="00587E2D" w:rsidRPr="007C1AC3">
        <w:rPr>
          <w:color w:val="000000"/>
          <w:sz w:val="28"/>
          <w:lang w:val="uk-UA"/>
        </w:rPr>
        <w:t xml:space="preserve"> – Режим доступу: http://www.kinto.com/ukr/research/marketupdate/pftsindex.html</w:t>
      </w:r>
    </w:p>
    <w:p w:rsidR="00587E2D" w:rsidRPr="007C1AC3" w:rsidRDefault="00587E2D" w:rsidP="006D022C">
      <w:pPr>
        <w:numPr>
          <w:ilvl w:val="0"/>
          <w:numId w:val="20"/>
        </w:numPr>
        <w:tabs>
          <w:tab w:val="clear" w:pos="720"/>
          <w:tab w:val="left" w:pos="399"/>
        </w:tabs>
        <w:spacing w:line="360" w:lineRule="auto"/>
        <w:ind w:left="0" w:firstLine="0"/>
        <w:jc w:val="both"/>
        <w:rPr>
          <w:color w:val="000000"/>
          <w:sz w:val="28"/>
          <w:lang w:val="uk-UA"/>
        </w:rPr>
      </w:pPr>
      <w:r w:rsidRPr="007C1AC3">
        <w:rPr>
          <w:color w:val="000000"/>
          <w:sz w:val="28"/>
          <w:lang w:val="uk-UA"/>
        </w:rPr>
        <w:t>Акции и облигации [електронний ресурс] – Режим доступу: http://www.lbudget.ru/rubrics/</w:t>
      </w:r>
      <w:r w:rsidR="007C1AC3" w:rsidRPr="007C1AC3">
        <w:rPr>
          <w:color w:val="000000"/>
          <w:sz w:val="28"/>
          <w:lang w:val="uk-UA"/>
        </w:rPr>
        <w:t>? r</w:t>
      </w:r>
      <w:r w:rsidRPr="007C1AC3">
        <w:rPr>
          <w:color w:val="000000"/>
          <w:sz w:val="28"/>
          <w:lang w:val="uk-UA"/>
        </w:rPr>
        <w:t>id=236&amp;rubric=investor&amp;tid=7</w:t>
      </w:r>
      <w:bookmarkStart w:id="0" w:name="_GoBack"/>
      <w:bookmarkEnd w:id="0"/>
    </w:p>
    <w:sectPr w:rsidR="00587E2D" w:rsidRPr="007C1AC3" w:rsidSect="007C1AC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5D2F"/>
    <w:multiLevelType w:val="hybridMultilevel"/>
    <w:tmpl w:val="2E480588"/>
    <w:lvl w:ilvl="0" w:tplc="408A75E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EB3E8F"/>
    <w:multiLevelType w:val="hybridMultilevel"/>
    <w:tmpl w:val="56B4C340"/>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267B48"/>
    <w:multiLevelType w:val="hybridMultilevel"/>
    <w:tmpl w:val="841A397E"/>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5978A1"/>
    <w:multiLevelType w:val="hybridMultilevel"/>
    <w:tmpl w:val="20A49E96"/>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7B5FC2"/>
    <w:multiLevelType w:val="hybridMultilevel"/>
    <w:tmpl w:val="A20EA05A"/>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494F98"/>
    <w:multiLevelType w:val="hybridMultilevel"/>
    <w:tmpl w:val="94669B30"/>
    <w:lvl w:ilvl="0" w:tplc="0419000F">
      <w:start w:val="1"/>
      <w:numFmt w:val="decimal"/>
      <w:lvlText w:val="%1."/>
      <w:lvlJc w:val="left"/>
      <w:pPr>
        <w:tabs>
          <w:tab w:val="num" w:pos="644"/>
        </w:tabs>
        <w:ind w:left="644"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B940B3"/>
    <w:multiLevelType w:val="multilevel"/>
    <w:tmpl w:val="8638BD54"/>
    <w:lvl w:ilvl="0">
      <w:start w:val="1"/>
      <w:numFmt w:val="decimal"/>
      <w:lvlText w:val="%1."/>
      <w:lvlJc w:val="left"/>
      <w:pPr>
        <w:tabs>
          <w:tab w:val="num" w:pos="709"/>
        </w:tabs>
        <w:ind w:left="709"/>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nsid w:val="268D183B"/>
    <w:multiLevelType w:val="multilevel"/>
    <w:tmpl w:val="9E9C5BC0"/>
    <w:lvl w:ilvl="0">
      <w:start w:val="1"/>
      <w:numFmt w:val="decimal"/>
      <w:lvlText w:val="%1."/>
      <w:lvlJc w:val="left"/>
      <w:pPr>
        <w:tabs>
          <w:tab w:val="num" w:pos="1804"/>
        </w:tabs>
        <w:ind w:left="1804" w:hanging="109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BA50651"/>
    <w:multiLevelType w:val="hybridMultilevel"/>
    <w:tmpl w:val="8638BD54"/>
    <w:lvl w:ilvl="0" w:tplc="45986F1E">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E2F0096"/>
    <w:multiLevelType w:val="multilevel"/>
    <w:tmpl w:val="33DE27EC"/>
    <w:lvl w:ilvl="0">
      <w:start w:val="1"/>
      <w:numFmt w:val="bullet"/>
      <w:lvlText w:val=""/>
      <w:lvlJc w:val="left"/>
      <w:pPr>
        <w:tabs>
          <w:tab w:val="num" w:pos="624"/>
        </w:tabs>
        <w:ind w:left="624" w:hanging="34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6E1703"/>
    <w:multiLevelType w:val="hybridMultilevel"/>
    <w:tmpl w:val="E870C8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D05E5E"/>
    <w:multiLevelType w:val="hybridMultilevel"/>
    <w:tmpl w:val="3848836A"/>
    <w:lvl w:ilvl="0" w:tplc="ADD4321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3B254980"/>
    <w:multiLevelType w:val="hybridMultilevel"/>
    <w:tmpl w:val="046AB3E4"/>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C16514"/>
    <w:multiLevelType w:val="hybridMultilevel"/>
    <w:tmpl w:val="DB24A8B8"/>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CF3379"/>
    <w:multiLevelType w:val="hybridMultilevel"/>
    <w:tmpl w:val="36469888"/>
    <w:lvl w:ilvl="0" w:tplc="BBF66FC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43A96A92"/>
    <w:multiLevelType w:val="hybridMultilevel"/>
    <w:tmpl w:val="57BA0C44"/>
    <w:lvl w:ilvl="0" w:tplc="BD26CA7A">
      <w:start w:val="1"/>
      <w:numFmt w:val="decimal"/>
      <w:lvlText w:val="%1."/>
      <w:lvlJc w:val="left"/>
      <w:pPr>
        <w:tabs>
          <w:tab w:val="num" w:pos="28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036449"/>
    <w:multiLevelType w:val="hybridMultilevel"/>
    <w:tmpl w:val="33DE27EC"/>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350C8F"/>
    <w:multiLevelType w:val="hybridMultilevel"/>
    <w:tmpl w:val="A65459EC"/>
    <w:lvl w:ilvl="0" w:tplc="2C92581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nsid w:val="7D7C405B"/>
    <w:multiLevelType w:val="hybridMultilevel"/>
    <w:tmpl w:val="402C4444"/>
    <w:lvl w:ilvl="0" w:tplc="8C26325E">
      <w:start w:val="1"/>
      <w:numFmt w:val="bullet"/>
      <w:lvlText w:val=""/>
      <w:lvlJc w:val="left"/>
      <w:pPr>
        <w:tabs>
          <w:tab w:val="num" w:pos="624"/>
        </w:tabs>
        <w:ind w:left="624" w:hanging="340"/>
      </w:pPr>
      <w:rPr>
        <w:rFonts w:ascii="Webdings" w:hAnsi="Web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F17686F"/>
    <w:multiLevelType w:val="hybridMultilevel"/>
    <w:tmpl w:val="70E6965A"/>
    <w:lvl w:ilvl="0" w:tplc="8C26325E">
      <w:start w:val="1"/>
      <w:numFmt w:val="bullet"/>
      <w:lvlText w:val=""/>
      <w:lvlJc w:val="left"/>
      <w:pPr>
        <w:tabs>
          <w:tab w:val="num" w:pos="1333"/>
        </w:tabs>
        <w:ind w:left="1333" w:hanging="340"/>
      </w:pPr>
      <w:rPr>
        <w:rFonts w:ascii="Webdings" w:hAnsi="Web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9"/>
  </w:num>
  <w:num w:numId="3">
    <w:abstractNumId w:val="5"/>
  </w:num>
  <w:num w:numId="4">
    <w:abstractNumId w:val="18"/>
  </w:num>
  <w:num w:numId="5">
    <w:abstractNumId w:val="8"/>
  </w:num>
  <w:num w:numId="6">
    <w:abstractNumId w:val="7"/>
  </w:num>
  <w:num w:numId="7">
    <w:abstractNumId w:val="6"/>
  </w:num>
  <w:num w:numId="8">
    <w:abstractNumId w:val="15"/>
  </w:num>
  <w:num w:numId="9">
    <w:abstractNumId w:val="17"/>
  </w:num>
  <w:num w:numId="10">
    <w:abstractNumId w:val="12"/>
  </w:num>
  <w:num w:numId="11">
    <w:abstractNumId w:val="11"/>
  </w:num>
  <w:num w:numId="12">
    <w:abstractNumId w:val="2"/>
  </w:num>
  <w:num w:numId="13">
    <w:abstractNumId w:val="0"/>
  </w:num>
  <w:num w:numId="14">
    <w:abstractNumId w:val="13"/>
  </w:num>
  <w:num w:numId="15">
    <w:abstractNumId w:val="4"/>
  </w:num>
  <w:num w:numId="16">
    <w:abstractNumId w:val="3"/>
  </w:num>
  <w:num w:numId="17">
    <w:abstractNumId w:val="1"/>
  </w:num>
  <w:num w:numId="18">
    <w:abstractNumId w:val="19"/>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599"/>
    <w:rsid w:val="00041F9F"/>
    <w:rsid w:val="00237599"/>
    <w:rsid w:val="002605D2"/>
    <w:rsid w:val="00266011"/>
    <w:rsid w:val="00270912"/>
    <w:rsid w:val="00275760"/>
    <w:rsid w:val="002D11A1"/>
    <w:rsid w:val="004E35BE"/>
    <w:rsid w:val="00510325"/>
    <w:rsid w:val="00550D4B"/>
    <w:rsid w:val="00587E2D"/>
    <w:rsid w:val="005B3133"/>
    <w:rsid w:val="00653C00"/>
    <w:rsid w:val="006A3D3C"/>
    <w:rsid w:val="006D022C"/>
    <w:rsid w:val="00777AFD"/>
    <w:rsid w:val="007C1AC3"/>
    <w:rsid w:val="007E1048"/>
    <w:rsid w:val="0080525C"/>
    <w:rsid w:val="00832151"/>
    <w:rsid w:val="009109FD"/>
    <w:rsid w:val="00A21CA0"/>
    <w:rsid w:val="00B47CF6"/>
    <w:rsid w:val="00B96B05"/>
    <w:rsid w:val="00BF7826"/>
    <w:rsid w:val="00C31384"/>
    <w:rsid w:val="00CC7C5E"/>
    <w:rsid w:val="00D340FB"/>
    <w:rsid w:val="00D6681A"/>
    <w:rsid w:val="00DB7BBB"/>
    <w:rsid w:val="00DE13B1"/>
    <w:rsid w:val="00DE7EBB"/>
    <w:rsid w:val="00E8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4277B912-5BAD-4F6E-BEDA-1AD25265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50D4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87E2D"/>
    <w:rPr>
      <w:rFonts w:cs="Times New Roman"/>
      <w:color w:val="0000FF"/>
      <w:u w:val="single"/>
    </w:rPr>
  </w:style>
  <w:style w:type="table" w:styleId="1">
    <w:name w:val="Table Grid 1"/>
    <w:basedOn w:val="a1"/>
    <w:uiPriority w:val="99"/>
    <w:rsid w:val="007C1AC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4041</Words>
  <Characters>23035</Characters>
  <Application>Microsoft Office Word</Application>
  <DocSecurity>0</DocSecurity>
  <Lines>191</Lines>
  <Paragraphs>54</Paragraphs>
  <ScaleCrop>false</ScaleCrop>
  <Company>КвартиркО</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Введення</dc:title>
  <dc:subject/>
  <dc:creator>Шурик</dc:creator>
  <cp:keywords/>
  <dc:description/>
  <cp:lastModifiedBy>admin</cp:lastModifiedBy>
  <cp:revision>2</cp:revision>
  <dcterms:created xsi:type="dcterms:W3CDTF">2014-04-15T14:52:00Z</dcterms:created>
  <dcterms:modified xsi:type="dcterms:W3CDTF">2014-04-15T14:52:00Z</dcterms:modified>
</cp:coreProperties>
</file>