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46" w:rsidRDefault="00454586">
      <w:pPr>
        <w:pStyle w:val="a3"/>
      </w:pPr>
      <w:r>
        <w:br/>
      </w:r>
    </w:p>
    <w:p w:rsidR="00992946" w:rsidRDefault="00454586">
      <w:pPr>
        <w:pStyle w:val="a3"/>
      </w:pPr>
      <w:r>
        <w:rPr>
          <w:b/>
          <w:bCs/>
        </w:rPr>
        <w:t>Румийский календарь</w:t>
      </w:r>
      <w:r>
        <w:t xml:space="preserve"> (тур. Rumi takvim) — календарь, официально использовавшийся в Османской империи (с Танзимата, то есть с 1839 года) и её преемнице — Турецкой республике до перехода в 1926 году на современный календарь.</w:t>
      </w:r>
    </w:p>
    <w:p w:rsidR="00992946" w:rsidRDefault="00454586">
      <w:pPr>
        <w:pStyle w:val="21"/>
        <w:numPr>
          <w:ilvl w:val="0"/>
          <w:numId w:val="0"/>
        </w:numPr>
      </w:pPr>
      <w:r>
        <w:t>История</w:t>
      </w:r>
    </w:p>
    <w:p w:rsidR="00992946" w:rsidRDefault="00454586">
      <w:pPr>
        <w:pStyle w:val="a3"/>
      </w:pPr>
      <w:r>
        <w:t>Османская империя, будучи исламским государством, использовала исламский календарь. Из-за того, что длина лунного месяца не является целым делителем длины тропического года, то лунный календарь быстро «дрейфует» по временам года.</w:t>
      </w:r>
    </w:p>
    <w:p w:rsidR="00992946" w:rsidRDefault="00454586">
      <w:pPr>
        <w:pStyle w:val="a3"/>
      </w:pPr>
      <w:r>
        <w:t>В 1677 году Хасан-паша — главный казначей султана Мехмеда IV — предложил исправление финансовых документов путём выбрасывания одного года, «набегающего» из-за разницы между лунным и солнечным календарями, каждые 33 года.</w:t>
      </w:r>
    </w:p>
    <w:p w:rsidR="00992946" w:rsidRDefault="00454586">
      <w:pPr>
        <w:pStyle w:val="a3"/>
      </w:pPr>
      <w:r>
        <w:t>В 1740 году, во время правления Махмуда I, по предложению казначея Атыф-эфенди в качестве первого месяца фискального года был установлен март вместо мухаррама. Это летоисчисление применялось для налоговых платежей и при ведении дел с государственными структурами.</w:t>
      </w:r>
    </w:p>
    <w:p w:rsidR="00992946" w:rsidRDefault="00454586">
      <w:pPr>
        <w:pStyle w:val="a3"/>
      </w:pPr>
      <w:r>
        <w:t>В 1794 году, во время правления Абдул-Хамида I, по предложению казначея Османа-эфенди область действия фискального календаря была распространена на государственные расходы и платежи, чтобы избежать дополнительных трат, возникающих из-за разницы между лунным исламским и солнечным юлианским календарями.</w:t>
      </w:r>
    </w:p>
    <w:p w:rsidR="00992946" w:rsidRDefault="00454586">
      <w:pPr>
        <w:pStyle w:val="a3"/>
      </w:pPr>
      <w:r>
        <w:t>Юлианский календарь, использовавшийся с 1677 года лишь в фискальных целях, с 13 марта 1840 года (1256 года хиджры), вскоре после восшествия на престол Абдул-Меджида I, в рамках танзимата стал официальным календарём для всех гражданских целей, и получил название «Румийский календарь» (то есть «Римский календарь» или «Календарь ромеев»). Летоисчисление начиналось с 622 года, года исхода Магомета из Мекки в Медину, как и в исламском календаре, а названия месяцев и дней были заимствованы из юлианского календаря; год начинался с марта. Так как в 1256 году хиджры разница между григорианским календарём (использующимся проживающими в Османской империи христианами) и исламским календарём составляла 584 года, то из-за перехода с лунного на солнечный календарь разница между румийским и грегорианским календарями стала постоянной и составляет 584 года.</w:t>
      </w:r>
    </w:p>
    <w:p w:rsidR="00992946" w:rsidRDefault="00454586">
      <w:pPr>
        <w:pStyle w:val="a3"/>
      </w:pPr>
      <w:r>
        <w:t>Чтобы облегчить переход с одного календаря на другой, в феврале 1917 года была устранена 13-дневная разница между днями румийского календаря и григорианского календаря, и день 1 марта 1917 года григорианского календаря из 16 февраля 1332 года румийского календаря превратился в 1 марта 1333 года румийского календаря. 1333 год румийского календаря состоял лишь из 10 месяцев, и длился с 1 марта по 31 декабря; 1 января стал первым днём нового 1334 года. 26 декабря 1341 румийского года (1925 года по европейскому летоисчислению) в рамках реформ Ататюрка румийский календарь был заменён григорианским. 10 января 1945 года названия четырёх месяцев, которые были на смеси семитского и османского (Тешрин-и Эвель, Тешрин-и Сани) и на османском языке (Канун-и Эвель, Канун-и Сани) были заменены на чисто турецкие (Эким, Касым, Аралык, Оджак). День 1 марта оставался началом финансового года до 1981 года.</w:t>
      </w:r>
    </w:p>
    <w:p w:rsidR="00992946" w:rsidRDefault="00992946">
      <w:pPr>
        <w:pStyle w:val="a3"/>
      </w:pPr>
    </w:p>
    <w:tbl>
      <w:tblPr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0"/>
        <w:gridCol w:w="1700"/>
        <w:gridCol w:w="1355"/>
        <w:gridCol w:w="1550"/>
        <w:gridCol w:w="950"/>
        <w:gridCol w:w="263"/>
      </w:tblGrid>
      <w:tr w:rsidR="00992946">
        <w:trPr>
          <w:jc w:val="center"/>
        </w:trPr>
        <w:tc>
          <w:tcPr>
            <w:tcW w:w="6798" w:type="dxa"/>
            <w:gridSpan w:val="6"/>
            <w:shd w:val="clear" w:color="auto" w:fill="AAAAFF"/>
            <w:vAlign w:val="center"/>
          </w:tcPr>
          <w:p w:rsidR="00992946" w:rsidRDefault="004545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Месяцы румийского календаря</w:t>
            </w: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AAAAFF"/>
            <w:vAlign w:val="center"/>
          </w:tcPr>
          <w:p w:rsidR="00992946" w:rsidRDefault="004545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700" w:type="dxa"/>
            <w:shd w:val="clear" w:color="auto" w:fill="AAAAFF"/>
            <w:vAlign w:val="center"/>
          </w:tcPr>
          <w:p w:rsidR="00992946" w:rsidRDefault="004545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фискальном году</w:t>
            </w:r>
          </w:p>
        </w:tc>
        <w:tc>
          <w:tcPr>
            <w:tcW w:w="1355" w:type="dxa"/>
            <w:shd w:val="clear" w:color="auto" w:fill="AAAAFF"/>
            <w:vAlign w:val="center"/>
          </w:tcPr>
          <w:p w:rsidR="00992946" w:rsidRDefault="004545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Турецкий язык</w:t>
            </w:r>
          </w:p>
        </w:tc>
        <w:tc>
          <w:tcPr>
            <w:tcW w:w="1550" w:type="dxa"/>
            <w:shd w:val="clear" w:color="auto" w:fill="AAAAFF"/>
            <w:vAlign w:val="center"/>
          </w:tcPr>
          <w:p w:rsidR="00992946" w:rsidRDefault="004545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Османский язык</w:t>
            </w:r>
          </w:p>
        </w:tc>
        <w:tc>
          <w:tcPr>
            <w:tcW w:w="950" w:type="dxa"/>
            <w:shd w:val="clear" w:color="auto" w:fill="AAAAFF"/>
            <w:vAlign w:val="center"/>
          </w:tcPr>
          <w:p w:rsidR="00992946" w:rsidRDefault="0045458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дней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1</w:t>
            </w:r>
          </w:p>
        </w:tc>
        <w:tc>
          <w:tcPr>
            <w:tcW w:w="170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11-й месяц</w:t>
            </w:r>
          </w:p>
        </w:tc>
        <w:tc>
          <w:tcPr>
            <w:tcW w:w="1355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Kânûn-ı Sânî</w:t>
            </w:r>
          </w:p>
        </w:tc>
        <w:tc>
          <w:tcPr>
            <w:tcW w:w="15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كانون ثاني</w:t>
            </w:r>
          </w:p>
        </w:tc>
        <w:tc>
          <w:tcPr>
            <w:tcW w:w="9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31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2</w:t>
            </w:r>
          </w:p>
        </w:tc>
        <w:tc>
          <w:tcPr>
            <w:tcW w:w="170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12-й месяц</w:t>
            </w:r>
          </w:p>
        </w:tc>
        <w:tc>
          <w:tcPr>
            <w:tcW w:w="1355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Şubat</w:t>
            </w:r>
          </w:p>
        </w:tc>
        <w:tc>
          <w:tcPr>
            <w:tcW w:w="15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شباط</w:t>
            </w:r>
          </w:p>
        </w:tc>
        <w:tc>
          <w:tcPr>
            <w:tcW w:w="9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28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</w:t>
            </w:r>
          </w:p>
        </w:tc>
        <w:tc>
          <w:tcPr>
            <w:tcW w:w="170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1-й месяц</w:t>
            </w:r>
          </w:p>
        </w:tc>
        <w:tc>
          <w:tcPr>
            <w:tcW w:w="1355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Mart</w:t>
            </w:r>
          </w:p>
        </w:tc>
        <w:tc>
          <w:tcPr>
            <w:tcW w:w="15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مارت</w:t>
            </w:r>
          </w:p>
        </w:tc>
        <w:tc>
          <w:tcPr>
            <w:tcW w:w="9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31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4</w:t>
            </w:r>
          </w:p>
        </w:tc>
        <w:tc>
          <w:tcPr>
            <w:tcW w:w="170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2-й месяц</w:t>
            </w:r>
          </w:p>
        </w:tc>
        <w:tc>
          <w:tcPr>
            <w:tcW w:w="1355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Nisan</w:t>
            </w:r>
          </w:p>
        </w:tc>
        <w:tc>
          <w:tcPr>
            <w:tcW w:w="15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  <w:rPr>
                <w:cs/>
              </w:rPr>
            </w:pPr>
            <w:r>
              <w:rPr>
                <w:rtl/>
              </w:rPr>
              <w:t>نيسان</w:t>
            </w:r>
            <w:r>
              <w:rPr>
                <w:cs/>
              </w:rPr>
              <w:t xml:space="preserve"> </w:t>
            </w:r>
          </w:p>
        </w:tc>
        <w:tc>
          <w:tcPr>
            <w:tcW w:w="9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30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5</w:t>
            </w:r>
          </w:p>
        </w:tc>
        <w:tc>
          <w:tcPr>
            <w:tcW w:w="170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3-й месяц</w:t>
            </w:r>
          </w:p>
        </w:tc>
        <w:tc>
          <w:tcPr>
            <w:tcW w:w="1355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Mayıs</w:t>
            </w:r>
          </w:p>
        </w:tc>
        <w:tc>
          <w:tcPr>
            <w:tcW w:w="15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مايس</w:t>
            </w:r>
          </w:p>
        </w:tc>
        <w:tc>
          <w:tcPr>
            <w:tcW w:w="9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31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6</w:t>
            </w:r>
          </w:p>
        </w:tc>
        <w:tc>
          <w:tcPr>
            <w:tcW w:w="170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4-й месяц</w:t>
            </w:r>
          </w:p>
        </w:tc>
        <w:tc>
          <w:tcPr>
            <w:tcW w:w="1355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Haziran</w:t>
            </w:r>
          </w:p>
        </w:tc>
        <w:tc>
          <w:tcPr>
            <w:tcW w:w="15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حزيران</w:t>
            </w:r>
          </w:p>
        </w:tc>
        <w:tc>
          <w:tcPr>
            <w:tcW w:w="9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30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7</w:t>
            </w:r>
          </w:p>
        </w:tc>
        <w:tc>
          <w:tcPr>
            <w:tcW w:w="170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5-й месяц</w:t>
            </w:r>
          </w:p>
        </w:tc>
        <w:tc>
          <w:tcPr>
            <w:tcW w:w="1355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Temmuz</w:t>
            </w:r>
          </w:p>
        </w:tc>
        <w:tc>
          <w:tcPr>
            <w:tcW w:w="15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تموز</w:t>
            </w:r>
          </w:p>
        </w:tc>
        <w:tc>
          <w:tcPr>
            <w:tcW w:w="9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31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8</w:t>
            </w:r>
          </w:p>
        </w:tc>
        <w:tc>
          <w:tcPr>
            <w:tcW w:w="170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6-й месяц</w:t>
            </w:r>
          </w:p>
        </w:tc>
        <w:tc>
          <w:tcPr>
            <w:tcW w:w="1355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Ağustos</w:t>
            </w:r>
          </w:p>
        </w:tc>
        <w:tc>
          <w:tcPr>
            <w:tcW w:w="15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اغستوس</w:t>
            </w:r>
          </w:p>
        </w:tc>
        <w:tc>
          <w:tcPr>
            <w:tcW w:w="9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31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9</w:t>
            </w:r>
          </w:p>
        </w:tc>
        <w:tc>
          <w:tcPr>
            <w:tcW w:w="170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7-й месяц</w:t>
            </w:r>
          </w:p>
        </w:tc>
        <w:tc>
          <w:tcPr>
            <w:tcW w:w="1355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Eylül</w:t>
            </w:r>
          </w:p>
        </w:tc>
        <w:tc>
          <w:tcPr>
            <w:tcW w:w="15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ايلول</w:t>
            </w:r>
          </w:p>
        </w:tc>
        <w:tc>
          <w:tcPr>
            <w:tcW w:w="9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30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10</w:t>
            </w:r>
          </w:p>
        </w:tc>
        <w:tc>
          <w:tcPr>
            <w:tcW w:w="170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8-й месяц</w:t>
            </w:r>
          </w:p>
        </w:tc>
        <w:tc>
          <w:tcPr>
            <w:tcW w:w="1355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Teşrin-i Evvel</w:t>
            </w:r>
          </w:p>
        </w:tc>
        <w:tc>
          <w:tcPr>
            <w:tcW w:w="15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تشرين اول</w:t>
            </w:r>
          </w:p>
        </w:tc>
        <w:tc>
          <w:tcPr>
            <w:tcW w:w="9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31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11</w:t>
            </w:r>
          </w:p>
        </w:tc>
        <w:tc>
          <w:tcPr>
            <w:tcW w:w="170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9-й месяц</w:t>
            </w:r>
          </w:p>
        </w:tc>
        <w:tc>
          <w:tcPr>
            <w:tcW w:w="1355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Teşrin-i Sânî</w:t>
            </w:r>
          </w:p>
        </w:tc>
        <w:tc>
          <w:tcPr>
            <w:tcW w:w="15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تشرين ثاني</w:t>
            </w:r>
          </w:p>
        </w:tc>
        <w:tc>
          <w:tcPr>
            <w:tcW w:w="950" w:type="dxa"/>
            <w:shd w:val="clear" w:color="auto" w:fill="DDDDFF"/>
            <w:vAlign w:val="center"/>
          </w:tcPr>
          <w:p w:rsidR="00992946" w:rsidRDefault="00454586">
            <w:pPr>
              <w:pStyle w:val="TableContents"/>
            </w:pPr>
            <w:r>
              <w:t>30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  <w:tr w:rsidR="00992946">
        <w:trPr>
          <w:jc w:val="center"/>
        </w:trPr>
        <w:tc>
          <w:tcPr>
            <w:tcW w:w="98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12</w:t>
            </w:r>
          </w:p>
        </w:tc>
        <w:tc>
          <w:tcPr>
            <w:tcW w:w="170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10-й месяц</w:t>
            </w:r>
          </w:p>
        </w:tc>
        <w:tc>
          <w:tcPr>
            <w:tcW w:w="1355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Kânûn-ı Evvel</w:t>
            </w:r>
          </w:p>
        </w:tc>
        <w:tc>
          <w:tcPr>
            <w:tcW w:w="15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  <w:rPr>
                <w:rtl/>
              </w:rPr>
            </w:pPr>
            <w:r>
              <w:rPr>
                <w:rtl/>
              </w:rPr>
              <w:t>كانون اول</w:t>
            </w:r>
          </w:p>
        </w:tc>
        <w:tc>
          <w:tcPr>
            <w:tcW w:w="950" w:type="dxa"/>
            <w:shd w:val="clear" w:color="auto" w:fill="EEEEFF"/>
            <w:vAlign w:val="center"/>
          </w:tcPr>
          <w:p w:rsidR="00992946" w:rsidRDefault="00454586">
            <w:pPr>
              <w:pStyle w:val="TableContents"/>
            </w:pPr>
            <w:r>
              <w:t>31</w:t>
            </w:r>
          </w:p>
        </w:tc>
        <w:tc>
          <w:tcPr>
            <w:tcW w:w="263" w:type="dxa"/>
          </w:tcPr>
          <w:p w:rsidR="00992946" w:rsidRDefault="0099294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92946" w:rsidRDefault="00454586">
      <w:pPr>
        <w:pStyle w:val="21"/>
        <w:numPr>
          <w:ilvl w:val="0"/>
          <w:numId w:val="0"/>
        </w:numPr>
      </w:pPr>
      <w:r>
        <w:t>Двойная датировка</w:t>
      </w:r>
    </w:p>
    <w:p w:rsidR="00992946" w:rsidRDefault="00454586">
      <w:pPr>
        <w:pStyle w:val="a3"/>
      </w:pPr>
      <w:r>
        <w:t>Для религиозных целей в Османской империи параллельно с румийским календарём использовался и исламский календарь. Чтобы избежать путаницы с датами, в большинстве документов использовались оба календаря одновременно.</w:t>
      </w:r>
    </w:p>
    <w:p w:rsidR="00992946" w:rsidRDefault="00454586">
      <w:pPr>
        <w:pStyle w:val="a3"/>
      </w:pPr>
      <w:r>
        <w:t>Источник: http://ru.wikipedia.org/wiki/Румийский_календарь</w:t>
      </w:r>
      <w:bookmarkStart w:id="0" w:name="_GoBack"/>
      <w:bookmarkEnd w:id="0"/>
    </w:p>
    <w:sectPr w:rsidR="0099294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86"/>
    <w:rsid w:val="00454586"/>
    <w:rsid w:val="006244A4"/>
    <w:rsid w:val="009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971C0-7C39-455E-A192-CE41BC06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2014-06-22T18:30:00Z</dcterms:created>
  <dcterms:modified xsi:type="dcterms:W3CDTF">2014-06-22T18:30:00Z</dcterms:modified>
</cp:coreProperties>
</file>