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DA" w:rsidRDefault="00BC75DA" w:rsidP="0099709A">
      <w:pPr>
        <w:jc w:val="both"/>
      </w:pPr>
    </w:p>
    <w:p w:rsidR="00981E11" w:rsidRDefault="00981E11" w:rsidP="0099709A">
      <w:pPr>
        <w:jc w:val="both"/>
        <w:rPr>
          <w:rFonts w:ascii="Times New Roman" w:hAnsi="Times New Roman"/>
          <w:sz w:val="28"/>
        </w:rPr>
      </w:pPr>
      <w:r>
        <w:t xml:space="preserve">                                                       </w:t>
      </w:r>
      <w:r>
        <w:rPr>
          <w:rFonts w:ascii="Times New Roman" w:hAnsi="Times New Roman"/>
          <w:sz w:val="28"/>
        </w:rPr>
        <w:t>Вариант 1</w:t>
      </w:r>
    </w:p>
    <w:p w:rsidR="00981E11" w:rsidRDefault="00981E11">
      <w:pPr>
        <w:rPr>
          <w:rFonts w:ascii="Times New Roman" w:hAnsi="Times New Roman"/>
          <w:sz w:val="28"/>
        </w:rPr>
      </w:pPr>
      <w:r>
        <w:rPr>
          <w:rFonts w:ascii="Times New Roman" w:hAnsi="Times New Roman"/>
          <w:sz w:val="28"/>
        </w:rPr>
        <w:t>Вопрос 1.</w:t>
      </w:r>
    </w:p>
    <w:p w:rsidR="00981E11" w:rsidRDefault="00981E11" w:rsidP="00241B1B">
      <w:pPr>
        <w:jc w:val="both"/>
        <w:rPr>
          <w:rFonts w:ascii="Times New Roman" w:hAnsi="Times New Roman"/>
          <w:sz w:val="28"/>
        </w:rPr>
      </w:pPr>
      <w:r>
        <w:rPr>
          <w:rFonts w:ascii="Times New Roman" w:hAnsi="Times New Roman"/>
          <w:sz w:val="28"/>
        </w:rPr>
        <w:t xml:space="preserve">    Роль денег определяется в их функциях. Все функции денег отражены в их стандартном определении: </w:t>
      </w:r>
      <w:r>
        <w:rPr>
          <w:rFonts w:ascii="Times New Roman" w:hAnsi="Times New Roman"/>
          <w:b/>
          <w:i/>
          <w:sz w:val="28"/>
        </w:rPr>
        <w:t>деньги –</w:t>
      </w:r>
      <w:r>
        <w:rPr>
          <w:rFonts w:ascii="Times New Roman" w:hAnsi="Times New Roman"/>
          <w:sz w:val="28"/>
        </w:rPr>
        <w:t xml:space="preserve"> это средство оплаты товаров и услуг, средство измерения стоимости, а также средство сохранения стоимости.</w:t>
      </w:r>
    </w:p>
    <w:p w:rsidR="00981E11" w:rsidRDefault="00981E11" w:rsidP="00241B1B">
      <w:pPr>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Мера стоимости. </w:t>
      </w:r>
      <w:r>
        <w:rPr>
          <w:rFonts w:ascii="Times New Roman" w:hAnsi="Times New Roman"/>
          <w:sz w:val="28"/>
        </w:rPr>
        <w:t>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мяса через зерно, карандаши, сигареты, автомобили и т.д. 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981E11" w:rsidRDefault="00981E11" w:rsidP="00241B1B">
      <w:pPr>
        <w:jc w:val="both"/>
        <w:rPr>
          <w:rFonts w:ascii="Times New Roman" w:hAnsi="Times New Roman"/>
          <w:sz w:val="28"/>
        </w:rPr>
      </w:pPr>
      <w:r>
        <w:rPr>
          <w:rFonts w:ascii="Times New Roman" w:hAnsi="Times New Roman"/>
          <w:sz w:val="28"/>
        </w:rPr>
        <w:t xml:space="preserve">    Некоторые затруднения в определении цены возникают в связи с переходом от применения денег, обладающих собственной стоимостью, к использованию денежных знаков, которые нельзя разменять на золото. При использовании полноценных денег обычно фиксируется их золотое содержание, которое позволяет иметь такую величину в качестве масштаба цен.</w:t>
      </w:r>
    </w:p>
    <w:p w:rsidR="00981E11" w:rsidRDefault="00981E11" w:rsidP="00241B1B">
      <w:pPr>
        <w:jc w:val="both"/>
        <w:rPr>
          <w:rFonts w:ascii="Times New Roman" w:hAnsi="Times New Roman"/>
          <w:sz w:val="28"/>
        </w:rPr>
      </w:pPr>
      <w:r>
        <w:rPr>
          <w:rFonts w:ascii="Times New Roman" w:hAnsi="Times New Roman"/>
          <w:i/>
          <w:sz w:val="28"/>
        </w:rPr>
        <w:t xml:space="preserve">    Масштаб цен – </w:t>
      </w:r>
      <w:r>
        <w:rPr>
          <w:rFonts w:ascii="Times New Roman" w:hAnsi="Times New Roman"/>
          <w:sz w:val="28"/>
        </w:rPr>
        <w:t>весомое содержание золота в денежной единице. Цены увязываются с масштабом цен. Правительство любой страны может изменить установленный ранее масштаб цен. Такое изменение называется денежной реформой.</w:t>
      </w:r>
    </w:p>
    <w:p w:rsidR="00981E11" w:rsidRDefault="00981E11" w:rsidP="00241B1B">
      <w:pPr>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Денежная реформа – </w:t>
      </w:r>
      <w:r>
        <w:rPr>
          <w:rFonts w:ascii="Times New Roman" w:hAnsi="Times New Roman"/>
          <w:sz w:val="28"/>
        </w:rPr>
        <w:t>переход от одной меры стоимости к другой, сопровождаемый уменьшением общего количества денег.</w:t>
      </w:r>
    </w:p>
    <w:p w:rsidR="00981E11" w:rsidRDefault="00981E11" w:rsidP="00241B1B">
      <w:pPr>
        <w:jc w:val="both"/>
        <w:rPr>
          <w:rFonts w:ascii="Times New Roman" w:hAnsi="Times New Roman"/>
          <w:sz w:val="28"/>
        </w:rPr>
      </w:pPr>
      <w:r>
        <w:rPr>
          <w:rFonts w:ascii="Times New Roman" w:hAnsi="Times New Roman"/>
          <w:b/>
          <w:i/>
          <w:sz w:val="28"/>
        </w:rPr>
        <w:t xml:space="preserve">    Средство платежа. </w:t>
      </w:r>
      <w:r>
        <w:rPr>
          <w:rFonts w:ascii="Times New Roman" w:hAnsi="Times New Roman"/>
          <w:sz w:val="28"/>
        </w:rPr>
        <w:t>Деньги</w:t>
      </w:r>
      <w:r w:rsidRPr="004E3D22">
        <w:rPr>
          <w:rFonts w:ascii="Times New Roman" w:hAnsi="Times New Roman"/>
          <w:sz w:val="28"/>
        </w:rPr>
        <w:t xml:space="preserve"> </w:t>
      </w:r>
      <w:r>
        <w:rPr>
          <w:rFonts w:ascii="Times New Roman" w:hAnsi="Times New Roman"/>
          <w:sz w:val="28"/>
        </w:rPr>
        <w:t>выступают как средство платежа. Эта функция денег проявляется прежде всего в обслуживании платежей вне сферы товарооборота (налоги, социальные выплаты, проценты за кредит). Деньги легко принимаются в качестве средства платежа. Это удобное социальное изобретение, позволяющее платить владельцам ресурсов и производителям «товаров» (деньгами), который может быть использован для покупки любого из всего набора товаров и услуг, имеющихся на рынке.</w:t>
      </w:r>
    </w:p>
    <w:p w:rsidR="00981E11" w:rsidRDefault="00981E11" w:rsidP="00241B1B">
      <w:pPr>
        <w:jc w:val="both"/>
        <w:rPr>
          <w:rFonts w:ascii="Times New Roman" w:hAnsi="Times New Roman"/>
          <w:sz w:val="28"/>
        </w:rPr>
      </w:pPr>
      <w:r>
        <w:rPr>
          <w:rFonts w:ascii="Times New Roman" w:hAnsi="Times New Roman"/>
          <w:sz w:val="28"/>
        </w:rPr>
        <w:t xml:space="preserve">    В качестве средства платежа участвуют и </w:t>
      </w:r>
      <w:r>
        <w:rPr>
          <w:rFonts w:ascii="Times New Roman" w:hAnsi="Times New Roman"/>
          <w:i/>
          <w:sz w:val="28"/>
        </w:rPr>
        <w:t>наличные,</w:t>
      </w:r>
      <w:r>
        <w:rPr>
          <w:rFonts w:ascii="Times New Roman" w:hAnsi="Times New Roman"/>
          <w:sz w:val="28"/>
        </w:rPr>
        <w:t xml:space="preserve"> и </w:t>
      </w:r>
      <w:r>
        <w:rPr>
          <w:rFonts w:ascii="Times New Roman" w:hAnsi="Times New Roman"/>
          <w:i/>
          <w:sz w:val="28"/>
        </w:rPr>
        <w:t xml:space="preserve">безличные </w:t>
      </w:r>
      <w:r>
        <w:rPr>
          <w:rFonts w:ascii="Times New Roman" w:hAnsi="Times New Roman"/>
          <w:sz w:val="28"/>
        </w:rPr>
        <w:t>деньги. Наличные – между физическими лицами, безличные – в основном обороте.</w:t>
      </w:r>
    </w:p>
    <w:p w:rsidR="00981E11" w:rsidRDefault="00981E11" w:rsidP="00241B1B">
      <w:pPr>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Средство обращения. </w:t>
      </w:r>
      <w:r>
        <w:rPr>
          <w:rFonts w:ascii="Times New Roman" w:hAnsi="Times New Roman"/>
          <w:sz w:val="28"/>
        </w:rPr>
        <w:t>Деньги выступают как средство обращения обслуживания товарооборота.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981E11" w:rsidRDefault="00981E11" w:rsidP="00241B1B">
      <w:pPr>
        <w:jc w:val="both"/>
        <w:rPr>
          <w:rFonts w:ascii="Times New Roman" w:hAnsi="Times New Roman"/>
          <w:sz w:val="28"/>
        </w:rPr>
      </w:pPr>
      <w:r>
        <w:rPr>
          <w:rFonts w:ascii="Times New Roman" w:hAnsi="Times New Roman"/>
          <w:sz w:val="28"/>
        </w:rPr>
        <w:t xml:space="preserve">    Большое значение имеет </w:t>
      </w:r>
      <w:r>
        <w:rPr>
          <w:rFonts w:ascii="Times New Roman" w:hAnsi="Times New Roman"/>
          <w:i/>
          <w:sz w:val="28"/>
        </w:rPr>
        <w:t xml:space="preserve">скорость обращения денег: </w:t>
      </w:r>
      <w:r>
        <w:rPr>
          <w:rFonts w:ascii="Times New Roman" w:hAnsi="Times New Roman"/>
          <w:sz w:val="28"/>
        </w:rPr>
        <w:t>чем быстрее совершается оборот, тем меньше нужно денег для обращения товара. При выполнении деньгами функции средства обращения важно, чтобы объем платежеспособного спроса соответствовал предложению товара. Снабжение оборота необходимой массой денежных знаков приобретает большое значение.</w:t>
      </w:r>
    </w:p>
    <w:p w:rsidR="00981E11" w:rsidRDefault="00981E11" w:rsidP="00241B1B">
      <w:pPr>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Средство накопления (сбережения). </w:t>
      </w:r>
      <w:r>
        <w:rPr>
          <w:rFonts w:ascii="Times New Roman" w:hAnsi="Times New Roman"/>
          <w:sz w:val="28"/>
        </w:rPr>
        <w:t>Деньги, не участвующие в обороте, образуют денежные накопления. Это наличные деньги, хранящиеся у граждан, а также остатки денег на счетах в банке. Люди могут хранить свое богатство в виде драгоценностей, произведений искусства, домов, акций и облигаций и во многих других формах. Однако деньги больше подходят для выполнения этой функции, поскольку им присуща ликвидность.</w:t>
      </w:r>
    </w:p>
    <w:p w:rsidR="00981E11" w:rsidRDefault="00981E11" w:rsidP="00241B1B">
      <w:pPr>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Ликвидность – </w:t>
      </w:r>
      <w:r>
        <w:rPr>
          <w:rFonts w:ascii="Times New Roman" w:hAnsi="Times New Roman"/>
          <w:sz w:val="28"/>
        </w:rPr>
        <w:t>возможность использования актива в качестве средства платежа, и способность актива сохранять свою номинальную стоимость неизменной.</w:t>
      </w:r>
    </w:p>
    <w:p w:rsidR="00981E11" w:rsidRDefault="00981E11" w:rsidP="00241B1B">
      <w:pPr>
        <w:jc w:val="both"/>
        <w:rPr>
          <w:rFonts w:ascii="Times New Roman" w:hAnsi="Times New Roman"/>
          <w:sz w:val="28"/>
        </w:rPr>
      </w:pPr>
      <w:r>
        <w:rPr>
          <w:rFonts w:ascii="Times New Roman" w:hAnsi="Times New Roman"/>
          <w:sz w:val="28"/>
        </w:rPr>
        <w:t xml:space="preserve">    Деньги по определению обладают совершенной ликвидностью. Они могут быть использованы как средство платежа, и поскольку они выполняют функцию меры стоимости, то не изменяют своей собственной номинальной стоимости в терминах масштаба цен. Всем остальным видам активов ликвидность присуща лишь в большей или меньшей степени.</w:t>
      </w:r>
    </w:p>
    <w:p w:rsidR="00981E11" w:rsidRDefault="00981E11" w:rsidP="00241B1B">
      <w:pPr>
        <w:jc w:val="both"/>
        <w:rPr>
          <w:rFonts w:ascii="Times New Roman" w:hAnsi="Times New Roman"/>
          <w:sz w:val="28"/>
        </w:rPr>
      </w:pPr>
      <w:r>
        <w:rPr>
          <w:rFonts w:ascii="Times New Roman" w:hAnsi="Times New Roman"/>
          <w:sz w:val="28"/>
        </w:rPr>
        <w:t xml:space="preserve">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981E11" w:rsidRDefault="00981E11" w:rsidP="00241B1B">
      <w:pPr>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Мировые деньги. </w:t>
      </w:r>
      <w:r>
        <w:rPr>
          <w:rFonts w:ascii="Times New Roman" w:hAnsi="Times New Roman"/>
          <w:sz w:val="28"/>
        </w:rPr>
        <w:t>Функция «мировые деньги» - это деньги в системе международных отношений. Они функционируют как всеобщее платежное средство, всеобщее покупательское средство и всеобщая материализация общественного богатства. Мировыми деньгами выступало золото как средство регулирования платежного баланса кредитные деньги отдельных государств, разменные на золото: в основном доллар США и английский фунт стерлингов.</w:t>
      </w:r>
    </w:p>
    <w:p w:rsidR="00981E11" w:rsidRDefault="00981E11" w:rsidP="00241B1B">
      <w:pPr>
        <w:jc w:val="both"/>
        <w:rPr>
          <w:rFonts w:ascii="Times New Roman" w:hAnsi="Times New Roman"/>
          <w:sz w:val="28"/>
        </w:rPr>
      </w:pPr>
      <w:r>
        <w:rPr>
          <w:rFonts w:ascii="Times New Roman" w:hAnsi="Times New Roman"/>
          <w:sz w:val="28"/>
        </w:rPr>
        <w:t>Вопрос 2.</w:t>
      </w:r>
    </w:p>
    <w:p w:rsidR="00981E11" w:rsidRDefault="00981E11" w:rsidP="00241B1B">
      <w:pPr>
        <w:jc w:val="both"/>
        <w:rPr>
          <w:rFonts w:ascii="Times New Roman" w:hAnsi="Times New Roman"/>
          <w:sz w:val="28"/>
        </w:rPr>
      </w:pPr>
      <w:r>
        <w:rPr>
          <w:rFonts w:ascii="Times New Roman" w:hAnsi="Times New Roman"/>
          <w:sz w:val="28"/>
        </w:rPr>
        <w:t xml:space="preserve">    Центральное место в системе государственных финансов занимает государственный бюджет или еще его называют федеральный бюджет – это имеющий силу закона финансовый план государства на текущий финансовый год. В соответствии со статьей 6 БК РФ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981E11" w:rsidRDefault="00981E11" w:rsidP="00241B1B">
      <w:pPr>
        <w:jc w:val="both"/>
        <w:rPr>
          <w:rFonts w:ascii="Times New Roman" w:hAnsi="Times New Roman"/>
          <w:sz w:val="28"/>
        </w:rPr>
      </w:pPr>
      <w:r>
        <w:rPr>
          <w:rFonts w:ascii="Times New Roman" w:hAnsi="Times New Roman"/>
          <w:sz w:val="28"/>
        </w:rPr>
        <w:t xml:space="preserve">    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Расходная часть показывает, на какие цели направляются аккумулированные государством средства.</w:t>
      </w:r>
    </w:p>
    <w:p w:rsidR="00981E11" w:rsidRDefault="00981E11" w:rsidP="00241B1B">
      <w:pPr>
        <w:jc w:val="both"/>
        <w:rPr>
          <w:rFonts w:ascii="Times New Roman" w:hAnsi="Times New Roman"/>
          <w:sz w:val="28"/>
        </w:rPr>
      </w:pPr>
      <w:r>
        <w:rPr>
          <w:rFonts w:ascii="Times New Roman" w:hAnsi="Times New Roman"/>
          <w:sz w:val="28"/>
        </w:rPr>
        <w:t xml:space="preserve">    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т.е. росписью доходов и расходов государства, согласованных друг с другом, как по объему, так и по срокам поступления и использования.</w:t>
      </w:r>
    </w:p>
    <w:p w:rsidR="00981E11" w:rsidRDefault="00981E11" w:rsidP="00241B1B">
      <w:pPr>
        <w:jc w:val="both"/>
        <w:rPr>
          <w:rFonts w:ascii="Times New Roman" w:hAnsi="Times New Roman"/>
          <w:sz w:val="28"/>
        </w:rPr>
      </w:pPr>
      <w:r>
        <w:rPr>
          <w:rFonts w:ascii="Times New Roman" w:hAnsi="Times New Roman"/>
          <w:sz w:val="28"/>
        </w:rPr>
        <w:t xml:space="preserve">    В соответствии со статьей 21 БК РФ классификация расходов бюджета состоит из 11 разделов. Они являются едиными для бюджетов бюджетной системы Российской Федерации разделами и подразделами классификации расходов бюджетов, рассмотрим их подробнее в таблице.</w:t>
      </w:r>
    </w:p>
    <w:p w:rsidR="00981E11" w:rsidRDefault="00981E11" w:rsidP="00241B1B">
      <w:pPr>
        <w:jc w:val="both"/>
        <w:rPr>
          <w:rFonts w:ascii="Times New Roman" w:hAnsi="Times New Roman"/>
          <w:b/>
        </w:rPr>
      </w:pPr>
      <w:r>
        <w:rPr>
          <w:rFonts w:ascii="Times New Roman" w:hAnsi="Times New Roman"/>
          <w:sz w:val="28"/>
        </w:rPr>
        <w:t xml:space="preserve">  </w:t>
      </w:r>
      <w:r>
        <w:rPr>
          <w:rFonts w:ascii="Times New Roman" w:hAnsi="Times New Roman"/>
          <w:b/>
        </w:rPr>
        <w:t>Расходы федерального бюджета на 2008 год и на плановый период 2009 и 2010 годы</w:t>
      </w:r>
    </w:p>
    <w:p w:rsidR="00981E11" w:rsidRDefault="00981E11" w:rsidP="00241B1B">
      <w:pPr>
        <w:jc w:val="both"/>
        <w:rPr>
          <w:rFonts w:ascii="Times New Roman" w:hAnsi="Times New Roman"/>
          <w:b/>
        </w:rPr>
      </w:pPr>
    </w:p>
    <w:tbl>
      <w:tblPr>
        <w:tblW w:w="10575"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950"/>
        <w:gridCol w:w="15"/>
        <w:gridCol w:w="1071"/>
        <w:gridCol w:w="950"/>
        <w:gridCol w:w="1074"/>
        <w:gridCol w:w="876"/>
        <w:gridCol w:w="1065"/>
        <w:gridCol w:w="950"/>
        <w:gridCol w:w="1136"/>
      </w:tblGrid>
      <w:tr w:rsidR="00981E11" w:rsidRPr="001653D6" w:rsidTr="0063427E">
        <w:trPr>
          <w:trHeight w:val="398"/>
        </w:trPr>
        <w:tc>
          <w:tcPr>
            <w:tcW w:w="2488" w:type="dxa"/>
            <w:vMerge w:val="restart"/>
          </w:tcPr>
          <w:p w:rsidR="00981E11" w:rsidRPr="001653D6" w:rsidRDefault="00981E11" w:rsidP="00251D33">
            <w:pPr>
              <w:jc w:val="both"/>
              <w:rPr>
                <w:rFonts w:ascii="Times New Roman" w:hAnsi="Times New Roman"/>
                <w:b/>
              </w:rPr>
            </w:pPr>
            <w:r w:rsidRPr="001653D6">
              <w:rPr>
                <w:rFonts w:ascii="Times New Roman" w:hAnsi="Times New Roman"/>
                <w:b/>
              </w:rPr>
              <w:t>Расходы федерального бюджета</w:t>
            </w:r>
          </w:p>
        </w:tc>
        <w:tc>
          <w:tcPr>
            <w:tcW w:w="2036" w:type="dxa"/>
            <w:gridSpan w:val="3"/>
          </w:tcPr>
          <w:p w:rsidR="00981E11" w:rsidRPr="001653D6" w:rsidRDefault="00981E11" w:rsidP="000B2CC3">
            <w:pPr>
              <w:jc w:val="both"/>
              <w:rPr>
                <w:rFonts w:ascii="Times New Roman" w:hAnsi="Times New Roman"/>
                <w:b/>
              </w:rPr>
            </w:pPr>
            <w:r w:rsidRPr="001653D6">
              <w:rPr>
                <w:rFonts w:ascii="Times New Roman" w:hAnsi="Times New Roman"/>
                <w:b/>
              </w:rPr>
              <w:t xml:space="preserve">          2008г</w:t>
            </w:r>
          </w:p>
        </w:tc>
        <w:tc>
          <w:tcPr>
            <w:tcW w:w="2024" w:type="dxa"/>
            <w:gridSpan w:val="2"/>
          </w:tcPr>
          <w:p w:rsidR="00981E11" w:rsidRPr="001653D6" w:rsidRDefault="00981E11" w:rsidP="000B2CC3">
            <w:pPr>
              <w:jc w:val="both"/>
              <w:rPr>
                <w:rFonts w:ascii="Times New Roman" w:hAnsi="Times New Roman"/>
                <w:b/>
              </w:rPr>
            </w:pPr>
            <w:r w:rsidRPr="001653D6">
              <w:rPr>
                <w:rFonts w:ascii="Times New Roman" w:hAnsi="Times New Roman"/>
                <w:b/>
              </w:rPr>
              <w:t xml:space="preserve">        2009г</w:t>
            </w:r>
          </w:p>
        </w:tc>
        <w:tc>
          <w:tcPr>
            <w:tcW w:w="1941" w:type="dxa"/>
            <w:gridSpan w:val="2"/>
          </w:tcPr>
          <w:p w:rsidR="00981E11" w:rsidRPr="001653D6" w:rsidRDefault="00981E11" w:rsidP="00251D33">
            <w:pPr>
              <w:jc w:val="both"/>
              <w:rPr>
                <w:rFonts w:ascii="Times New Roman" w:hAnsi="Times New Roman"/>
                <w:b/>
              </w:rPr>
            </w:pPr>
            <w:r w:rsidRPr="001653D6">
              <w:rPr>
                <w:rFonts w:ascii="Times New Roman" w:hAnsi="Times New Roman"/>
                <w:b/>
              </w:rPr>
              <w:t>Отклонение</w:t>
            </w:r>
          </w:p>
        </w:tc>
        <w:tc>
          <w:tcPr>
            <w:tcW w:w="2086" w:type="dxa"/>
            <w:gridSpan w:val="2"/>
          </w:tcPr>
          <w:p w:rsidR="00981E11" w:rsidRPr="001653D6" w:rsidRDefault="00981E11" w:rsidP="00251D33">
            <w:pPr>
              <w:jc w:val="both"/>
              <w:rPr>
                <w:rFonts w:ascii="Times New Roman" w:hAnsi="Times New Roman"/>
                <w:b/>
              </w:rPr>
            </w:pPr>
            <w:r w:rsidRPr="001653D6">
              <w:rPr>
                <w:rFonts w:ascii="Times New Roman" w:hAnsi="Times New Roman"/>
                <w:b/>
              </w:rPr>
              <w:t xml:space="preserve">          2010г</w:t>
            </w:r>
          </w:p>
        </w:tc>
      </w:tr>
      <w:tr w:rsidR="00981E11" w:rsidRPr="001653D6" w:rsidTr="0063427E">
        <w:trPr>
          <w:trHeight w:val="660"/>
        </w:trPr>
        <w:tc>
          <w:tcPr>
            <w:tcW w:w="2488" w:type="dxa"/>
            <w:vMerge/>
          </w:tcPr>
          <w:p w:rsidR="00981E11" w:rsidRPr="001653D6" w:rsidRDefault="00981E11" w:rsidP="00251D33">
            <w:pPr>
              <w:jc w:val="both"/>
              <w:rPr>
                <w:rFonts w:ascii="Times New Roman" w:hAnsi="Times New Roman"/>
                <w:b/>
              </w:rPr>
            </w:pP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Сумма,  млрд. руб</w:t>
            </w:r>
          </w:p>
        </w:tc>
        <w:tc>
          <w:tcPr>
            <w:tcW w:w="1086" w:type="dxa"/>
            <w:gridSpan w:val="2"/>
          </w:tcPr>
          <w:p w:rsidR="00981E11" w:rsidRPr="001653D6" w:rsidRDefault="00981E11" w:rsidP="000B2CC3">
            <w:pPr>
              <w:jc w:val="both"/>
              <w:rPr>
                <w:rFonts w:ascii="Times New Roman" w:hAnsi="Times New Roman"/>
                <w:b/>
              </w:rPr>
            </w:pPr>
            <w:r w:rsidRPr="001653D6">
              <w:rPr>
                <w:rFonts w:ascii="Times New Roman" w:hAnsi="Times New Roman"/>
                <w:b/>
              </w:rPr>
              <w:t>Удель-  ный     вес, %</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 xml:space="preserve">Сумма, млрд. руб.      </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Удель- ный вес</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По сумме, млрд. руб</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По удель- ному весу</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Сумма, млрд. руб.</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Удель- ный вес</w:t>
            </w:r>
          </w:p>
        </w:tc>
      </w:tr>
      <w:tr w:rsidR="00981E11" w:rsidRPr="001653D6" w:rsidTr="0063427E">
        <w:trPr>
          <w:trHeight w:val="221"/>
        </w:trPr>
        <w:tc>
          <w:tcPr>
            <w:tcW w:w="2488" w:type="dxa"/>
          </w:tcPr>
          <w:p w:rsidR="00981E11" w:rsidRPr="001653D6" w:rsidRDefault="00981E11" w:rsidP="00251D33">
            <w:pPr>
              <w:jc w:val="both"/>
              <w:rPr>
                <w:rFonts w:ascii="Times New Roman" w:hAnsi="Times New Roman"/>
                <w:b/>
              </w:rPr>
            </w:pPr>
            <w:r w:rsidRPr="001653D6">
              <w:rPr>
                <w:rFonts w:ascii="Times New Roman" w:hAnsi="Times New Roman"/>
                <w:b/>
              </w:rPr>
              <w:t>Общегосударственные вопросы</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828,78</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12,61%</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899,84</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12,08%</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71,06</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- 0,54%</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963,10</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11,90%</w:t>
            </w:r>
          </w:p>
        </w:tc>
      </w:tr>
      <w:tr w:rsidR="00981E11" w:rsidRPr="001653D6" w:rsidTr="0063427E">
        <w:trPr>
          <w:trHeight w:val="255"/>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Национальная оборона</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509,10</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7,75%</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566,74</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7,61%</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57,64</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- 0,14%</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569,19</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7,37%</w:t>
            </w:r>
          </w:p>
        </w:tc>
      </w:tr>
      <w:tr w:rsidR="00981E11" w:rsidRPr="001653D6" w:rsidTr="0063427E">
        <w:trPr>
          <w:trHeight w:val="345"/>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Национальная безопасность и правоохранительная деятельность</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521,84</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7,94%</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642,61</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8,62%</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120,77</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0,68%</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693,51</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8,57%</w:t>
            </w:r>
          </w:p>
        </w:tc>
      </w:tr>
      <w:tr w:rsidR="00981E11" w:rsidRPr="001653D6" w:rsidTr="0063427E">
        <w:trPr>
          <w:trHeight w:val="150"/>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Национальная экономика</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702,32</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10,69%</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789,62</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10,60%</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87,30</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- 0,09%</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528,55</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6,53%</w:t>
            </w:r>
          </w:p>
        </w:tc>
      </w:tr>
      <w:tr w:rsidR="00981E11" w:rsidRPr="001653D6" w:rsidTr="0063427E">
        <w:trPr>
          <w:trHeight w:val="240"/>
        </w:trPr>
        <w:tc>
          <w:tcPr>
            <w:tcW w:w="2488" w:type="dxa"/>
          </w:tcPr>
          <w:p w:rsidR="00981E11" w:rsidRPr="001653D6" w:rsidRDefault="00981E11" w:rsidP="00A813AE">
            <w:pPr>
              <w:jc w:val="both"/>
              <w:rPr>
                <w:rFonts w:ascii="Times New Roman" w:hAnsi="Times New Roman"/>
                <w:sz w:val="28"/>
              </w:rPr>
            </w:pPr>
            <w:r w:rsidRPr="001653D6">
              <w:rPr>
                <w:rFonts w:ascii="Times New Roman" w:hAnsi="Times New Roman"/>
                <w:b/>
              </w:rPr>
              <w:t>Жилищно-коммунальное хозяйство</w:t>
            </w:r>
            <w:r w:rsidRPr="001653D6">
              <w:rPr>
                <w:rFonts w:ascii="Times New Roman" w:hAnsi="Times New Roman"/>
                <w:sz w:val="28"/>
              </w:rPr>
              <w:t xml:space="preserve">    </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54,56</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0,83%</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56,29</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0,76%</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1,73</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- 0,07%</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51,86</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0,64%</w:t>
            </w:r>
          </w:p>
        </w:tc>
      </w:tr>
      <w:tr w:rsidR="00981E11" w:rsidRPr="001653D6" w:rsidTr="0063427E">
        <w:trPr>
          <w:trHeight w:val="255"/>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Охрана окружающей среды</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9,33</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0,14%</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10,21</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0,14%</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0,88</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0,00%</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10,96</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0,14%</w:t>
            </w:r>
          </w:p>
        </w:tc>
      </w:tr>
      <w:tr w:rsidR="00981E11" w:rsidRPr="001653D6" w:rsidTr="0063427E">
        <w:trPr>
          <w:trHeight w:val="240"/>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Образование</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307,20</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4,68%</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313,64</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4,21%</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6,44</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- 0,47%</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339,85</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4,20%</w:t>
            </w:r>
          </w:p>
        </w:tc>
      </w:tr>
      <w:tr w:rsidR="00981E11" w:rsidRPr="001653D6" w:rsidTr="0063427E">
        <w:trPr>
          <w:trHeight w:val="180"/>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Культура, кинематография и средства массовой информации</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83,81</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1,28%</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73,01</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0,98%</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- 10,80</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- 0,30%</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67,58</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0,84%</w:t>
            </w:r>
          </w:p>
        </w:tc>
      </w:tr>
      <w:tr w:rsidR="00981E11" w:rsidRPr="001653D6" w:rsidTr="0063427E">
        <w:trPr>
          <w:trHeight w:val="300"/>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Здравоохранение и спорт</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211,69</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3,22%</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245,22</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3,29%</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33,53</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0,07%</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295,36</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3,65%</w:t>
            </w:r>
          </w:p>
        </w:tc>
      </w:tr>
      <w:tr w:rsidR="00981E11" w:rsidRPr="001653D6" w:rsidTr="0063427E">
        <w:trPr>
          <w:trHeight w:val="315"/>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Социальная политика</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270,86</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4,12%</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342,67</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4,60%</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71,81</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0,48%</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396,54</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4,90%</w:t>
            </w:r>
          </w:p>
        </w:tc>
      </w:tr>
      <w:tr w:rsidR="00981E11" w:rsidRPr="001653D6" w:rsidTr="0063427E">
        <w:trPr>
          <w:trHeight w:val="240"/>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Межбюджетные трансферты</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2281,56</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34,73%</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2423,12</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32,52%</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141,56</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- 2,21%</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2720,97</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33,63%</w:t>
            </w:r>
          </w:p>
        </w:tc>
      </w:tr>
      <w:tr w:rsidR="00981E11" w:rsidRPr="001653D6" w:rsidTr="0063427E">
        <w:trPr>
          <w:trHeight w:val="270"/>
        </w:trPr>
        <w:tc>
          <w:tcPr>
            <w:tcW w:w="2488" w:type="dxa"/>
          </w:tcPr>
          <w:p w:rsidR="00981E11" w:rsidRPr="001653D6" w:rsidRDefault="00981E11" w:rsidP="00A813AE">
            <w:pPr>
              <w:jc w:val="both"/>
              <w:rPr>
                <w:rFonts w:ascii="Times New Roman" w:hAnsi="Times New Roman"/>
                <w:b/>
              </w:rPr>
            </w:pPr>
            <w:r w:rsidRPr="001653D6">
              <w:rPr>
                <w:rFonts w:ascii="Times New Roman" w:hAnsi="Times New Roman"/>
                <w:b/>
              </w:rPr>
              <w:t>Условно утвержденные расходы</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0,00</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0,00%</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186,30</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2,50%</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186,30</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2,50%</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404,50</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5,00%</w:t>
            </w:r>
          </w:p>
        </w:tc>
      </w:tr>
      <w:tr w:rsidR="00981E11" w:rsidRPr="001653D6" w:rsidTr="0063427E">
        <w:trPr>
          <w:trHeight w:val="360"/>
        </w:trPr>
        <w:tc>
          <w:tcPr>
            <w:tcW w:w="2488" w:type="dxa"/>
          </w:tcPr>
          <w:p w:rsidR="00981E11" w:rsidRPr="001653D6" w:rsidRDefault="00981E11" w:rsidP="0063427E">
            <w:pPr>
              <w:jc w:val="both"/>
              <w:rPr>
                <w:rFonts w:ascii="Times New Roman" w:hAnsi="Times New Roman"/>
                <w:b/>
              </w:rPr>
            </w:pPr>
            <w:r w:rsidRPr="001653D6">
              <w:rPr>
                <w:rFonts w:ascii="Times New Roman" w:hAnsi="Times New Roman"/>
                <w:b/>
              </w:rPr>
              <w:t>Секретные статьи</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789,25</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12,01%</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901,88</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12,10%</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112,63</w:t>
            </w:r>
          </w:p>
        </w:tc>
        <w:tc>
          <w:tcPr>
            <w:tcW w:w="1065" w:type="dxa"/>
          </w:tcPr>
          <w:p w:rsidR="00981E11" w:rsidRPr="001653D6" w:rsidRDefault="00981E11" w:rsidP="00251D33">
            <w:pPr>
              <w:jc w:val="both"/>
              <w:rPr>
                <w:rFonts w:ascii="Times New Roman" w:hAnsi="Times New Roman"/>
                <w:b/>
              </w:rPr>
            </w:pPr>
            <w:r w:rsidRPr="001653D6">
              <w:rPr>
                <w:rFonts w:ascii="Times New Roman" w:hAnsi="Times New Roman"/>
                <w:b/>
              </w:rPr>
              <w:t>0,09%</w:t>
            </w: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1021,00</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12,62%</w:t>
            </w:r>
          </w:p>
        </w:tc>
      </w:tr>
      <w:tr w:rsidR="00981E11" w:rsidRPr="001653D6" w:rsidTr="0063427E">
        <w:trPr>
          <w:trHeight w:val="116"/>
        </w:trPr>
        <w:tc>
          <w:tcPr>
            <w:tcW w:w="2488" w:type="dxa"/>
          </w:tcPr>
          <w:p w:rsidR="00981E11" w:rsidRPr="001653D6" w:rsidRDefault="00981E11" w:rsidP="0063427E">
            <w:pPr>
              <w:jc w:val="both"/>
              <w:rPr>
                <w:rFonts w:ascii="Times New Roman" w:hAnsi="Times New Roman"/>
                <w:b/>
              </w:rPr>
            </w:pPr>
            <w:r w:rsidRPr="001653D6">
              <w:rPr>
                <w:rFonts w:ascii="Times New Roman" w:hAnsi="Times New Roman"/>
                <w:b/>
              </w:rPr>
              <w:t>Всего</w:t>
            </w:r>
          </w:p>
        </w:tc>
        <w:tc>
          <w:tcPr>
            <w:tcW w:w="965" w:type="dxa"/>
            <w:gridSpan w:val="2"/>
          </w:tcPr>
          <w:p w:rsidR="00981E11" w:rsidRPr="001653D6" w:rsidRDefault="00981E11" w:rsidP="000B2CC3">
            <w:pPr>
              <w:jc w:val="both"/>
              <w:rPr>
                <w:rFonts w:ascii="Times New Roman" w:hAnsi="Times New Roman"/>
                <w:b/>
              </w:rPr>
            </w:pPr>
            <w:r w:rsidRPr="001653D6">
              <w:rPr>
                <w:rFonts w:ascii="Times New Roman" w:hAnsi="Times New Roman"/>
                <w:b/>
              </w:rPr>
              <w:t>6570,30</w:t>
            </w:r>
          </w:p>
        </w:tc>
        <w:tc>
          <w:tcPr>
            <w:tcW w:w="1071" w:type="dxa"/>
          </w:tcPr>
          <w:p w:rsidR="00981E11" w:rsidRPr="001653D6" w:rsidRDefault="00981E11" w:rsidP="000B2CC3">
            <w:pPr>
              <w:jc w:val="both"/>
              <w:rPr>
                <w:rFonts w:ascii="Times New Roman" w:hAnsi="Times New Roman"/>
                <w:b/>
              </w:rPr>
            </w:pPr>
            <w:r w:rsidRPr="001653D6">
              <w:rPr>
                <w:rFonts w:ascii="Times New Roman" w:hAnsi="Times New Roman"/>
                <w:b/>
              </w:rPr>
              <w:t>100,00%</w:t>
            </w:r>
          </w:p>
        </w:tc>
        <w:tc>
          <w:tcPr>
            <w:tcW w:w="950" w:type="dxa"/>
          </w:tcPr>
          <w:p w:rsidR="00981E11" w:rsidRPr="001653D6" w:rsidRDefault="00981E11" w:rsidP="000B2CC3">
            <w:pPr>
              <w:jc w:val="both"/>
              <w:rPr>
                <w:rFonts w:ascii="Times New Roman" w:hAnsi="Times New Roman"/>
                <w:b/>
              </w:rPr>
            </w:pPr>
            <w:r w:rsidRPr="001653D6">
              <w:rPr>
                <w:rFonts w:ascii="Times New Roman" w:hAnsi="Times New Roman"/>
                <w:b/>
              </w:rPr>
              <w:t>7451,15</w:t>
            </w:r>
          </w:p>
        </w:tc>
        <w:tc>
          <w:tcPr>
            <w:tcW w:w="1074" w:type="dxa"/>
          </w:tcPr>
          <w:p w:rsidR="00981E11" w:rsidRPr="001653D6" w:rsidRDefault="00981E11" w:rsidP="000B2CC3">
            <w:pPr>
              <w:jc w:val="both"/>
              <w:rPr>
                <w:rFonts w:ascii="Times New Roman" w:hAnsi="Times New Roman"/>
                <w:b/>
              </w:rPr>
            </w:pPr>
            <w:r w:rsidRPr="001653D6">
              <w:rPr>
                <w:rFonts w:ascii="Times New Roman" w:hAnsi="Times New Roman"/>
                <w:b/>
              </w:rPr>
              <w:t>100,00%</w:t>
            </w:r>
          </w:p>
        </w:tc>
        <w:tc>
          <w:tcPr>
            <w:tcW w:w="876" w:type="dxa"/>
          </w:tcPr>
          <w:p w:rsidR="00981E11" w:rsidRPr="001653D6" w:rsidRDefault="00981E11" w:rsidP="00251D33">
            <w:pPr>
              <w:jc w:val="both"/>
              <w:rPr>
                <w:rFonts w:ascii="Times New Roman" w:hAnsi="Times New Roman"/>
                <w:b/>
              </w:rPr>
            </w:pPr>
            <w:r w:rsidRPr="001653D6">
              <w:rPr>
                <w:rFonts w:ascii="Times New Roman" w:hAnsi="Times New Roman"/>
                <w:b/>
              </w:rPr>
              <w:t>880,85</w:t>
            </w:r>
          </w:p>
        </w:tc>
        <w:tc>
          <w:tcPr>
            <w:tcW w:w="1065" w:type="dxa"/>
          </w:tcPr>
          <w:p w:rsidR="00981E11" w:rsidRPr="001653D6" w:rsidRDefault="00981E11" w:rsidP="00251D33">
            <w:pPr>
              <w:jc w:val="both"/>
              <w:rPr>
                <w:rFonts w:ascii="Times New Roman" w:hAnsi="Times New Roman"/>
                <w:b/>
              </w:rPr>
            </w:pPr>
          </w:p>
        </w:tc>
        <w:tc>
          <w:tcPr>
            <w:tcW w:w="950" w:type="dxa"/>
          </w:tcPr>
          <w:p w:rsidR="00981E11" w:rsidRPr="001653D6" w:rsidRDefault="00981E11" w:rsidP="00251D33">
            <w:pPr>
              <w:jc w:val="both"/>
              <w:rPr>
                <w:rFonts w:ascii="Times New Roman" w:hAnsi="Times New Roman"/>
                <w:b/>
              </w:rPr>
            </w:pPr>
            <w:r w:rsidRPr="001653D6">
              <w:rPr>
                <w:rFonts w:ascii="Times New Roman" w:hAnsi="Times New Roman"/>
                <w:b/>
              </w:rPr>
              <w:t>8089,97</w:t>
            </w:r>
          </w:p>
        </w:tc>
        <w:tc>
          <w:tcPr>
            <w:tcW w:w="1136" w:type="dxa"/>
          </w:tcPr>
          <w:p w:rsidR="00981E11" w:rsidRPr="001653D6" w:rsidRDefault="00981E11" w:rsidP="00251D33">
            <w:pPr>
              <w:jc w:val="both"/>
              <w:rPr>
                <w:rFonts w:ascii="Times New Roman" w:hAnsi="Times New Roman"/>
                <w:b/>
              </w:rPr>
            </w:pPr>
            <w:r w:rsidRPr="001653D6">
              <w:rPr>
                <w:rFonts w:ascii="Times New Roman" w:hAnsi="Times New Roman"/>
                <w:b/>
              </w:rPr>
              <w:t>100,00%</w:t>
            </w:r>
          </w:p>
        </w:tc>
      </w:tr>
    </w:tbl>
    <w:p w:rsidR="00981E11" w:rsidRDefault="00981E11" w:rsidP="00865B28">
      <w:pPr>
        <w:jc w:val="both"/>
        <w:rPr>
          <w:rFonts w:ascii="Times New Roman" w:hAnsi="Times New Roman"/>
          <w:sz w:val="28"/>
        </w:rPr>
      </w:pPr>
    </w:p>
    <w:p w:rsidR="00981E11" w:rsidRDefault="00981E11" w:rsidP="00865B28">
      <w:pPr>
        <w:jc w:val="both"/>
        <w:rPr>
          <w:rFonts w:ascii="Times New Roman" w:hAnsi="Times New Roman"/>
          <w:sz w:val="28"/>
        </w:rPr>
      </w:pPr>
    </w:p>
    <w:p w:rsidR="00981E11" w:rsidRDefault="00981E11" w:rsidP="00865B28">
      <w:pPr>
        <w:jc w:val="both"/>
        <w:rPr>
          <w:rFonts w:ascii="Times New Roman" w:hAnsi="Times New Roman"/>
          <w:sz w:val="28"/>
        </w:rPr>
      </w:pPr>
      <w:r>
        <w:rPr>
          <w:rFonts w:ascii="Times New Roman" w:hAnsi="Times New Roman"/>
          <w:sz w:val="28"/>
        </w:rPr>
        <w:t xml:space="preserve">    Наибольший удельный вес в классификации расходов занимают </w:t>
      </w:r>
      <w:r>
        <w:rPr>
          <w:rFonts w:ascii="Times New Roman" w:hAnsi="Times New Roman"/>
          <w:b/>
          <w:sz w:val="28"/>
        </w:rPr>
        <w:t xml:space="preserve">межбюджетные трансферты. </w:t>
      </w:r>
      <w:r>
        <w:rPr>
          <w:rFonts w:ascii="Times New Roman" w:hAnsi="Times New Roman"/>
          <w:sz w:val="28"/>
        </w:rPr>
        <w:t>В 2008 году доля расходования этих средств составляет 34,73%. Если говорить о динамике этого показателя, то уже в следующем году (2009) он снижается на 2,21%. Но в денежном эквиваленте увеличивается на 141,56 млрд. руб. В среднесрочной перспективе предусмотрено абсолютное увеличение межбюджетных трансфертов к 2010 году до 2 720,97 млрд. рублей, что составляет на 439,41 млрд. руб. больше по отношению к 2008 году.</w:t>
      </w:r>
    </w:p>
    <w:p w:rsidR="00981E11" w:rsidRDefault="00981E11" w:rsidP="00865B28">
      <w:pPr>
        <w:jc w:val="both"/>
        <w:rPr>
          <w:rFonts w:ascii="Times New Roman" w:hAnsi="Times New Roman"/>
          <w:sz w:val="28"/>
        </w:rPr>
      </w:pPr>
      <w:r>
        <w:rPr>
          <w:rFonts w:ascii="Times New Roman" w:hAnsi="Times New Roman"/>
          <w:sz w:val="28"/>
        </w:rPr>
        <w:t xml:space="preserve">    Вторым разделом, доля которого составляет 12,61% от общей суммы расходов, являются </w:t>
      </w:r>
      <w:r>
        <w:rPr>
          <w:rFonts w:ascii="Times New Roman" w:hAnsi="Times New Roman"/>
          <w:b/>
          <w:sz w:val="28"/>
        </w:rPr>
        <w:t xml:space="preserve">общегосударственные вопросы. </w:t>
      </w:r>
      <w:r>
        <w:rPr>
          <w:rFonts w:ascii="Times New Roman" w:hAnsi="Times New Roman"/>
          <w:sz w:val="28"/>
        </w:rPr>
        <w:t>В динамике мы видим, что этот показатель в процентном отношении снижается. Прогнозируется, что в 2010 году сумма расходов составит 963,10 млрд. руб., что значительно увеличится по отношению к запланированному в 2008 году на 134,32 млрд. руб. К основным подразделам можно отнести бюджетные ассигнования на судебную систему, обеспечение деятельности финансовых, налоговых и таможенных органов и органов надзора, обслуживающие государственного и муниципального долга и другие общегосударственные вопросы. Непосредственно увеличение заработной платы госслужащим (депутатам и их помощникам, судьям, увеличением компенсационных вознаграждений присяжным и арбитражным заседателям, помощников судей арбитражных судов, секретарей судебных заседаний арбитражных судов, и т.д.), проведение капитального ремонта административных зданий, обеспечение деятельности Счетной палаты РФ. И таких ассигнований в каждом подразделе очень много, что свидетельствует о росте этого показателя в целом.</w:t>
      </w:r>
    </w:p>
    <w:p w:rsidR="00981E11" w:rsidRDefault="00981E11" w:rsidP="00865B28">
      <w:pPr>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Национальная экономика </w:t>
      </w:r>
      <w:r>
        <w:rPr>
          <w:rFonts w:ascii="Times New Roman" w:hAnsi="Times New Roman"/>
          <w:sz w:val="28"/>
        </w:rPr>
        <w:t>занимает третье место в распределении бюджетных средств. Прогнозируется, что в 2008 году сумма составит 702,32 млрд. руб., в 2010 году он снизится до 528,55 млрд. руб., что существенно заметно в процентном соотношении на 4,16%.</w:t>
      </w:r>
    </w:p>
    <w:p w:rsidR="00981E11" w:rsidRDefault="00981E11" w:rsidP="00865B28">
      <w:pPr>
        <w:jc w:val="both"/>
        <w:rPr>
          <w:rFonts w:ascii="Times New Roman" w:hAnsi="Times New Roman"/>
          <w:sz w:val="28"/>
        </w:rPr>
      </w:pPr>
      <w:r>
        <w:rPr>
          <w:rFonts w:ascii="Times New Roman" w:hAnsi="Times New Roman"/>
          <w:sz w:val="28"/>
        </w:rPr>
        <w:t xml:space="preserve">    К этому разделу относятся полномочия по регулированию и поддержке экономической деятельности, включая вопросы природопользования, развития инфраструктуры и природно-ресурсного потенциала, государственной поддержки отдельных отраслей экономики в основном отнесены к ведению РФ.</w:t>
      </w:r>
    </w:p>
    <w:p w:rsidR="00981E11" w:rsidRDefault="00981E11" w:rsidP="00865B28">
      <w:pPr>
        <w:jc w:val="both"/>
        <w:rPr>
          <w:rFonts w:ascii="Times New Roman" w:hAnsi="Times New Roman"/>
          <w:sz w:val="28"/>
        </w:rPr>
      </w:pPr>
      <w:r>
        <w:rPr>
          <w:rFonts w:ascii="Times New Roman" w:hAnsi="Times New Roman"/>
          <w:sz w:val="28"/>
        </w:rPr>
        <w:t xml:space="preserve">    В 2010 году произойдут изменения доли расходов в процентном соотношении от общего объема расходов. Неизменными лидерами остаются межбюджетные трансферты и общегосударственные вопросы.</w:t>
      </w:r>
    </w:p>
    <w:p w:rsidR="00981E11" w:rsidRDefault="00981E11" w:rsidP="00865B28">
      <w:pPr>
        <w:jc w:val="both"/>
        <w:rPr>
          <w:rFonts w:ascii="Times New Roman" w:hAnsi="Times New Roman"/>
          <w:sz w:val="28"/>
        </w:rPr>
      </w:pPr>
      <w:r>
        <w:rPr>
          <w:rFonts w:ascii="Times New Roman" w:hAnsi="Times New Roman"/>
          <w:sz w:val="28"/>
        </w:rPr>
        <w:t xml:space="preserve">     На четвертом месте будет </w:t>
      </w:r>
      <w:r>
        <w:rPr>
          <w:rFonts w:ascii="Times New Roman" w:hAnsi="Times New Roman"/>
          <w:b/>
          <w:sz w:val="28"/>
        </w:rPr>
        <w:t xml:space="preserve">национальная безопасность и правоохранительная деятельность, </w:t>
      </w:r>
      <w:r>
        <w:rPr>
          <w:rFonts w:ascii="Times New Roman" w:hAnsi="Times New Roman"/>
          <w:sz w:val="28"/>
        </w:rPr>
        <w:t xml:space="preserve">а на пятом </w:t>
      </w:r>
      <w:r>
        <w:rPr>
          <w:rFonts w:ascii="Times New Roman" w:hAnsi="Times New Roman"/>
          <w:b/>
          <w:sz w:val="28"/>
        </w:rPr>
        <w:t>национальная оборона.</w:t>
      </w:r>
    </w:p>
    <w:p w:rsidR="00981E11" w:rsidRDefault="00981E11" w:rsidP="00865B28">
      <w:pPr>
        <w:jc w:val="both"/>
        <w:rPr>
          <w:rFonts w:ascii="Times New Roman" w:hAnsi="Times New Roman"/>
          <w:sz w:val="28"/>
        </w:rPr>
      </w:pPr>
      <w:r>
        <w:rPr>
          <w:rFonts w:ascii="Times New Roman" w:hAnsi="Times New Roman"/>
          <w:sz w:val="28"/>
        </w:rPr>
        <w:t xml:space="preserve">    Оба эти раздела наращивают финансирование. Такой показатель, как национальная оборона имеет динамику роста, с 2008 года по2010 год прогнозируется увеличение в сумме 87,09 млрд. руб. А прогноз по разделу национальная безопасность и правоохранительная деятельность увеличится на 171,61 млрд. руб., в 1,5 раза больше чем в 2008 году. В процентном соотношении происходят колебания, сначала он возрастает, потом падает. Это связано как с суммой всех расходов, так и с распределением средств по разделам.</w:t>
      </w:r>
    </w:p>
    <w:p w:rsidR="00981E11" w:rsidRDefault="00981E11" w:rsidP="00865B28">
      <w:pPr>
        <w:jc w:val="both"/>
        <w:rPr>
          <w:rFonts w:ascii="Times New Roman" w:hAnsi="Times New Roman"/>
          <w:sz w:val="28"/>
        </w:rPr>
      </w:pPr>
      <w:r>
        <w:rPr>
          <w:rFonts w:ascii="Times New Roman" w:hAnsi="Times New Roman"/>
          <w:sz w:val="28"/>
        </w:rPr>
        <w:t xml:space="preserve">    Следующим разделом, удельный вес которого снижается в общем объеме расходов, является </w:t>
      </w:r>
      <w:r>
        <w:rPr>
          <w:rFonts w:ascii="Times New Roman" w:hAnsi="Times New Roman"/>
          <w:b/>
          <w:sz w:val="28"/>
        </w:rPr>
        <w:t>образование</w:t>
      </w:r>
      <w:r>
        <w:rPr>
          <w:rFonts w:ascii="Times New Roman" w:hAnsi="Times New Roman"/>
          <w:sz w:val="28"/>
        </w:rPr>
        <w:t>, в 2008 году составит 4,68%. В динамике этот показатель падает, к 2009 году он снизится на 0,47%. В денежном выражении этот показатель увеличивается. Это связано с реализацией национального проекта «Образование», также увеличением заработной платы учителям. Направляются ассигнования на повышение квалификации и переподготовку работников федеральных бюджетных учреждений, реализация мер социальной защиты для детей-сирот и детей, оставшихся без попечения родителей, обучающихся в этих учреждениях, ассигнования позволят обеспечить предоставление среднего профессионального образования студентам, высшего образования, а именно увеличение бюджетных мест.</w:t>
      </w:r>
    </w:p>
    <w:p w:rsidR="00981E11" w:rsidRDefault="00981E11" w:rsidP="00865B28">
      <w:pPr>
        <w:jc w:val="both"/>
        <w:rPr>
          <w:rFonts w:ascii="Times New Roman" w:hAnsi="Times New Roman"/>
          <w:sz w:val="28"/>
        </w:rPr>
      </w:pPr>
      <w:r>
        <w:rPr>
          <w:rFonts w:ascii="Times New Roman" w:hAnsi="Times New Roman"/>
          <w:sz w:val="28"/>
        </w:rPr>
        <w:t xml:space="preserve">    Раздел </w:t>
      </w:r>
      <w:r>
        <w:rPr>
          <w:rFonts w:ascii="Times New Roman" w:hAnsi="Times New Roman"/>
          <w:b/>
          <w:sz w:val="28"/>
        </w:rPr>
        <w:t xml:space="preserve">социальная политика </w:t>
      </w:r>
      <w:r>
        <w:rPr>
          <w:rFonts w:ascii="Times New Roman" w:hAnsi="Times New Roman"/>
          <w:sz w:val="28"/>
        </w:rPr>
        <w:t xml:space="preserve">имеет немаловажное значение, но его финансирование занимает не значительную долю в общем объеме расходов федерального бюджета. Спрогнозированно, что в 2008 году поступлений из федерального бюджета будет на сумму 270,86 млрд. руб., к 2010 году эта сумма увеличится на 125,68 млрд. руб. Финансирование осуществляется за счет субвенций Фонда компенсаций (раздел «Межбюджетные трансферты»). </w:t>
      </w:r>
    </w:p>
    <w:p w:rsidR="00981E11" w:rsidRDefault="00981E11" w:rsidP="00865B28">
      <w:pPr>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Здравоохранение и спорт </w:t>
      </w:r>
      <w:r>
        <w:rPr>
          <w:rFonts w:ascii="Times New Roman" w:hAnsi="Times New Roman"/>
          <w:sz w:val="28"/>
        </w:rPr>
        <w:t>– это один из наиболее важных показателей, т.к. от финансирования этого раздела зависит способность населения страны участвовать во всех сферах производства, т.е. с помощью трудовых ресурсов осуществляются все поставленные задачи государства, малых организаций, фабрик заводов и т.д. Прогнозируется, что в 2008 году объем расходов по данному разделу составит 211,69 млрд. руб., в 2009 году произойдет увеличение на 15,8%, а в 2010 году на 39,5%.</w:t>
      </w:r>
    </w:p>
    <w:p w:rsidR="00981E11" w:rsidRDefault="00981E11" w:rsidP="00865B28">
      <w:pPr>
        <w:jc w:val="both"/>
        <w:rPr>
          <w:rFonts w:ascii="Times New Roman" w:hAnsi="Times New Roman"/>
          <w:sz w:val="28"/>
        </w:rPr>
      </w:pPr>
      <w:r>
        <w:rPr>
          <w:rFonts w:ascii="Times New Roman" w:hAnsi="Times New Roman"/>
          <w:sz w:val="28"/>
        </w:rPr>
        <w:t xml:space="preserve">    Основные направления финансирования «Здравоохранения»: повышение заработной платы медицинским работникам, оснащение поликлиник, больниц – медицинских учреждений новым оборудованием, закупки медикаментов и реализации приоритетного национального проекта «Здоровье». «Спорт и физкультура» - проведение спортивных мероприятий и соревнований, содержание центров спортивной подготовки, реализация государственной программы «Патриотическое воспитание граждан РФ на 2006 -2010 годы».</w:t>
      </w:r>
    </w:p>
    <w:p w:rsidR="00981E11" w:rsidRDefault="00981E11" w:rsidP="00865B28">
      <w:pPr>
        <w:jc w:val="both"/>
        <w:rPr>
          <w:rFonts w:ascii="Times New Roman" w:hAnsi="Times New Roman"/>
          <w:sz w:val="28"/>
        </w:rPr>
      </w:pPr>
      <w:r>
        <w:rPr>
          <w:rFonts w:ascii="Times New Roman" w:hAnsi="Times New Roman"/>
          <w:sz w:val="28"/>
        </w:rPr>
        <w:t xml:space="preserve">    Менее финансируемые разделы федерального бюджета, удельный вес которых от 0,14 – 1,3%, в общем занимают: </w:t>
      </w:r>
    </w:p>
    <w:p w:rsidR="00981E11" w:rsidRDefault="00981E11" w:rsidP="00865B28">
      <w:pPr>
        <w:jc w:val="both"/>
        <w:rPr>
          <w:rFonts w:ascii="Times New Roman" w:hAnsi="Times New Roman"/>
          <w:b/>
          <w:sz w:val="28"/>
        </w:rPr>
      </w:pPr>
      <w:r>
        <w:rPr>
          <w:rFonts w:ascii="Times New Roman" w:hAnsi="Times New Roman"/>
          <w:sz w:val="28"/>
        </w:rPr>
        <w:t>1.</w:t>
      </w:r>
      <w:r>
        <w:rPr>
          <w:rFonts w:ascii="Times New Roman" w:hAnsi="Times New Roman"/>
          <w:b/>
          <w:sz w:val="28"/>
        </w:rPr>
        <w:t>Культура, кинематография и СМИ;</w:t>
      </w:r>
    </w:p>
    <w:p w:rsidR="00981E11" w:rsidRDefault="00981E11" w:rsidP="00865B28">
      <w:pPr>
        <w:jc w:val="both"/>
        <w:rPr>
          <w:rFonts w:ascii="Times New Roman" w:hAnsi="Times New Roman"/>
          <w:b/>
          <w:sz w:val="28"/>
        </w:rPr>
      </w:pPr>
      <w:r>
        <w:rPr>
          <w:rFonts w:ascii="Times New Roman" w:hAnsi="Times New Roman"/>
          <w:sz w:val="28"/>
        </w:rPr>
        <w:t>2.</w:t>
      </w:r>
      <w:r>
        <w:rPr>
          <w:rFonts w:ascii="Times New Roman" w:hAnsi="Times New Roman"/>
          <w:b/>
          <w:sz w:val="28"/>
        </w:rPr>
        <w:t>Жилищно-комунальное хозяйство;</w:t>
      </w:r>
    </w:p>
    <w:p w:rsidR="00981E11" w:rsidRDefault="00981E11" w:rsidP="00865B28">
      <w:pPr>
        <w:jc w:val="both"/>
        <w:rPr>
          <w:rFonts w:ascii="Times New Roman" w:hAnsi="Times New Roman"/>
          <w:b/>
          <w:sz w:val="28"/>
        </w:rPr>
      </w:pPr>
      <w:r>
        <w:rPr>
          <w:rFonts w:ascii="Times New Roman" w:hAnsi="Times New Roman"/>
          <w:sz w:val="28"/>
        </w:rPr>
        <w:t>3.</w:t>
      </w:r>
      <w:r>
        <w:rPr>
          <w:rFonts w:ascii="Times New Roman" w:hAnsi="Times New Roman"/>
          <w:b/>
          <w:sz w:val="28"/>
        </w:rPr>
        <w:t>Охрана окружающей среды.</w:t>
      </w:r>
    </w:p>
    <w:p w:rsidR="00981E11" w:rsidRDefault="00981E11" w:rsidP="00865B28">
      <w:pPr>
        <w:jc w:val="both"/>
        <w:rPr>
          <w:rFonts w:ascii="Times New Roman" w:hAnsi="Times New Roman"/>
          <w:sz w:val="28"/>
        </w:rPr>
      </w:pPr>
      <w:r>
        <w:rPr>
          <w:rFonts w:ascii="Times New Roman" w:hAnsi="Times New Roman"/>
          <w:b/>
          <w:sz w:val="28"/>
        </w:rPr>
        <w:t xml:space="preserve">    </w:t>
      </w:r>
      <w:r>
        <w:rPr>
          <w:rFonts w:ascii="Times New Roman" w:hAnsi="Times New Roman"/>
          <w:sz w:val="28"/>
        </w:rPr>
        <w:t>В 2008 году объем расходов по первому разделу составит 83,81 млрд. руб., к 2010 голу этот показатель снизится на 22%, и в относительном выражении уменьшится от 1,28 до 0,84%. Сокращение объема и доли расходов, предусматриваемых на культуру, кинематографию и СМИ, обусловлены уменьшением ассигнований, направляемых на проведение  разовых мероприятий в сфере культуры и СМИ, а также сокращением в 2009 – 2010 годах бюджетных ассигнований в рамках программы государственных внешних заимствований РФ.</w:t>
      </w:r>
    </w:p>
    <w:p w:rsidR="00981E11" w:rsidRDefault="00981E11" w:rsidP="00865B28">
      <w:pPr>
        <w:jc w:val="both"/>
        <w:rPr>
          <w:rFonts w:ascii="Times New Roman" w:hAnsi="Times New Roman"/>
          <w:sz w:val="28"/>
        </w:rPr>
      </w:pPr>
      <w:r>
        <w:rPr>
          <w:rFonts w:ascii="Times New Roman" w:hAnsi="Times New Roman"/>
          <w:sz w:val="28"/>
        </w:rPr>
        <w:t xml:space="preserve">    Доля показателя второго раздела не значительна, сумма расходов в 2009 году 56,29 млрд. руб., к 2008 году показатель вырос на 1,73 млрд. руб., а к 2010 году снизился на 4,43 млрд. руб. Основные полномочия жилищно-коммунального хозяйства относятся к сфере ведения субъектов Российской Федерации и органов местного самоуправления.</w:t>
      </w:r>
    </w:p>
    <w:p w:rsidR="00981E11" w:rsidRDefault="00981E11" w:rsidP="00865B28">
      <w:pPr>
        <w:jc w:val="both"/>
        <w:rPr>
          <w:rFonts w:ascii="Times New Roman" w:hAnsi="Times New Roman"/>
          <w:sz w:val="28"/>
        </w:rPr>
      </w:pPr>
      <w:r>
        <w:rPr>
          <w:rFonts w:ascii="Times New Roman" w:hAnsi="Times New Roman"/>
          <w:sz w:val="28"/>
        </w:rPr>
        <w:t xml:space="preserve">    Объем расходов третьего раздела в динамике нам показывает увеличение. В 2008 году сумма составит 9,33 млрд. руб., а в 2010 году произойдет увеличение на 17%. Основное место в их структуре занимают бюджетные ассигнования на гидрометеорологию и мониторинг окружающей среды.</w:t>
      </w:r>
    </w:p>
    <w:p w:rsidR="00981E11" w:rsidRDefault="00981E11" w:rsidP="00865B28">
      <w:pPr>
        <w:jc w:val="both"/>
        <w:rPr>
          <w:rFonts w:ascii="Times New Roman" w:hAnsi="Times New Roman"/>
          <w:sz w:val="28"/>
        </w:rPr>
      </w:pPr>
      <w:r>
        <w:rPr>
          <w:rFonts w:ascii="Times New Roman" w:hAnsi="Times New Roman"/>
          <w:sz w:val="28"/>
        </w:rPr>
        <w:t xml:space="preserve">    Согласно изменениям в бюджетном законодательстве в структуре расходов в 2009 – 2010 году появится новая статья </w:t>
      </w:r>
      <w:r>
        <w:rPr>
          <w:rFonts w:ascii="Times New Roman" w:hAnsi="Times New Roman"/>
          <w:b/>
          <w:sz w:val="28"/>
        </w:rPr>
        <w:t xml:space="preserve">условно утвержденные расходы. </w:t>
      </w:r>
      <w:r>
        <w:rPr>
          <w:rFonts w:ascii="Times New Roman" w:hAnsi="Times New Roman"/>
          <w:sz w:val="28"/>
        </w:rPr>
        <w:t>То есть некий объем средств, который не распределен по разделам и статьям, что даст возможность планировать новые возникающие обязательства. В соответствии со статьей 199 БК РФ, эти расходы должны составлять в объеме не менее 2,5% общего объема расходов федерального бюджета на первый год планового периода, и не менее 5% общего объема расходов федерального бюджета на второй год планового периода.</w:t>
      </w:r>
    </w:p>
    <w:p w:rsidR="00981E11" w:rsidRDefault="00981E11" w:rsidP="00865B28">
      <w:pPr>
        <w:jc w:val="both"/>
        <w:rPr>
          <w:rFonts w:ascii="Times New Roman" w:hAnsi="Times New Roman"/>
          <w:sz w:val="28"/>
        </w:rPr>
      </w:pPr>
      <w:r>
        <w:rPr>
          <w:rFonts w:ascii="Times New Roman" w:hAnsi="Times New Roman"/>
          <w:sz w:val="28"/>
        </w:rPr>
        <w:t xml:space="preserve">    Последним разделом расходов федерального бюджета являются </w:t>
      </w:r>
      <w:r>
        <w:rPr>
          <w:rFonts w:ascii="Times New Roman" w:hAnsi="Times New Roman"/>
          <w:b/>
          <w:sz w:val="28"/>
        </w:rPr>
        <w:t>секретные статьи.</w:t>
      </w:r>
      <w:r>
        <w:rPr>
          <w:rFonts w:ascii="Times New Roman" w:hAnsi="Times New Roman"/>
          <w:sz w:val="28"/>
        </w:rPr>
        <w:t xml:space="preserve"> Если говорить о содержании этого показателя, то это статьи, которые не оглашаются, и нет доступа к этой информации, а также средства, которые не разнесены по статьям, в связи с поправками в федеральном законе «О федеральном бюджете на 2008 год и плановый период 2009 и 2010 годов». Надо не забывать о том, что это данные прогнозируемые, и если произойдут изменения в экономике, то они повлияют на результативность.</w:t>
      </w:r>
    </w:p>
    <w:p w:rsidR="00981E11" w:rsidRDefault="00981E11" w:rsidP="00865B28">
      <w:pPr>
        <w:jc w:val="both"/>
        <w:rPr>
          <w:rFonts w:ascii="Times New Roman" w:hAnsi="Times New Roman"/>
          <w:sz w:val="28"/>
        </w:rPr>
      </w:pPr>
      <w:r>
        <w:rPr>
          <w:rFonts w:ascii="Times New Roman" w:hAnsi="Times New Roman"/>
          <w:sz w:val="28"/>
        </w:rPr>
        <w:t>Вопрос 3.</w:t>
      </w:r>
    </w:p>
    <w:p w:rsidR="00981E11" w:rsidRDefault="00981E11" w:rsidP="00865B28">
      <w:pPr>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Финансовый рынок – </w:t>
      </w:r>
      <w:r>
        <w:rPr>
          <w:rFonts w:ascii="Times New Roman" w:hAnsi="Times New Roman"/>
          <w:sz w:val="28"/>
        </w:rPr>
        <w:t>это совокупность финансовых институтов, направляющих денежные средства от собственников средств к их заемщикам. На этом рынке происходит обмен деньгами, предоставление кредита и мобилизация капитала.</w:t>
      </w:r>
    </w:p>
    <w:p w:rsidR="00981E11" w:rsidRDefault="00981E11" w:rsidP="00865B28">
      <w:pPr>
        <w:jc w:val="both"/>
        <w:rPr>
          <w:rFonts w:ascii="Times New Roman" w:hAnsi="Times New Roman"/>
          <w:sz w:val="28"/>
        </w:rPr>
      </w:pPr>
      <w:r>
        <w:rPr>
          <w:rFonts w:ascii="Times New Roman" w:hAnsi="Times New Roman"/>
          <w:sz w:val="28"/>
        </w:rPr>
        <w:t xml:space="preserve">    Понятие «финансовый рынок» является в определенной мере собирательным, обобщенным. В реальной практике оно характеризует обширную систему отдельных видов финансовых рынков с разнообразными сегментами каждого из этих видов. Современная систематизация финансовых рынков выделяет различные их виды в соответствии со следующими основными признаками.</w:t>
      </w:r>
    </w:p>
    <w:p w:rsidR="00981E11" w:rsidRDefault="00981E11" w:rsidP="00E16886">
      <w:pPr>
        <w:pStyle w:val="1"/>
        <w:numPr>
          <w:ilvl w:val="0"/>
          <w:numId w:val="1"/>
        </w:numPr>
        <w:jc w:val="both"/>
        <w:rPr>
          <w:rFonts w:ascii="Times New Roman" w:hAnsi="Times New Roman"/>
          <w:sz w:val="28"/>
        </w:rPr>
      </w:pPr>
      <w:r>
        <w:rPr>
          <w:rFonts w:ascii="Times New Roman" w:hAnsi="Times New Roman"/>
          <w:sz w:val="28"/>
        </w:rPr>
        <w:t>Кредитный рынок (или рынок ссудного капитала). Он характеризует рынок, на котором объектом купли-продажи являются свободные кредитные ресурсы и отдельные обслуживающие их финансовые инструменты, обращение которых осуществляется на условиях возвратности и уплаты процента. Сделки, совершаемые на этом рынке, подразделяются на обслуживающие отчуждаемые (или переуступаемые) финансовые заимствования (коммерческие или банковские переводные векселя, аккредитивы, чеки, и т.д.) и неотчуждаемые виды этих заимствований (прямое предоставление финансовых кредитов отдельными банками и другими финансовыми институтами конкретным субъектам хозяйствования и населению; коммерческий кредит, оформленный простым векселем и т.п.). В соответствии с практикой ряда стран с развитой рыночной экономикой неотчуждаемые виды заимствований не входят в состав объектов кредитного рынка в связи с тем, что на этом рынке не обеспечивается свободное их обращение, а соответственно и объективные условия формирования цен на них.</w:t>
      </w:r>
    </w:p>
    <w:p w:rsidR="00981E11" w:rsidRDefault="00981E11" w:rsidP="00E16886">
      <w:pPr>
        <w:pStyle w:val="1"/>
        <w:numPr>
          <w:ilvl w:val="0"/>
          <w:numId w:val="1"/>
        </w:numPr>
        <w:jc w:val="both"/>
        <w:rPr>
          <w:rFonts w:ascii="Times New Roman" w:hAnsi="Times New Roman"/>
          <w:sz w:val="28"/>
        </w:rPr>
      </w:pPr>
      <w:r>
        <w:rPr>
          <w:rFonts w:ascii="Times New Roman" w:hAnsi="Times New Roman"/>
          <w:sz w:val="28"/>
        </w:rPr>
        <w:t>Рынок ценных бумаг (или фондовый рынок). Он характеризует рынок, на котором объектом купли-продажи являются все виды ценных бумаг (фондовых инструментов), эмитированных предприятиями, различными финансовыми институтами и государством. В странах с развитой рыночной экономикой рынок ценных бумаг является наиболее обширным видом финансового рынка по объему совершаемых сделок и многообразию обращающихся на нем финансовых инструментов. Функционирование рынка ценных бумаг позволяет упорядочить и повысить эффективность многих экономических процессов, и в первую очередь, - процесса инвестирования временно свободных финансовых ресурсов. Механизм функционирования этого рынка позволяет проводить на нем финансовые операции наиболее быстрым способом и по более справедливым ценам, чем на других видах финансовых рынков. Этот рынок в наибольшей степени поддается финансовому инжинирингу – процессу целенаправленной разработки новых финансовых инструментов и новых схем осуществления финансовых операций.</w:t>
      </w:r>
    </w:p>
    <w:p w:rsidR="00981E11" w:rsidRDefault="00981E11" w:rsidP="00E16886">
      <w:pPr>
        <w:pStyle w:val="1"/>
        <w:numPr>
          <w:ilvl w:val="0"/>
          <w:numId w:val="1"/>
        </w:numPr>
        <w:jc w:val="both"/>
        <w:rPr>
          <w:rFonts w:ascii="Times New Roman" w:hAnsi="Times New Roman"/>
          <w:sz w:val="28"/>
        </w:rPr>
      </w:pPr>
      <w:r>
        <w:rPr>
          <w:rFonts w:ascii="Times New Roman" w:hAnsi="Times New Roman"/>
          <w:sz w:val="28"/>
        </w:rPr>
        <w:t xml:space="preserve">Валютный рынок. Он характеризует рынок, на котором объектом купли-продажи выступают иностранная валюта и финансовые инструменты, обслуживающие операции с ней. Он позволяет удовлетворить потребности хозяйствующих субъектов в иностранной валюте для осуществления внешнеэкономических операций, обеспечить минимизацию связанных с этими операциями финансовых рисков, установить реальный валютный курс (цену денежной единицы одной страны, выраженную в денежной единице другой страны на определенную дату) по отдельным видам иностранной валюты. </w:t>
      </w:r>
    </w:p>
    <w:p w:rsidR="00981E11" w:rsidRDefault="00981E11" w:rsidP="00E16886">
      <w:pPr>
        <w:pStyle w:val="1"/>
        <w:numPr>
          <w:ilvl w:val="0"/>
          <w:numId w:val="1"/>
        </w:numPr>
        <w:jc w:val="both"/>
        <w:rPr>
          <w:rFonts w:ascii="Times New Roman" w:hAnsi="Times New Roman"/>
          <w:sz w:val="28"/>
        </w:rPr>
      </w:pPr>
      <w:r>
        <w:rPr>
          <w:rFonts w:ascii="Times New Roman" w:hAnsi="Times New Roman"/>
          <w:sz w:val="28"/>
        </w:rPr>
        <w:t>Страховой рынок. Он характеризует рынок, на котором объектом купли-продажи выступает страховая защита в форме различных предлагаемых страховых продуктов. Потребность в услугах этого рынка существенно возрастает по мере развития рыночных отношений. Субъекты этого рынка, осуществляющие предложение страховой защиты, способствуют аккумуляции и эффективному перераспределению капитала, широко используя накапливаемые средства в инвестиционных целях. Даже в кризисных экономических условиях этот рынок развивается высокими темпами, значительно превышающими темпы развития других видов финансовых рынков.</w:t>
      </w:r>
    </w:p>
    <w:p w:rsidR="00981E11" w:rsidRPr="00E16886" w:rsidRDefault="00981E11" w:rsidP="00E16886">
      <w:pPr>
        <w:pStyle w:val="1"/>
        <w:numPr>
          <w:ilvl w:val="0"/>
          <w:numId w:val="1"/>
        </w:numPr>
        <w:jc w:val="both"/>
        <w:rPr>
          <w:rFonts w:ascii="Times New Roman" w:hAnsi="Times New Roman"/>
          <w:sz w:val="28"/>
        </w:rPr>
      </w:pPr>
      <w:r>
        <w:rPr>
          <w:rFonts w:ascii="Times New Roman" w:hAnsi="Times New Roman"/>
          <w:sz w:val="28"/>
        </w:rPr>
        <w:t>Рынок золота (и других драгоценных металлов – серебра, платины). Он характеризует рынок, на котором объектом купли-продажи выступают вышеперечисленные виды ценных металлов, в первую очередь, золота. На этом рынке осуществляются операции страхования финансовых активов, обеспечения резервирования этих активов для приобретения необходимой валюты в процессе международных расчетов, осуществления финансовых спекулятивных сделок. Этот же рынок удовлетворяет также потребности в промышленно-бытовом потреблении этих металлов, в частной их тезаврации. Такая многофункциональность рынка золота связано с тем, что оно является не только общепризнанным финансовым активом и наиболее безопасным средством резервирования свободных денежных средств, но и ценным сырьевым товаром для ряда производственных предприятий. В нашей стране рынок золота является наименее развитым видом финансового рынка из-за отсутствия даже минимального необходимого нормативно-правового его регулирования.</w:t>
      </w:r>
    </w:p>
    <w:p w:rsidR="00981E11" w:rsidRPr="0068160A" w:rsidRDefault="00981E11" w:rsidP="00865B28">
      <w:pPr>
        <w:jc w:val="both"/>
        <w:rPr>
          <w:rFonts w:ascii="Times New Roman" w:hAnsi="Times New Roman"/>
          <w:sz w:val="28"/>
        </w:rPr>
      </w:pPr>
      <w:r>
        <w:rPr>
          <w:rFonts w:ascii="Times New Roman" w:hAnsi="Times New Roman"/>
          <w:sz w:val="28"/>
        </w:rPr>
        <w:t xml:space="preserve">    </w:t>
      </w:r>
      <w:bookmarkStart w:id="0" w:name="_GoBack"/>
      <w:bookmarkEnd w:id="0"/>
    </w:p>
    <w:sectPr w:rsidR="00981E11" w:rsidRPr="0068160A" w:rsidSect="00ED6FE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11" w:rsidRDefault="00981E11" w:rsidP="00BA7DBA">
      <w:pPr>
        <w:spacing w:after="0" w:line="240" w:lineRule="auto"/>
      </w:pPr>
      <w:r>
        <w:separator/>
      </w:r>
    </w:p>
  </w:endnote>
  <w:endnote w:type="continuationSeparator" w:id="0">
    <w:p w:rsidR="00981E11" w:rsidRDefault="00981E11" w:rsidP="00BA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11" w:rsidRDefault="00981E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11" w:rsidRDefault="00981E11">
    <w:pPr>
      <w:pStyle w:val="a5"/>
      <w:jc w:val="right"/>
    </w:pPr>
    <w:r>
      <w:fldChar w:fldCharType="begin"/>
    </w:r>
    <w:r>
      <w:instrText xml:space="preserve"> PAGE   \* MERGEFORMAT </w:instrText>
    </w:r>
    <w:r>
      <w:fldChar w:fldCharType="separate"/>
    </w:r>
    <w:r w:rsidR="00BC75DA">
      <w:rPr>
        <w:noProof/>
      </w:rPr>
      <w:t>1</w:t>
    </w:r>
    <w:r>
      <w:fldChar w:fldCharType="end"/>
    </w:r>
  </w:p>
  <w:p w:rsidR="00981E11" w:rsidRDefault="00981E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11" w:rsidRDefault="00981E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11" w:rsidRDefault="00981E11" w:rsidP="00BA7DBA">
      <w:pPr>
        <w:spacing w:after="0" w:line="240" w:lineRule="auto"/>
      </w:pPr>
      <w:r>
        <w:separator/>
      </w:r>
    </w:p>
  </w:footnote>
  <w:footnote w:type="continuationSeparator" w:id="0">
    <w:p w:rsidR="00981E11" w:rsidRDefault="00981E11" w:rsidP="00BA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11" w:rsidRDefault="00981E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11" w:rsidRDefault="00981E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11" w:rsidRDefault="00981E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691"/>
    <w:multiLevelType w:val="hybridMultilevel"/>
    <w:tmpl w:val="9CDC4AC6"/>
    <w:lvl w:ilvl="0" w:tplc="69E4DB8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FDA"/>
    <w:rsid w:val="000A386B"/>
    <w:rsid w:val="000B2CC3"/>
    <w:rsid w:val="000D484E"/>
    <w:rsid w:val="001653D6"/>
    <w:rsid w:val="001A727F"/>
    <w:rsid w:val="001B0EAE"/>
    <w:rsid w:val="001D64FB"/>
    <w:rsid w:val="001E054D"/>
    <w:rsid w:val="001F6191"/>
    <w:rsid w:val="00230AAB"/>
    <w:rsid w:val="00241B1B"/>
    <w:rsid w:val="00251D33"/>
    <w:rsid w:val="00280C9A"/>
    <w:rsid w:val="00294254"/>
    <w:rsid w:val="002E639B"/>
    <w:rsid w:val="00300A61"/>
    <w:rsid w:val="00336FAB"/>
    <w:rsid w:val="00345F26"/>
    <w:rsid w:val="003E2750"/>
    <w:rsid w:val="00422290"/>
    <w:rsid w:val="004658FC"/>
    <w:rsid w:val="004E3D22"/>
    <w:rsid w:val="004F6FF2"/>
    <w:rsid w:val="00523433"/>
    <w:rsid w:val="005472F7"/>
    <w:rsid w:val="00571311"/>
    <w:rsid w:val="005E145B"/>
    <w:rsid w:val="005F0675"/>
    <w:rsid w:val="0063427E"/>
    <w:rsid w:val="0068160A"/>
    <w:rsid w:val="0070479F"/>
    <w:rsid w:val="00740BC1"/>
    <w:rsid w:val="007C190F"/>
    <w:rsid w:val="007D0684"/>
    <w:rsid w:val="007F2C36"/>
    <w:rsid w:val="00865B28"/>
    <w:rsid w:val="00927C17"/>
    <w:rsid w:val="00950305"/>
    <w:rsid w:val="00964422"/>
    <w:rsid w:val="00981E11"/>
    <w:rsid w:val="0099709A"/>
    <w:rsid w:val="009C25B5"/>
    <w:rsid w:val="00A813AE"/>
    <w:rsid w:val="00AB6186"/>
    <w:rsid w:val="00AE4F57"/>
    <w:rsid w:val="00AE5B4C"/>
    <w:rsid w:val="00B6066B"/>
    <w:rsid w:val="00BA7DBA"/>
    <w:rsid w:val="00BC75DA"/>
    <w:rsid w:val="00C65C1C"/>
    <w:rsid w:val="00CA581A"/>
    <w:rsid w:val="00D04587"/>
    <w:rsid w:val="00D31382"/>
    <w:rsid w:val="00D66F22"/>
    <w:rsid w:val="00DD53B5"/>
    <w:rsid w:val="00E16886"/>
    <w:rsid w:val="00E16CD2"/>
    <w:rsid w:val="00E3446C"/>
    <w:rsid w:val="00E418E1"/>
    <w:rsid w:val="00E46F5D"/>
    <w:rsid w:val="00EA1086"/>
    <w:rsid w:val="00ED6FED"/>
    <w:rsid w:val="00EF5FDA"/>
    <w:rsid w:val="00F62428"/>
    <w:rsid w:val="00FD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ECE45-76C2-458D-B4A2-41401B6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FE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16886"/>
    <w:pPr>
      <w:ind w:left="720"/>
      <w:contextualSpacing/>
    </w:pPr>
  </w:style>
  <w:style w:type="paragraph" w:styleId="a3">
    <w:name w:val="header"/>
    <w:basedOn w:val="a"/>
    <w:link w:val="a4"/>
    <w:semiHidden/>
    <w:rsid w:val="00BA7DBA"/>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BA7DBA"/>
    <w:rPr>
      <w:rFonts w:cs="Times New Roman"/>
    </w:rPr>
  </w:style>
  <w:style w:type="paragraph" w:styleId="a5">
    <w:name w:val="footer"/>
    <w:basedOn w:val="a"/>
    <w:link w:val="a6"/>
    <w:rsid w:val="00BA7DBA"/>
    <w:pPr>
      <w:tabs>
        <w:tab w:val="center" w:pos="4677"/>
        <w:tab w:val="right" w:pos="9355"/>
      </w:tabs>
      <w:spacing w:after="0" w:line="240" w:lineRule="auto"/>
    </w:pPr>
  </w:style>
  <w:style w:type="character" w:customStyle="1" w:styleId="a6">
    <w:name w:val="Нижній колонтитул Знак"/>
    <w:basedOn w:val="a0"/>
    <w:link w:val="a5"/>
    <w:locked/>
    <w:rsid w:val="00BA7D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Вариант 1</vt:lpstr>
    </vt:vector>
  </TitlesOfParts>
  <Company>Microsoft</Company>
  <LinksUpToDate>false</LinksUpToDate>
  <CharactersWithSpaces>19881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Вариант 1</dc:title>
  <dc:subject/>
  <dc:creator>Admin</dc:creator>
  <cp:keywords/>
  <dc:description/>
  <cp:lastModifiedBy>Irina</cp:lastModifiedBy>
  <cp:revision>2</cp:revision>
  <cp:lastPrinted>2010-10-30T16:56:00Z</cp:lastPrinted>
  <dcterms:created xsi:type="dcterms:W3CDTF">2014-09-16T14:29:00Z</dcterms:created>
  <dcterms:modified xsi:type="dcterms:W3CDTF">2014-09-16T14:29:00Z</dcterms:modified>
</cp:coreProperties>
</file>