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41" w:rsidRDefault="00C23841" w:rsidP="00505693">
      <w:pPr>
        <w:spacing w:line="360" w:lineRule="auto"/>
        <w:jc w:val="center"/>
        <w:rPr>
          <w:b/>
          <w:bCs/>
          <w:kern w:val="32"/>
          <w:sz w:val="28"/>
          <w:szCs w:val="36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6"/>
        </w:rPr>
      </w:pPr>
      <w:r>
        <w:rPr>
          <w:b/>
          <w:bCs/>
          <w:kern w:val="32"/>
          <w:sz w:val="28"/>
          <w:szCs w:val="36"/>
        </w:rPr>
        <w:t>Уральская Государственная</w:t>
      </w: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6"/>
        </w:rPr>
      </w:pPr>
      <w:r>
        <w:rPr>
          <w:b/>
          <w:bCs/>
          <w:kern w:val="32"/>
          <w:sz w:val="28"/>
          <w:szCs w:val="36"/>
        </w:rPr>
        <w:t>Сельскохозяйственная Академия</w:t>
      </w: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  <w:r>
        <w:rPr>
          <w:b/>
          <w:bCs/>
          <w:kern w:val="32"/>
          <w:sz w:val="28"/>
          <w:szCs w:val="30"/>
        </w:rPr>
        <w:t>Заочный факультет</w:t>
      </w: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  <w:r>
        <w:rPr>
          <w:b/>
          <w:bCs/>
          <w:kern w:val="32"/>
          <w:sz w:val="28"/>
          <w:szCs w:val="30"/>
        </w:rPr>
        <w:t>Контрольная работа</w:t>
      </w: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  <w:r>
        <w:rPr>
          <w:b/>
          <w:bCs/>
          <w:kern w:val="32"/>
          <w:sz w:val="28"/>
          <w:szCs w:val="30"/>
        </w:rPr>
        <w:t>По дисциплине: «Финансовая среда предпринимательства и предпринимательские риски»</w:t>
      </w: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Тема: «Управление рисками подрядных строительных организаций</w:t>
      </w:r>
      <w:r>
        <w:rPr>
          <w:b/>
          <w:bCs/>
          <w:kern w:val="32"/>
          <w:sz w:val="28"/>
          <w:szCs w:val="30"/>
        </w:rPr>
        <w:t>»</w:t>
      </w: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  <w:r>
        <w:rPr>
          <w:b/>
          <w:bCs/>
          <w:kern w:val="32"/>
          <w:sz w:val="28"/>
          <w:szCs w:val="30"/>
        </w:rPr>
        <w:t xml:space="preserve">                                            Выполнил студент</w:t>
      </w: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  <w:r>
        <w:rPr>
          <w:b/>
          <w:bCs/>
          <w:kern w:val="32"/>
          <w:sz w:val="28"/>
          <w:szCs w:val="30"/>
        </w:rPr>
        <w:t xml:space="preserve">                                                                        Кудашев Алексей Олегович</w:t>
      </w: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  <w:r>
        <w:rPr>
          <w:b/>
          <w:bCs/>
          <w:kern w:val="32"/>
          <w:sz w:val="28"/>
          <w:szCs w:val="30"/>
        </w:rPr>
        <w:t xml:space="preserve">                                                                        Группа АС – 607 - ФС</w:t>
      </w: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  <w:r>
        <w:rPr>
          <w:b/>
          <w:bCs/>
          <w:kern w:val="32"/>
          <w:sz w:val="28"/>
          <w:szCs w:val="30"/>
        </w:rPr>
        <w:t xml:space="preserve">                                                                        Проверил: Гриднева Н.Г.</w:t>
      </w: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  <w:r>
        <w:rPr>
          <w:b/>
          <w:bCs/>
          <w:kern w:val="32"/>
          <w:sz w:val="28"/>
          <w:szCs w:val="30"/>
        </w:rPr>
        <w:t xml:space="preserve">                                                                              </w:t>
      </w: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rPr>
          <w:b/>
          <w:bCs/>
          <w:kern w:val="32"/>
          <w:sz w:val="28"/>
          <w:szCs w:val="30"/>
        </w:rPr>
      </w:pPr>
    </w:p>
    <w:p w:rsidR="00505693" w:rsidRDefault="00505693" w:rsidP="00505693">
      <w:pPr>
        <w:spacing w:line="360" w:lineRule="auto"/>
        <w:jc w:val="center"/>
        <w:rPr>
          <w:b/>
          <w:bCs/>
          <w:kern w:val="32"/>
          <w:sz w:val="28"/>
          <w:szCs w:val="30"/>
        </w:rPr>
      </w:pPr>
      <w:r>
        <w:rPr>
          <w:b/>
          <w:bCs/>
          <w:kern w:val="32"/>
          <w:sz w:val="28"/>
          <w:szCs w:val="30"/>
        </w:rPr>
        <w:t>Асбест, 2009 г.</w:t>
      </w:r>
    </w:p>
    <w:p w:rsidR="00505693" w:rsidRDefault="00505693" w:rsidP="00505693">
      <w:pPr>
        <w:spacing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Управление рисками подрядных строительных организаций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условиях экономической нестабильности и непредсказуемости наибольшую долю рисков несут организации, выполняющие функции заказчиков (инвесторов), поскольку на свой страх и риск оценивают конъюнктуру рынка, определяют объекты вложения капитала и организуют инвестиционно-строительную деятельность. Однако основную ответственность за возведение объекта строительства, выполнение строительно-монтажных работ несет подрядная строительная организация.   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Как правило, договором подряда определены условия, по которым подрядчик отвечает и за сроки и за качество производимых работ, а также за свой счет покрывает все расходы сверх установленных сметной документацией. Поэтому в виду очевидной неизбежности предпринимательских рисков подрядные строительные организации должны рассчитывать их вероятность, предвидеть риски, планировать и осуществлять все возможные мероприятия по их предупреждению и минимизации, в идеальном случае - до полной ликвидации.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Весь этот непрерывный процесс можно квалифицировать как управление исками (риск-менеджмент), который, по нашему мнению, должны осуществлять специалисты новой службы управления рисками, при всестороннем участии всех остальных специалистов существующих отделов и служб традиционного аппарата управления крупных строительных организаций.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Алгоритм создания постоянно действующего механизма управления рисками с целью их минимизации, представлен на рис. 1</w:t>
      </w:r>
    </w:p>
    <w:tbl>
      <w:tblPr>
        <w:tblW w:w="1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6"/>
      </w:tblGrid>
      <w:tr w:rsidR="005056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05693" w:rsidRDefault="00505693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Рис. 1. Алгоритм создания и функционирования механизма управления рисками</w:t>
            </w:r>
          </w:p>
        </w:tc>
      </w:tr>
      <w:tr w:rsidR="005056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05693" w:rsidRDefault="001204C1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69.75pt;height:477.75pt">
                  <v:imagedata r:id="rId5" o:title=""/>
                </v:shape>
              </w:pict>
            </w:r>
          </w:p>
        </w:tc>
      </w:tr>
      <w:tr w:rsidR="00505693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05693" w:rsidRDefault="00505693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алгоритма (рис. 1.) прослеживается последовательность действий по формированию механизма управления рисками подрядной строительной организации и начало его функционирования.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руководство подрядчика "включается" в этот процесс решением трех принципиальных вопросов: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 основе исходных данных, собранных структурным аппаратом, формулируется цель создания новой функциональной службы по управлению рисками;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утверждается состав этой новой службы и положение о ее статусе, правах и обязанностях;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утверждается план работы службы управления рисками, в котором задаются определенные границы, в рамках которых принимаются решения специалистами службы управления рисками. 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этого момента начинает функционировать новый отдел - служба управления рисками, которая для выполнения своих основных функций привлекает по мере необходимости все существующие функциональные отделы в связи с их непосредственным отношением к возникновению и разработке мероприятий по минимизации тех или иных рисков. Таким образом, к решению проблемы минимизации рисков привлекается весь управленческий аппарат подрядной строительной организации при организующей управляющей роли центральной службы во главе со специалистами в области оценки и управления рисками.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Функционирование механизма управления рисками должно осуществляться на основе интегрированного подхода, т.е. должно быть: </w:t>
      </w:r>
    </w:p>
    <w:p w:rsidR="00505693" w:rsidRDefault="00505693" w:rsidP="0050569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постоянство и непрерывность процесса управления рисками; </w:t>
      </w:r>
    </w:p>
    <w:p w:rsidR="00505693" w:rsidRDefault="00505693" w:rsidP="0050569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высшее руководство - координирующий центр; </w:t>
      </w:r>
    </w:p>
    <w:p w:rsidR="00505693" w:rsidRDefault="00505693" w:rsidP="0050569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заинтересованность каждого сотрудника; </w:t>
      </w:r>
    </w:p>
    <w:p w:rsidR="00505693" w:rsidRDefault="00505693" w:rsidP="0050569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всех отделов и служб к процессу управления рисками; </w:t>
      </w:r>
    </w:p>
    <w:p w:rsidR="00505693" w:rsidRDefault="00505693" w:rsidP="0050569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постоянное совершенствование комплекса методов управления рисками. 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Основной задачей, которую должна решать служба управления рисками, это организация, координация и осуществление процесса управления рисками, основа которого лежит в разработке и реализации программы управления рисками. Таким образом, формирование и реализация программы управления рисками является центральной задачей системы управления рисками.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Программа управления рисками</w:t>
      </w:r>
      <w:r>
        <w:rPr>
          <w:sz w:val="28"/>
          <w:szCs w:val="28"/>
        </w:rPr>
        <w:t xml:space="preserve"> - это разработанная на уровне подрядной строительной организации система планирования, обеспечения и организации мероприятий, необходимых для минимизации убытков (потерь), вызванных случайными событиями. Программа управления рисками основывается на решении таких задач как: </w:t>
      </w:r>
    </w:p>
    <w:p w:rsidR="00505693" w:rsidRDefault="00505693" w:rsidP="00505693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возможных рисков и их влияния на деятельность подрядной строительной организации; </w:t>
      </w:r>
    </w:p>
    <w:p w:rsidR="00505693" w:rsidRDefault="00505693" w:rsidP="00505693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принципов и методов управления рисками; </w:t>
      </w:r>
    </w:p>
    <w:p w:rsidR="00505693" w:rsidRDefault="00505693" w:rsidP="00505693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финансовых потерь, связанных с рисками.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Результатом разработки и реализации программы управления рисками должно стать обеспечение такого управления рисками, при котором основная деятельность подрядной строительной организации будет осуществляться с высокой устойчивостью и надежностью от внутренних и внешних видов рисков.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Каждый из предложенных методов управления рисками имеет особенности применения, преимущества и недостатки, при этом разнообразные их комбинации обеспечивают защиту предпринимательской деятельности строительных организаций от негативного воздействия рисков.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Универсальным методом компенсации ущерба от материализации рисков подрядных строительных организаций является страхование. При чем страхование позволяет на всех фазах жизненного цикла инвестиционно-строительного проекта - от разработки технико-экономического обоснования до пуска объекта в эксплуатацию - не только возмещать страхователю внезапные и непредвиденные убытки, возникающие при строительстве, но и защищать капиталовложения в строительство.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банки и другие кредитные организации все чаще выдвигают требования страхования строительных рисков, чтобы как можно лучше защитить предоставляемые ими финансовые средства.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Страхование может осуществлять любая сторона инвестиционно-строительного процесса, тем не менее, это наиболее актуальный вопрос для подрядной строительной организации. Поскольку договором подряда, как правило, определена обязанность подрядчика застраховать различные риски. А также с 1998 г. условием оформления лицензий на осуществление строительной деятельности является наличие договора о страховой защите, что определено следующими документами: </w:t>
      </w:r>
    </w:p>
    <w:p w:rsidR="00505693" w:rsidRDefault="00505693" w:rsidP="0050569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Гражданский кодекс РФ; </w:t>
      </w:r>
    </w:p>
    <w:p w:rsidR="00505693" w:rsidRDefault="00505693" w:rsidP="0050569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закона "О страховании в РФ"; </w:t>
      </w:r>
    </w:p>
    <w:p w:rsidR="00505693" w:rsidRDefault="00505693" w:rsidP="0050569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Правительства РФ от 22.11.1996 №1387 "О первоочередных мерах по развитию рынка страхования в РФ"; </w:t>
      </w:r>
    </w:p>
    <w:p w:rsidR="00505693" w:rsidRDefault="00505693" w:rsidP="0050569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Правительства РФ от 25.03.1996 №351 "Об утверждении Положения о лицензировании строительной деятельности"; </w:t>
      </w:r>
    </w:p>
    <w:p w:rsidR="00505693" w:rsidRDefault="00505693" w:rsidP="0050569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разъяснения Госстроя РФ от 18.12.1997 №ВБ-12-291/7.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Согласно Положению о лицензировании гарантии страховой защиты в первую очередь подтверждаются: </w:t>
      </w:r>
    </w:p>
    <w:p w:rsidR="00505693" w:rsidRDefault="00505693" w:rsidP="0050569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полисом страхования профессиональной ответственности строительной организации при осуществлении строительной деятельности; </w:t>
      </w:r>
    </w:p>
    <w:p w:rsidR="00505693" w:rsidRDefault="00505693" w:rsidP="0050569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полисом страхования СМР при строительстве конкретных зданий и сооружений.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Помимо приведенных полисов (обязательных для строительной организации) страховыми компаниями были предложены следующие виды страхования, применяемые по соглашению сторон (заказчика (инвестора) и подрядчика):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страхование строительно-монтажных работ;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страхование послепусковых гарантийных обязательств;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страхование строительной техники;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страхование оборудования строительной площадки;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страхование объектов, находящихся на строительной площадке или в непосредственной близости от нее, за исключением оборудования строительной площадки;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страхование гражданской ответственности перед третьими лицами при проведении строительно-монтажных работ;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страхование профессиональной ответственности строителей и архитекторов. 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использовании страхования очень важно учитывать виды рисков, которые нецелесообразно страховать: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приемлемые риски, которые возмещаются самострахованием в виде резервирования;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спекулятивные риски, которые компенсируются диверсификацией;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полностью неидентифицируемые риски (с экономической точки зрения);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неуправляемые риски для страховщиков с учетом их объединения;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трудные риски из-за финансовых и организационных проблем недостаточного развития страхового риск-менеджмента;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редкие риски;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крупные систематические риски, которые нейтрализуются благоприятным климатом через государственное регулирование;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катастрофические риски, которые возмещаются государством или полугосударственными структурами;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новые риски, только появившиеся в процессе осуществления строительной деятельности; </w:t>
      </w:r>
    </w:p>
    <w:p w:rsidR="00505693" w:rsidRDefault="00505693" w:rsidP="0050569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политические, военные, террористические, социальные и экологические риски и др.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для некоторых видов рисков страхование, как метод управления предпринимательскими рисками, является неэффективным. Поэтому необходимо на уровне строительной организации разрабатывать и внедрять различные методы минимизации предпринимательских рисков.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программа управления рисками должна содержать следующие положения: </w:t>
      </w:r>
    </w:p>
    <w:p w:rsidR="00505693" w:rsidRDefault="00505693" w:rsidP="0050569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рисков, от которых строительная организация уклоняется; </w:t>
      </w:r>
    </w:p>
    <w:p w:rsidR="00505693" w:rsidRDefault="00505693" w:rsidP="0050569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рисков, которые строительная организация снижает; </w:t>
      </w:r>
    </w:p>
    <w:p w:rsidR="00505693" w:rsidRDefault="00505693" w:rsidP="0050569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рисков, которые строительная организация передает; </w:t>
      </w:r>
    </w:p>
    <w:p w:rsidR="00505693" w:rsidRDefault="00505693" w:rsidP="0050569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рисков, которые строительная организация принимает; </w:t>
      </w:r>
    </w:p>
    <w:p w:rsidR="00505693" w:rsidRDefault="00505693" w:rsidP="0050569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управления, применяемые к принимаемым рискам; </w:t>
      </w:r>
    </w:p>
    <w:p w:rsidR="00505693" w:rsidRDefault="00505693" w:rsidP="0050569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управления, применяемые к передаваемым рискам; </w:t>
      </w:r>
    </w:p>
    <w:p w:rsidR="00505693" w:rsidRDefault="00505693" w:rsidP="0050569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превентивных мероприятий с выделением соответствующих рисков; </w:t>
      </w:r>
    </w:p>
    <w:p w:rsidR="00505693" w:rsidRDefault="00505693" w:rsidP="0050569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затрат Зу, связанных с реализацией выбранного метода управления (для всех видов рисков); 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Величина эффекта от внедрения выбранного метода управления (для всех рисков, связанных с реализацией выбранного метода управления):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до</w:t>
      </w:r>
      <w:r>
        <w:rPr>
          <w:sz w:val="28"/>
          <w:szCs w:val="28"/>
        </w:rPr>
        <w:t xml:space="preserve"> - (З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+ П</w:t>
      </w:r>
      <w:r>
        <w:rPr>
          <w:sz w:val="28"/>
          <w:szCs w:val="28"/>
          <w:vertAlign w:val="subscript"/>
        </w:rPr>
        <w:t>после</w:t>
      </w:r>
      <w:r>
        <w:rPr>
          <w:sz w:val="28"/>
          <w:szCs w:val="28"/>
        </w:rPr>
        <w:t>) &gt; 0, где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до</w:t>
      </w:r>
      <w:r>
        <w:rPr>
          <w:sz w:val="28"/>
          <w:szCs w:val="28"/>
        </w:rPr>
        <w:t xml:space="preserve"> - возможные потери до применения к риску оцениваемого метода управления;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после</w:t>
      </w:r>
      <w:r>
        <w:rPr>
          <w:sz w:val="28"/>
          <w:szCs w:val="28"/>
        </w:rPr>
        <w:t xml:space="preserve"> - возможные потери после применения к риску оцениваемого метода управления; Зу - затраты, связанные с применением метода управления.</w:t>
      </w:r>
    </w:p>
    <w:p w:rsidR="00505693" w:rsidRDefault="00505693" w:rsidP="005056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потерь (значения вероятности наступления потерь и возможный размер потерь) до проведения рекомендуемых мероприятий и после их реализации. 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рисков, которые могут привести к банкротству возможно выработать последовательность действий по минимизации данного вида рисков (рис. 2.).</w:t>
      </w:r>
    </w:p>
    <w:tbl>
      <w:tblPr>
        <w:tblW w:w="4438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3"/>
      </w:tblGrid>
      <w:tr w:rsidR="00505693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05693" w:rsidRDefault="0050569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Рис. 2. Последовательность действий по минимизации рисков, которые могут привести к банкротству</w:t>
            </w:r>
          </w:p>
        </w:tc>
      </w:tr>
      <w:tr w:rsidR="00505693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05693" w:rsidRDefault="001204C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pict>
                <v:shape id="_x0000_i1032" type="#_x0000_t75" style="width:365.25pt;height:456pt">
                  <v:imagedata r:id="rId6" o:title=""/>
                </v:shape>
              </w:pict>
            </w:r>
          </w:p>
        </w:tc>
      </w:tr>
      <w:tr w:rsidR="00505693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05693" w:rsidRDefault="0050569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Разработанная программа по управлению рисками должна содержать полную информацию по рискам строительной организации и методам управления ими, план внедряемых превентивных мероприятий, а также перечень мер, направленных на покрытие возможных убытков фирмы.      Точная и полная реализация программы управления рисками будет означать снижение суммарного размера возможных потерь для организации, поэтому в целом будет способствовать ее устойчивому финансовому положению и эффективному развитию.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Служба управления рисками должна регулярно пересматривать программу управления рисками, чтобы она соответствовала потребностям строительной организации, а также учитывала постоянно меняющиеся условия функционирования.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Формирование и внедрение программы управления рисками направлено на разработку мероприятий по минимизации рисков подрядной строительной организации, при этом в условиях конкурентной среды обеспечение конкурентоспособности организации может рассматриваться как средство минимизации предпринимательских рисков. Так как от повышения конкурентоспособности и надежности строительной организации зависит успех на рынке, финансовая стабильность и дальнейшее развитие организации.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как представлено на рис.3., повышение конкурентоспособности и надежности строительной организации возможно осуществлять по двум направлениям: </w:t>
      </w:r>
    </w:p>
    <w:p w:rsidR="00505693" w:rsidRDefault="00505693" w:rsidP="00505693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мощности, дееспособности, авторитету строительной организации; </w:t>
      </w:r>
    </w:p>
    <w:p w:rsidR="00505693" w:rsidRDefault="00505693" w:rsidP="00505693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параметрам строительной продукции.</w:t>
      </w:r>
    </w:p>
    <w:tbl>
      <w:tblPr>
        <w:tblW w:w="1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2"/>
      </w:tblGrid>
      <w:tr w:rsidR="005056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05693" w:rsidRDefault="0050569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Рис. 3. Повышение конкурентоспособности и надёжности строительных организаций как средства минимизации рисков</w:t>
            </w:r>
          </w:p>
        </w:tc>
      </w:tr>
      <w:tr w:rsidR="005056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05693" w:rsidRDefault="001204C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5" type="#_x0000_t75" style="width:525pt;height:330.75pt">
                  <v:imagedata r:id="rId7" o:title=""/>
                </v:shape>
              </w:pict>
            </w:r>
          </w:p>
        </w:tc>
      </w:tr>
      <w:tr w:rsidR="005056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05693" w:rsidRDefault="0050569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Применение перечисленных на рис.3. мероприятий по повышению конкурентоспособности строительной организации обеспечивают стабильное финансовое состояние, бесперебойную загрузку производственных мощностей организации, ускорение технического прогресса и др. положительные эффекты, косвенно способствующие минимизации рисков подрядных строительных организаций.</w:t>
      </w:r>
    </w:p>
    <w:p w:rsidR="00505693" w:rsidRDefault="00505693" w:rsidP="00505693">
      <w:pPr>
        <w:spacing w:line="360" w:lineRule="auto"/>
        <w:jc w:val="both"/>
        <w:rPr>
          <w:sz w:val="28"/>
          <w:szCs w:val="28"/>
        </w:rPr>
      </w:pPr>
    </w:p>
    <w:p w:rsidR="00505693" w:rsidRDefault="00505693">
      <w:bookmarkStart w:id="0" w:name="_GoBack"/>
      <w:bookmarkEnd w:id="0"/>
    </w:p>
    <w:sectPr w:rsidR="0050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137"/>
    <w:multiLevelType w:val="hybridMultilevel"/>
    <w:tmpl w:val="FB8E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03E1D"/>
    <w:multiLevelType w:val="hybridMultilevel"/>
    <w:tmpl w:val="96DE48D0"/>
    <w:lvl w:ilvl="0" w:tplc="DCA8D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8DC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758CB"/>
    <w:multiLevelType w:val="hybridMultilevel"/>
    <w:tmpl w:val="FDCE7D1C"/>
    <w:lvl w:ilvl="0" w:tplc="DCA8DC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D4529"/>
    <w:multiLevelType w:val="hybridMultilevel"/>
    <w:tmpl w:val="5DC4A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8DC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F55F0"/>
    <w:multiLevelType w:val="hybridMultilevel"/>
    <w:tmpl w:val="FB4679FC"/>
    <w:lvl w:ilvl="0" w:tplc="DCA8DC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55088"/>
    <w:multiLevelType w:val="hybridMultilevel"/>
    <w:tmpl w:val="C130C99C"/>
    <w:lvl w:ilvl="0" w:tplc="DCA8DC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C09B2"/>
    <w:multiLevelType w:val="hybridMultilevel"/>
    <w:tmpl w:val="E23CB5FC"/>
    <w:lvl w:ilvl="0" w:tplc="DCA8DC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693"/>
    <w:rsid w:val="001204C1"/>
    <w:rsid w:val="00505693"/>
    <w:rsid w:val="00A234F8"/>
    <w:rsid w:val="00C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F9F0B37-CF92-4E4A-85C8-4770C5FA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</vt:lpstr>
    </vt:vector>
  </TitlesOfParts>
  <Company>Microsoft</Company>
  <LinksUpToDate>false</LinksUpToDate>
  <CharactersWithSpaces>12277</CharactersWithSpaces>
  <SharedDoc>false</SharedDoc>
  <HLinks>
    <vt:vector size="18" baseType="variant">
      <vt:variant>
        <vt:i4>458772</vt:i4>
      </vt:variant>
      <vt:variant>
        <vt:i4>6774</vt:i4>
      </vt:variant>
      <vt:variant>
        <vt:i4>1025</vt:i4>
      </vt:variant>
      <vt:variant>
        <vt:i4>1</vt:i4>
      </vt:variant>
      <vt:variant>
        <vt:lpwstr>http://www.risk-manage.ru/research/building/part6/17.gif</vt:lpwstr>
      </vt:variant>
      <vt:variant>
        <vt:lpwstr/>
      </vt:variant>
      <vt:variant>
        <vt:i4>524308</vt:i4>
      </vt:variant>
      <vt:variant>
        <vt:i4>26872</vt:i4>
      </vt:variant>
      <vt:variant>
        <vt:i4>1026</vt:i4>
      </vt:variant>
      <vt:variant>
        <vt:i4>1</vt:i4>
      </vt:variant>
      <vt:variant>
        <vt:lpwstr>http://www.risk-manage.ru/research/building/part6/18.gif</vt:lpwstr>
      </vt:variant>
      <vt:variant>
        <vt:lpwstr/>
      </vt:variant>
      <vt:variant>
        <vt:i4>589844</vt:i4>
      </vt:variant>
      <vt:variant>
        <vt:i4>30230</vt:i4>
      </vt:variant>
      <vt:variant>
        <vt:i4>1027</vt:i4>
      </vt:variant>
      <vt:variant>
        <vt:i4>1</vt:i4>
      </vt:variant>
      <vt:variant>
        <vt:lpwstr>http://www.risk-manage.ru/research/building/part6/19.gif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</dc:title>
  <dc:subject/>
  <dc:creator>Admin</dc:creator>
  <cp:keywords/>
  <dc:description/>
  <cp:lastModifiedBy>admin</cp:lastModifiedBy>
  <cp:revision>2</cp:revision>
  <dcterms:created xsi:type="dcterms:W3CDTF">2014-04-12T02:32:00Z</dcterms:created>
  <dcterms:modified xsi:type="dcterms:W3CDTF">2014-04-12T02:32:00Z</dcterms:modified>
</cp:coreProperties>
</file>