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D1" w:rsidRDefault="008D0AD1" w:rsidP="008D0AD1">
      <w:pPr>
        <w:pStyle w:val="a3"/>
        <w:jc w:val="both"/>
        <w:rPr>
          <w:rFonts w:ascii="Times New Roman" w:hAnsi="Times New Roman"/>
          <w:b/>
          <w:i/>
          <w:sz w:val="84"/>
        </w:rPr>
      </w:pPr>
    </w:p>
    <w:p w:rsidR="008D0AD1" w:rsidRDefault="008D0AD1" w:rsidP="008D0AD1">
      <w:pPr>
        <w:pStyle w:val="a3"/>
        <w:jc w:val="both"/>
        <w:rPr>
          <w:rFonts w:ascii="Times New Roman" w:hAnsi="Times New Roman"/>
          <w:b/>
          <w:i/>
          <w:sz w:val="84"/>
        </w:rPr>
      </w:pPr>
    </w:p>
    <w:p w:rsidR="008D0AD1" w:rsidRPr="007C1836" w:rsidRDefault="008D0AD1" w:rsidP="008D0AD1">
      <w:pPr>
        <w:pStyle w:val="a3"/>
        <w:jc w:val="center"/>
        <w:rPr>
          <w:rFonts w:ascii="Times New Roman" w:hAnsi="Times New Roman"/>
          <w:b/>
          <w:i/>
          <w:sz w:val="90"/>
          <w:szCs w:val="90"/>
        </w:rPr>
      </w:pPr>
      <w:r w:rsidRPr="007C1836">
        <w:rPr>
          <w:rFonts w:ascii="Times New Roman" w:hAnsi="Times New Roman"/>
          <w:b/>
          <w:i/>
          <w:sz w:val="90"/>
          <w:szCs w:val="90"/>
        </w:rPr>
        <w:t>Курсовая работа</w:t>
      </w:r>
    </w:p>
    <w:p w:rsidR="008D0AD1" w:rsidRPr="007C1836" w:rsidRDefault="008D0AD1" w:rsidP="008D0AD1">
      <w:pPr>
        <w:jc w:val="center"/>
        <w:rPr>
          <w:b/>
          <w:i/>
          <w:sz w:val="50"/>
          <w:szCs w:val="50"/>
        </w:rPr>
      </w:pPr>
      <w:r w:rsidRPr="007C1836">
        <w:rPr>
          <w:b/>
          <w:i/>
          <w:sz w:val="50"/>
          <w:szCs w:val="50"/>
        </w:rPr>
        <w:t>по налоговому праву:</w:t>
      </w:r>
    </w:p>
    <w:p w:rsidR="008D0AD1" w:rsidRDefault="008D0AD1" w:rsidP="008D0AD1">
      <w:pPr>
        <w:jc w:val="center"/>
      </w:pPr>
    </w:p>
    <w:p w:rsidR="008D0AD1" w:rsidRPr="007C1836" w:rsidRDefault="008D0AD1" w:rsidP="008D0AD1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7C1836">
        <w:rPr>
          <w:rFonts w:ascii="Times New Roman" w:hAnsi="Times New Roman"/>
          <w:b/>
          <w:sz w:val="40"/>
          <w:szCs w:val="40"/>
        </w:rPr>
        <w:t>"Налогообложение игорного бизнеса</w:t>
      </w:r>
    </w:p>
    <w:p w:rsidR="008D0AD1" w:rsidRPr="007C1836" w:rsidRDefault="008D0AD1" w:rsidP="008D0AD1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7C1836">
        <w:rPr>
          <w:rFonts w:ascii="Times New Roman" w:hAnsi="Times New Roman"/>
          <w:b/>
          <w:sz w:val="40"/>
          <w:szCs w:val="40"/>
        </w:rPr>
        <w:t>в Российской Федерации ".</w:t>
      </w:r>
    </w:p>
    <w:p w:rsidR="008D0AD1" w:rsidRPr="007C1836" w:rsidRDefault="008D0AD1" w:rsidP="008D0AD1">
      <w:pPr>
        <w:widowControl w:val="0"/>
        <w:ind w:left="5760"/>
        <w:jc w:val="both"/>
        <w:rPr>
          <w:snapToGrid w:val="0"/>
          <w:sz w:val="40"/>
          <w:szCs w:val="40"/>
        </w:rPr>
      </w:pPr>
    </w:p>
    <w:p w:rsidR="008D0AD1" w:rsidRDefault="008D0AD1" w:rsidP="008D0AD1">
      <w:pPr>
        <w:ind w:left="5400" w:right="99"/>
        <w:jc w:val="both"/>
      </w:pPr>
    </w:p>
    <w:p w:rsidR="008D0AD1" w:rsidRDefault="008D0AD1" w:rsidP="008D0AD1">
      <w:pPr>
        <w:ind w:left="5400" w:right="99"/>
        <w:jc w:val="both"/>
      </w:pPr>
    </w:p>
    <w:p w:rsidR="008D0AD1" w:rsidRDefault="008D0AD1" w:rsidP="008D0AD1">
      <w:pPr>
        <w:ind w:left="5400" w:right="99"/>
        <w:jc w:val="both"/>
      </w:pPr>
      <w:r>
        <w:t xml:space="preserve">Выполнила студентка </w:t>
      </w:r>
    </w:p>
    <w:p w:rsidR="008D0AD1" w:rsidRDefault="008D0AD1" w:rsidP="008D0AD1">
      <w:pPr>
        <w:ind w:left="5400" w:right="99"/>
        <w:jc w:val="both"/>
      </w:pPr>
      <w:r>
        <w:t xml:space="preserve">группы _____ </w:t>
      </w:r>
    </w:p>
    <w:p w:rsidR="008D0AD1" w:rsidRDefault="008D0AD1" w:rsidP="008D0AD1">
      <w:pPr>
        <w:ind w:left="5400" w:right="99"/>
        <w:jc w:val="both"/>
      </w:pPr>
      <w:r>
        <w:t>факультета ______________________</w:t>
      </w:r>
    </w:p>
    <w:p w:rsidR="008D0AD1" w:rsidRDefault="008D0AD1" w:rsidP="008D0AD1">
      <w:pPr>
        <w:ind w:left="5400" w:right="99"/>
        <w:jc w:val="both"/>
      </w:pPr>
      <w:r>
        <w:t>Руководитель ____________________</w:t>
      </w:r>
    </w:p>
    <w:p w:rsidR="008D0AD1" w:rsidRDefault="008D0AD1" w:rsidP="008D0AD1">
      <w:pPr>
        <w:ind w:left="5400" w:right="99"/>
        <w:jc w:val="both"/>
      </w:pPr>
      <w:r>
        <w:t>________________________________</w:t>
      </w:r>
    </w:p>
    <w:p w:rsidR="008D0AD1" w:rsidRDefault="008D0AD1" w:rsidP="008D0AD1">
      <w:pPr>
        <w:ind w:left="5400" w:right="99"/>
        <w:jc w:val="both"/>
      </w:pPr>
      <w:r>
        <w:t>________________________________</w:t>
      </w:r>
    </w:p>
    <w:p w:rsidR="008D0AD1" w:rsidRDefault="008D0AD1" w:rsidP="008D0AD1">
      <w:pPr>
        <w:ind w:left="5400" w:right="99"/>
        <w:jc w:val="both"/>
      </w:pPr>
    </w:p>
    <w:p w:rsidR="008D0AD1" w:rsidRDefault="008D0AD1" w:rsidP="008D0AD1">
      <w:pPr>
        <w:ind w:left="5400" w:right="99"/>
        <w:jc w:val="both"/>
      </w:pPr>
      <w:r>
        <w:t>Дата защиты _____________</w:t>
      </w:r>
    </w:p>
    <w:p w:rsidR="008D0AD1" w:rsidRDefault="008D0AD1" w:rsidP="008D0AD1">
      <w:pPr>
        <w:ind w:left="5400" w:right="99"/>
        <w:jc w:val="both"/>
      </w:pPr>
    </w:p>
    <w:p w:rsidR="008D0AD1" w:rsidRDefault="008D0AD1" w:rsidP="008D0AD1">
      <w:pPr>
        <w:ind w:left="5400" w:right="99"/>
        <w:jc w:val="both"/>
        <w:rPr>
          <w:i/>
          <w:snapToGrid w:val="0"/>
        </w:rPr>
      </w:pPr>
      <w:r>
        <w:t>Оценка __________________</w:t>
      </w:r>
    </w:p>
    <w:p w:rsidR="008D0AD1" w:rsidRDefault="008D0AD1" w:rsidP="008D0AD1">
      <w:pPr>
        <w:pStyle w:val="a3"/>
        <w:jc w:val="both"/>
        <w:rPr>
          <w:rFonts w:ascii="Times New Roman" w:hAnsi="Times New Roman"/>
          <w:i/>
          <w:snapToGrid w:val="0"/>
        </w:rPr>
      </w:pPr>
    </w:p>
    <w:p w:rsidR="008D0AD1" w:rsidRDefault="008D0AD1" w:rsidP="008D0AD1">
      <w:pPr>
        <w:pStyle w:val="a3"/>
        <w:jc w:val="both"/>
        <w:rPr>
          <w:rFonts w:ascii="Times New Roman" w:hAnsi="Times New Roman"/>
          <w:i/>
          <w:snapToGrid w:val="0"/>
        </w:rPr>
      </w:pPr>
    </w:p>
    <w:p w:rsidR="008D0AD1" w:rsidRDefault="008D0AD1" w:rsidP="008D0AD1">
      <w:pPr>
        <w:pStyle w:val="a3"/>
        <w:jc w:val="both"/>
        <w:rPr>
          <w:rFonts w:ascii="Times New Roman" w:hAnsi="Times New Roman"/>
          <w:i/>
          <w:snapToGrid w:val="0"/>
        </w:rPr>
      </w:pPr>
    </w:p>
    <w:p w:rsidR="008D0AD1" w:rsidRDefault="008D0AD1" w:rsidP="008D0AD1">
      <w:pPr>
        <w:pStyle w:val="a3"/>
        <w:jc w:val="center"/>
        <w:rPr>
          <w:rFonts w:ascii="Times New Roman" w:hAnsi="Times New Roman"/>
          <w:i/>
          <w:snapToGrid w:val="0"/>
        </w:rPr>
      </w:pPr>
    </w:p>
    <w:p w:rsidR="008D0AD1" w:rsidRDefault="008D0AD1" w:rsidP="008D0AD1">
      <w:pPr>
        <w:pStyle w:val="a3"/>
        <w:jc w:val="center"/>
        <w:rPr>
          <w:rFonts w:ascii="Times New Roman" w:hAnsi="Times New Roman"/>
          <w:i/>
          <w:snapToGrid w:val="0"/>
        </w:rPr>
      </w:pPr>
    </w:p>
    <w:p w:rsidR="008D0AD1" w:rsidRDefault="008D0AD1" w:rsidP="008D0AD1">
      <w:pPr>
        <w:pStyle w:val="a3"/>
        <w:jc w:val="center"/>
        <w:rPr>
          <w:rFonts w:ascii="Times New Roman" w:hAnsi="Times New Roman"/>
          <w:i/>
          <w:snapToGrid w:val="0"/>
        </w:rPr>
      </w:pPr>
    </w:p>
    <w:p w:rsidR="008D0AD1" w:rsidRDefault="008D0AD1" w:rsidP="008D0AD1">
      <w:pPr>
        <w:pStyle w:val="a3"/>
        <w:jc w:val="center"/>
        <w:rPr>
          <w:rFonts w:ascii="Times New Roman" w:hAnsi="Times New Roman"/>
          <w:i/>
          <w:snapToGrid w:val="0"/>
        </w:rPr>
      </w:pPr>
    </w:p>
    <w:p w:rsidR="008D0AD1" w:rsidRDefault="008D0AD1" w:rsidP="008D0AD1">
      <w:pPr>
        <w:pStyle w:val="a3"/>
        <w:jc w:val="center"/>
        <w:rPr>
          <w:rFonts w:ascii="Times New Roman" w:hAnsi="Times New Roman"/>
          <w:i/>
          <w:snapToGrid w:val="0"/>
        </w:rPr>
      </w:pPr>
      <w:r>
        <w:rPr>
          <w:rFonts w:ascii="Times New Roman" w:hAnsi="Times New Roman"/>
          <w:i/>
          <w:snapToGrid w:val="0"/>
        </w:rPr>
        <w:t>г. ___________</w:t>
      </w:r>
    </w:p>
    <w:p w:rsidR="008D0AD1" w:rsidRDefault="008D0AD1" w:rsidP="008D0AD1">
      <w:pPr>
        <w:pStyle w:val="a3"/>
        <w:jc w:val="center"/>
        <w:rPr>
          <w:rFonts w:ascii="Times New Roman" w:hAnsi="Times New Roman"/>
          <w:i/>
          <w:snapToGrid w:val="0"/>
        </w:rPr>
      </w:pPr>
      <w:r>
        <w:rPr>
          <w:rFonts w:ascii="Times New Roman" w:hAnsi="Times New Roman"/>
          <w:i/>
          <w:snapToGrid w:val="0"/>
        </w:rPr>
        <w:t>2005 год</w:t>
      </w:r>
    </w:p>
    <w:p w:rsidR="008D0AD1" w:rsidRDefault="008D0AD1" w:rsidP="008D0AD1">
      <w:pPr>
        <w:jc w:val="center"/>
      </w:pPr>
    </w:p>
    <w:p w:rsidR="008D0AD1" w:rsidRDefault="008D0AD1" w:rsidP="008D0AD1">
      <w:pPr>
        <w:jc w:val="both"/>
        <w:rPr>
          <w:b/>
          <w:sz w:val="32"/>
        </w:rPr>
      </w:pPr>
      <w:r>
        <w:rPr>
          <w:b/>
          <w:sz w:val="32"/>
        </w:rPr>
        <w:br w:type="page"/>
        <w:t>Содержание</w:t>
      </w:r>
    </w:p>
    <w:p w:rsidR="008D0AD1" w:rsidRDefault="008D0AD1" w:rsidP="008D0AD1">
      <w:pPr>
        <w:jc w:val="both"/>
        <w:rPr>
          <w:b/>
          <w:sz w:val="32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8940"/>
        <w:gridCol w:w="720"/>
      </w:tblGrid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pStyle w:val="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7BEA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  <w:bCs/>
              </w:rPr>
            </w:pPr>
            <w:r w:rsidRPr="00BB7BEA">
              <w:rPr>
                <w:b/>
                <w:bCs/>
              </w:rPr>
              <w:t xml:space="preserve">1. ПРАВОВОЕ РЕГУЛИРОВАНИЕ НАЛОГООБЛОЖЕНИЯ ИГОРНОГО </w:t>
            </w:r>
            <w:r>
              <w:rPr>
                <w:b/>
                <w:bCs/>
              </w:rPr>
              <w:t xml:space="preserve">                                            </w:t>
            </w:r>
            <w:r w:rsidRPr="00BB7BEA">
              <w:rPr>
                <w:b/>
                <w:bCs/>
              </w:rPr>
              <w:t>БИЗНЕСА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</w:pPr>
            <w:r w:rsidRPr="00BB7BEA">
              <w:rPr>
                <w:rStyle w:val="a4"/>
              </w:rPr>
              <w:t xml:space="preserve">2. </w:t>
            </w:r>
            <w:r>
              <w:rPr>
                <w:rStyle w:val="a4"/>
              </w:rPr>
              <w:t xml:space="preserve">   </w:t>
            </w:r>
            <w:r w:rsidRPr="00BB7BEA">
              <w:rPr>
                <w:rStyle w:val="a4"/>
              </w:rPr>
              <w:t>ОРГАНИЗАЦИЯ ДЕЯТЕЛЬНОСТИ ИГОРНОГО ЗАВЕДЕНИЯ. ПОРЯДОК РЕГИСТРАЦИИ. ЛИЦЕНЗИРОВАНИЕ.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Cs/>
              </w:rPr>
            </w:pPr>
            <w:r>
              <w:rPr>
                <w:rStyle w:val="a4"/>
                <w:bCs w:val="0"/>
              </w:rPr>
              <w:t xml:space="preserve">3. </w:t>
            </w:r>
            <w:r w:rsidRPr="00BB7BEA">
              <w:rPr>
                <w:rStyle w:val="a4"/>
                <w:bCs w:val="0"/>
              </w:rPr>
              <w:t>ПОРЯДОК ИСЧИСЛЕНИЯ И УПЛАТЫ НАЛОГА НА ИГОРНЫЙ БИЗНЕС.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</w:rPr>
            </w:pPr>
            <w:r w:rsidRPr="00BB7BEA">
              <w:rPr>
                <w:b/>
              </w:rPr>
              <w:t>3.1. Налогоплательщики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  <w:bCs/>
              </w:rPr>
            </w:pPr>
            <w:r w:rsidRPr="00BB7BEA">
              <w:rPr>
                <w:b/>
                <w:bCs/>
              </w:rPr>
              <w:t xml:space="preserve">3.2. Объекты налогообложения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</w:rPr>
            </w:pPr>
            <w:r w:rsidRPr="00BB7BEA">
              <w:rPr>
                <w:b/>
              </w:rPr>
              <w:t>3.3. Налоговая база. Налоговые ставки.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</w:rPr>
            </w:pPr>
            <w:r w:rsidRPr="00BB7BEA">
              <w:rPr>
                <w:b/>
              </w:rPr>
              <w:t>3.4. Порядок исчисления, сроки уплаты налога. Представление налоговой декларации.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  <w:bCs/>
              </w:rPr>
            </w:pPr>
            <w:r w:rsidRPr="00BB7BEA">
              <w:rPr>
                <w:b/>
                <w:bCs/>
              </w:rPr>
              <w:t>4. НАЛОГООБЛОЖЕНИЕ ДЕЯТЕЛЬНОСТИ ИГОРНЫХ ЗАВЕДЕНИЙ ДРУГИМИ НАЛОГАМИ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  <w:bCs/>
              </w:rPr>
            </w:pPr>
            <w:r w:rsidRPr="00BB7BEA">
              <w:rPr>
                <w:b/>
                <w:bCs/>
              </w:rPr>
              <w:t>ЗАКЛЮЧЕНИЕ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ССЫЛКИ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D0AD1"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</w:tcPr>
          <w:p w:rsidR="008D0AD1" w:rsidRPr="00BB7BEA" w:rsidRDefault="008D0AD1" w:rsidP="008D0AD1">
            <w:pPr>
              <w:ind w:right="99"/>
              <w:jc w:val="both"/>
              <w:rPr>
                <w:b/>
              </w:rPr>
            </w:pPr>
            <w:r w:rsidRPr="00BB7BEA">
              <w:rPr>
                <w:b/>
              </w:rPr>
              <w:t>СПИСОК ИСПОЛЬЗОВАННОЙ ЛИТЕРАТУРЫ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AD1" w:rsidRDefault="008D0AD1" w:rsidP="008D0AD1">
            <w:pPr>
              <w:ind w:right="9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8D0AD1" w:rsidRPr="006A01F2" w:rsidRDefault="008D0AD1" w:rsidP="008D0AD1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8D0AD1" w:rsidRPr="006A01F2" w:rsidRDefault="008D0AD1" w:rsidP="008D0AD1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8D0AD1" w:rsidRPr="006A01F2" w:rsidRDefault="008D0AD1" w:rsidP="008D0AD1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  <w:szCs w:val="24"/>
        </w:rPr>
      </w:pPr>
      <w:r w:rsidRPr="006A01F2">
        <w:rPr>
          <w:rFonts w:ascii="Times New Roman" w:hAnsi="Times New Roman"/>
          <w:b/>
          <w:sz w:val="24"/>
          <w:szCs w:val="24"/>
        </w:rPr>
        <w:t>ВВЕДЕНИЕ</w:t>
      </w:r>
    </w:p>
    <w:p w:rsidR="008D0AD1" w:rsidRPr="006A01F2" w:rsidRDefault="008D0AD1" w:rsidP="008D0AD1">
      <w:pPr>
        <w:pStyle w:val="ConsNormal"/>
        <w:widowControl/>
        <w:ind w:right="0" w:firstLine="540"/>
        <w:jc w:val="both"/>
        <w:rPr>
          <w:rFonts w:ascii="Times New Roman" w:hAnsi="Times New Roman"/>
          <w:spacing w:val="30"/>
          <w:sz w:val="24"/>
          <w:szCs w:val="24"/>
        </w:rPr>
      </w:pPr>
    </w:p>
    <w:p w:rsidR="008D0AD1" w:rsidRPr="00AE6547" w:rsidRDefault="008D0AD1" w:rsidP="008D0AD1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4A3895">
        <w:rPr>
          <w:szCs w:val="20"/>
        </w:rPr>
        <w:t xml:space="preserve">Игорный бизнес — один из самых доходных видов деятельности </w:t>
      </w:r>
      <w:r w:rsidRPr="00BB7BEA">
        <w:rPr>
          <w:szCs w:val="20"/>
        </w:rPr>
        <w:t>в инфраструктуре отдыха и развлечений</w:t>
      </w:r>
      <w:r w:rsidRPr="004A3895">
        <w:rPr>
          <w:szCs w:val="20"/>
        </w:rPr>
        <w:t xml:space="preserve"> в мире, а история азартных игр уходит своими корнями далеко в прошлое человечества. В современной России игорный бизнес стремительно набирает обороты, формируя новый вид деятельности, а вместе с ним и круг проблем, требующих решения. Поэтому вопросы, касающиеся бухгалтерского учета и налогообложения игорных заведений, приобретают особую актуальность.</w:t>
      </w:r>
      <w:r w:rsidRPr="00AE6547">
        <w:rPr>
          <w:rFonts w:ascii="Arial" w:hAnsi="Arial" w:cs="Arial"/>
          <w:sz w:val="28"/>
          <w:szCs w:val="28"/>
        </w:rPr>
        <w:t xml:space="preserve"> </w:t>
      </w:r>
    </w:p>
    <w:p w:rsidR="008D0AD1" w:rsidRPr="00BB7BEA" w:rsidRDefault="008D0AD1" w:rsidP="008D0AD1">
      <w:pPr>
        <w:numPr>
          <w:ilvl w:val="12"/>
          <w:numId w:val="0"/>
        </w:numPr>
        <w:spacing w:line="360" w:lineRule="auto"/>
        <w:ind w:firstLine="720"/>
        <w:jc w:val="both"/>
        <w:rPr>
          <w:szCs w:val="20"/>
        </w:rPr>
      </w:pPr>
      <w:r w:rsidRPr="00BB7BEA">
        <w:rPr>
          <w:szCs w:val="20"/>
        </w:rPr>
        <w:t>Отсутствие опыта регулирования этого вида деятельности, неоднозначное отношение населения и законодателей к появлению индустрии азартных игр определяют необходимость четко выстроенной политики в его отношении.</w:t>
      </w:r>
    </w:p>
    <w:p w:rsidR="008D0AD1" w:rsidRPr="00BB7BEA" w:rsidRDefault="008D0AD1" w:rsidP="008D0AD1">
      <w:pPr>
        <w:numPr>
          <w:ilvl w:val="12"/>
          <w:numId w:val="0"/>
        </w:numPr>
        <w:spacing w:line="360" w:lineRule="auto"/>
        <w:ind w:firstLine="720"/>
        <w:jc w:val="both"/>
        <w:rPr>
          <w:szCs w:val="20"/>
        </w:rPr>
      </w:pPr>
      <w:r w:rsidRPr="00BB7BEA">
        <w:rPr>
          <w:szCs w:val="20"/>
        </w:rPr>
        <w:t>В настоящее время идет бурная дискуссия, связанная с принятием федерального закона "О деятельности игорных заведений", который должен стать основным документом, регулирующим правила функционирования отрасли. Представленный в Государственную Думу проект закона встретил такую яркую негативную реакцию заинтересованных лиц и настолько явно непродуман, что говорить о его скором принятии не приходится. В то же время отсутствие главного нормативного акта, связанного с игорным бизнесом, крайне затрудняет налаживание четких финансовых взаимоотношений между государством и предпринимателями.</w:t>
      </w:r>
    </w:p>
    <w:p w:rsidR="008D0AD1" w:rsidRPr="00BB7BEA" w:rsidRDefault="008D0AD1" w:rsidP="008D0AD1">
      <w:pPr>
        <w:numPr>
          <w:ilvl w:val="12"/>
          <w:numId w:val="0"/>
        </w:numPr>
        <w:spacing w:line="360" w:lineRule="auto"/>
        <w:ind w:firstLine="720"/>
        <w:jc w:val="both"/>
        <w:rPr>
          <w:szCs w:val="20"/>
        </w:rPr>
      </w:pPr>
      <w:r w:rsidRPr="006A01F2">
        <w:t xml:space="preserve">        </w:t>
      </w:r>
      <w:r w:rsidRPr="00BB7BEA">
        <w:rPr>
          <w:szCs w:val="20"/>
        </w:rPr>
        <w:t>В настоящее время такие взаимоотношения связаны с уплатой предприятиями отрасли трех видов платежей: лицензионных сборов, налога на игорный бизнес, налога на имущество, а также налога на доходы, связанные с выигрышами физических лиц. Немаловажно, что вклад игрового бизнеса в общую налоговую копилку неуклонно растет. Так, если в 2000 г. в бюджеты различных уровней было перечислено около 500 млн. руб., в 2001 г. - около 1,2 млрд. руб., то по итогам 2003 г. эта цифра приблизилась к 5 млрд. руб. Кроме того, нельзя игнорировать и тот факт, что одно рабочее место в игорном бизнесе обеспечивает функционирование еще нескольких рабочих мест в таких отраслях, как связь, общественное питание и т.д. Число занятых непосредственно в игорном бизнесе последовательно растет и составляет около 400 тыс. человек, при этом подавляющее число предприятий относятся к малому и среднему бизнесу.</w:t>
      </w:r>
    </w:p>
    <w:p w:rsidR="008D0AD1" w:rsidRPr="00BB7BEA" w:rsidRDefault="008D0AD1" w:rsidP="008D0AD1">
      <w:pPr>
        <w:numPr>
          <w:ilvl w:val="12"/>
          <w:numId w:val="0"/>
        </w:numPr>
        <w:spacing w:line="360" w:lineRule="auto"/>
        <w:ind w:firstLine="720"/>
        <w:jc w:val="both"/>
        <w:rPr>
          <w:szCs w:val="20"/>
        </w:rPr>
      </w:pPr>
      <w:r w:rsidRPr="00BB7BEA">
        <w:rPr>
          <w:szCs w:val="20"/>
        </w:rPr>
        <w:t xml:space="preserve">         В данной работе я хочу рассмотреть правовое положение в России предпринимателей и организаций, осуществляющих предпринимательскую деятельность в сфере игорного бизнеса, а также порядок налогообложения данного вида деятельности и перспективы его развития на ближайшее время.</w:t>
      </w:r>
    </w:p>
    <w:p w:rsidR="008D0AD1" w:rsidRDefault="008D0AD1" w:rsidP="008D0AD1">
      <w:pPr>
        <w:numPr>
          <w:ilvl w:val="12"/>
          <w:numId w:val="0"/>
        </w:numPr>
        <w:spacing w:line="360" w:lineRule="auto"/>
        <w:ind w:firstLine="720"/>
        <w:jc w:val="both"/>
        <w:rPr>
          <w:b/>
        </w:rPr>
      </w:pPr>
    </w:p>
    <w:p w:rsidR="008D0AD1" w:rsidRDefault="008D0AD1" w:rsidP="008D0AD1">
      <w:pPr>
        <w:numPr>
          <w:ilvl w:val="12"/>
          <w:numId w:val="0"/>
        </w:numPr>
        <w:spacing w:line="360" w:lineRule="auto"/>
        <w:ind w:firstLine="720"/>
        <w:jc w:val="both"/>
        <w:rPr>
          <w:b/>
        </w:rPr>
      </w:pPr>
    </w:p>
    <w:p w:rsidR="008D0AD1" w:rsidRDefault="008D0AD1" w:rsidP="008D0AD1">
      <w:pPr>
        <w:numPr>
          <w:ilvl w:val="12"/>
          <w:numId w:val="0"/>
        </w:numPr>
        <w:spacing w:line="360" w:lineRule="auto"/>
        <w:ind w:firstLine="720"/>
        <w:jc w:val="both"/>
        <w:rPr>
          <w:b/>
        </w:rPr>
      </w:pPr>
    </w:p>
    <w:p w:rsidR="008D0AD1" w:rsidRDefault="008D0AD1" w:rsidP="008D0AD1">
      <w:pPr>
        <w:numPr>
          <w:ilvl w:val="12"/>
          <w:numId w:val="0"/>
        </w:numPr>
        <w:spacing w:line="360" w:lineRule="auto"/>
        <w:ind w:firstLine="720"/>
        <w:jc w:val="both"/>
        <w:rPr>
          <w:b/>
        </w:rPr>
      </w:pPr>
    </w:p>
    <w:p w:rsidR="008D0AD1" w:rsidRDefault="008D0AD1" w:rsidP="008D0AD1">
      <w:pPr>
        <w:numPr>
          <w:ilvl w:val="12"/>
          <w:numId w:val="0"/>
        </w:numPr>
        <w:spacing w:line="360" w:lineRule="auto"/>
        <w:ind w:firstLine="720"/>
        <w:jc w:val="both"/>
        <w:rPr>
          <w:b/>
        </w:rPr>
      </w:pPr>
    </w:p>
    <w:p w:rsidR="008D0AD1" w:rsidRPr="00BB7BEA" w:rsidRDefault="008D0AD1" w:rsidP="008D0AD1">
      <w:pPr>
        <w:numPr>
          <w:ilvl w:val="12"/>
          <w:numId w:val="0"/>
        </w:numPr>
        <w:spacing w:line="360" w:lineRule="auto"/>
        <w:ind w:firstLine="720"/>
        <w:jc w:val="both"/>
        <w:rPr>
          <w:szCs w:val="20"/>
        </w:rPr>
      </w:pPr>
      <w:r w:rsidRPr="00BB7BEA">
        <w:rPr>
          <w:b/>
        </w:rPr>
        <w:t>СПИСОК ИСПОЛЬЗОВАННОЙ ЛИТЕРАТУРЫ</w:t>
      </w:r>
    </w:p>
    <w:p w:rsidR="008D0AD1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"НАЛОГ НА ИГОРНЫЙ БИЗНЕС. КОММЕНТАРИЙ К ГЛАВЕ 29 ЧАСТИ ВТОРОЙ НАЛОГОВОГО КОДЕКСА РОССИЙСКОЙ ФЕДЕРАЦИИ"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(А.Н. БОРИСОВ)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(ЮРИДИЧЕСКИЙ ДОМ "ЮСТИЦИНФОРМ", 2004)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"ПОСТАТЕЙНЫЙ КОММЕНТАРИЙ К ГЛАВЕ 29 НАЛОГОВОГО КОДЕКСА РОССИЙСКОЙ ФЕДЕРАЦИИ "НАЛОГ НА ИГОРНЫЙ БИЗНЕС"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(С.В. РАЗГУЛИН), ИНФОРМАЦИОННЫЕ СИСТЕМЫ КОНСУЛЬТАНТ ПЛЮС</w:t>
      </w:r>
    </w:p>
    <w:p w:rsidR="008D0AD1" w:rsidRPr="0073415F" w:rsidRDefault="008D0AD1" w:rsidP="008D0AD1">
      <w:pPr>
        <w:pStyle w:val="ConsNormal"/>
        <w:ind w:left="1080" w:right="0" w:firstLine="0"/>
        <w:jc w:val="both"/>
        <w:rPr>
          <w:rFonts w:ascii="Times New Roman" w:hAnsi="Times New Roman"/>
          <w:sz w:val="24"/>
          <w:szCs w:val="24"/>
        </w:rPr>
      </w:pP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"НАЛОГООБЛОЖЕНИЕ ИГОРНОГО БИЗНЕСА"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(Н.И. МАЛИС)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("ФИНАНСЫ", N 8, 2004)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"ИГОРНЫЙ БИЗНЕС. НАЛОГОВЫЕ, ЮРИДИЧЕСКИЕ И БУХГАЛТЕРСКИЕ АСПЕКТЫ"</w:t>
      </w:r>
      <w:r w:rsidRPr="0073415F">
        <w:rPr>
          <w:rFonts w:ascii="Times New Roman" w:hAnsi="Times New Roman"/>
          <w:sz w:val="24"/>
          <w:szCs w:val="24"/>
        </w:rPr>
        <w:br/>
        <w:t>(О.</w:t>
      </w:r>
      <w:r w:rsidRPr="0073415F">
        <w:rPr>
          <w:rFonts w:ascii="Times New Roman" w:hAnsi="Times New Roman"/>
          <w:sz w:val="24"/>
          <w:szCs w:val="24"/>
          <w:lang w:val="en-US"/>
        </w:rPr>
        <w:t> </w:t>
      </w:r>
      <w:r w:rsidRPr="0073415F">
        <w:rPr>
          <w:rFonts w:ascii="Times New Roman" w:hAnsi="Times New Roman"/>
          <w:sz w:val="24"/>
          <w:szCs w:val="24"/>
        </w:rPr>
        <w:t>ТУКТАМЫШЕВА, Р.</w:t>
      </w:r>
      <w:r w:rsidRPr="0073415F">
        <w:rPr>
          <w:rFonts w:ascii="Times New Roman" w:hAnsi="Times New Roman"/>
          <w:sz w:val="24"/>
          <w:szCs w:val="24"/>
          <w:lang w:val="en-US"/>
        </w:rPr>
        <w:t> </w:t>
      </w:r>
      <w:r w:rsidRPr="0073415F">
        <w:rPr>
          <w:rFonts w:ascii="Times New Roman" w:hAnsi="Times New Roman"/>
          <w:sz w:val="24"/>
          <w:szCs w:val="24"/>
        </w:rPr>
        <w:t>СУЛТАНОВ)</w:t>
      </w:r>
    </w:p>
    <w:p w:rsidR="008D0AD1" w:rsidRPr="0073415F" w:rsidRDefault="008D0AD1" w:rsidP="008D0AD1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(ПИТЕР, 2005)</w:t>
      </w:r>
      <w:r w:rsidRPr="0073415F">
        <w:rPr>
          <w:rFonts w:ascii="Times New Roman" w:hAnsi="Times New Roman"/>
          <w:sz w:val="24"/>
          <w:szCs w:val="24"/>
        </w:rPr>
        <w:br/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"НАЛОГ НА ИГОРНЫЙ БИЗНЕС: ОСНОВНЫЕ ПРОБЛЕМЫ И ПУТИ ИХ РЕШЕНИЯ С УЧЕТОМ АРБИТРАЖНОЙ ПРАКТИКИ"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(ПАРХАЧЕВА М.)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(ВЕРШИНА ООО, 2003)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8D0AD1" w:rsidRPr="0073415F" w:rsidRDefault="008D0AD1" w:rsidP="008D0AD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"НАЛОГОВЫЙ КОДЕКС РОССИЙСКОЙ ФЕДЕРАЦИИ (ЧАСТЬ ВТОРАЯ)" ОТ 05.08.2000 N 117-ФЗ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(ПРИНЯТ ГД ФС РФ 19.07.2000)</w:t>
      </w:r>
    </w:p>
    <w:p w:rsidR="008D0AD1" w:rsidRPr="0073415F" w:rsidRDefault="008D0AD1" w:rsidP="008D0AD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"НАЛОГОВЫЙ КОДЕКС РОССИЙСКОЙ ФЕДЕРАЦИИ (ЧАСТЬ ПЕРВАЯ)" ОТ 31.07.1998 N 146-ФЗ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(ПРИНЯТ ГД ФС РФ 16.07.1998)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ФЕДЕРАЛЬНЫЙ ЗАКОН ОТ 08.08.2001 N 128-ФЗ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"О ЛИЦЕНЗИРОВАНИИ ОТДЕЛЬНЫХ ВИДОВ ДЕЯТЕЛЬНОСТИ"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(ПРИНЯТ ГД ФС РФ 13.07.2001)</w:t>
      </w:r>
    </w:p>
    <w:p w:rsidR="008D0AD1" w:rsidRPr="0073415F" w:rsidRDefault="008D0AD1" w:rsidP="008D0AD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ФЕДЕРАЛЬНЫЙ ЗАКОН ОТ 31.07.1998 N 142-ФЗ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"О НАЛОГЕ НА ИГОРНЫЙ БИЗНЕС"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(ПРИНЯТ ГД ФС РФ 16.07.1998)</w:t>
      </w:r>
    </w:p>
    <w:p w:rsidR="008D0AD1" w:rsidRPr="0073415F" w:rsidRDefault="008D0AD1" w:rsidP="008D0AD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"ГРАЖДАНСКИЙ КОДЕКС РОССИЙСКОЙ ФЕДЕРАЦИИ (ЧАСТЬ ПЕРВАЯ)" ОТ 30.11.1994 N 51-ФЗ</w:t>
      </w:r>
    </w:p>
    <w:p w:rsidR="008D0AD1" w:rsidRPr="0073415F" w:rsidRDefault="008D0AD1" w:rsidP="008D0AD1">
      <w:pPr>
        <w:pStyle w:val="ConsNormal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(ПРИНЯТ ГД ФС РФ 21.10.1994)</w:t>
      </w:r>
    </w:p>
    <w:p w:rsidR="008D0AD1" w:rsidRPr="0073415F" w:rsidRDefault="008D0AD1" w:rsidP="008D0AD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8D0AD1" w:rsidRPr="0073415F" w:rsidRDefault="008D0AD1" w:rsidP="008D0AD1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"ТРУДОВОЙ КОДЕКС РОССИЙСКОЙ ФЕДЕРАЦИИ" ОТ 30.12.2001 N 197-ФЗ</w:t>
      </w:r>
    </w:p>
    <w:p w:rsidR="008D0AD1" w:rsidRPr="0073415F" w:rsidRDefault="008D0AD1" w:rsidP="008D0AD1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(ПРИНЯТ ГД ФС РФ 21.12.2001)</w:t>
      </w:r>
    </w:p>
    <w:p w:rsidR="008D0AD1" w:rsidRPr="0073415F" w:rsidRDefault="008D0AD1" w:rsidP="008D0AD1">
      <w:pPr>
        <w:numPr>
          <w:ilvl w:val="12"/>
          <w:numId w:val="0"/>
        </w:numPr>
        <w:spacing w:line="360" w:lineRule="auto"/>
        <w:jc w:val="both"/>
      </w:pPr>
    </w:p>
    <w:p w:rsidR="008D0AD1" w:rsidRPr="0073415F" w:rsidRDefault="008D0AD1" w:rsidP="008D0AD1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ФЕДЕРАЛЬНЫЙ ЗАКОН ОТ 07.08.2001 N 115-ФЗ</w:t>
      </w:r>
    </w:p>
    <w:p w:rsidR="008D0AD1" w:rsidRPr="0073415F" w:rsidRDefault="008D0AD1" w:rsidP="008D0AD1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"О  ПРОТИВОДЕЙСТВИИ  ЛЕГАЛИЗАЦИИ  (ОТМЫВАНИЮ)  ДОХОДОВ, ПОЛУЧЕННЫХ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15F">
        <w:rPr>
          <w:rFonts w:ascii="Times New Roman" w:hAnsi="Times New Roman"/>
          <w:sz w:val="24"/>
          <w:szCs w:val="24"/>
        </w:rPr>
        <w:t>ПРЕСТУПНЫМ ПУТЕМ, И ФИНАНСИРОВАНИЮ ТЕРРОРИЗМА"</w:t>
      </w:r>
    </w:p>
    <w:p w:rsidR="008D0AD1" w:rsidRPr="0073415F" w:rsidRDefault="008D0AD1" w:rsidP="008D0AD1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(ПРИНЯТ ГД ФС РФ 13.07.2001)</w:t>
      </w:r>
    </w:p>
    <w:p w:rsidR="008D0AD1" w:rsidRDefault="008D0AD1" w:rsidP="008D0AD1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8D0AD1" w:rsidRPr="0073415F" w:rsidRDefault="008D0AD1" w:rsidP="008D0AD1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ПОСТАНОВЛЕНИЕ ПРАВИТЕЛЬСТВА РФ ОТ 15.07.2002 N 525</w:t>
      </w:r>
    </w:p>
    <w:p w:rsidR="008D0AD1" w:rsidRPr="0073415F" w:rsidRDefault="008D0AD1" w:rsidP="008D0AD1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"О   ЛИЦЕНЗИРОВАНИИ   ДЕЯТЕЛЬНОСТИ  ПО  ОРГАНИЗАЦИИ  И  СОДЕРЖАНИЮ</w:t>
      </w:r>
    </w:p>
    <w:p w:rsidR="008D0AD1" w:rsidRPr="0073415F" w:rsidRDefault="008D0AD1" w:rsidP="008D0AD1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73415F">
        <w:rPr>
          <w:rFonts w:ascii="Times New Roman" w:hAnsi="Times New Roman"/>
          <w:sz w:val="24"/>
          <w:szCs w:val="24"/>
        </w:rPr>
        <w:t>ТОТАЛИЗАТОРОВ И ИГОРНЫХ ЗАВЕДЕНИЙ"</w:t>
      </w:r>
    </w:p>
    <w:p w:rsidR="001750FA" w:rsidRDefault="001750FA">
      <w:bookmarkStart w:id="0" w:name="_GoBack"/>
      <w:bookmarkEnd w:id="0"/>
    </w:p>
    <w:sectPr w:rsidR="001750FA" w:rsidSect="00DB341E">
      <w:pgSz w:w="11907" w:h="16840" w:code="9"/>
      <w:pgMar w:top="567" w:right="567" w:bottom="1247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61A"/>
    <w:rsid w:val="0016461A"/>
    <w:rsid w:val="001750FA"/>
    <w:rsid w:val="001A3BA3"/>
    <w:rsid w:val="004E36C4"/>
    <w:rsid w:val="00551047"/>
    <w:rsid w:val="00602F09"/>
    <w:rsid w:val="007F471C"/>
    <w:rsid w:val="008D0AD1"/>
    <w:rsid w:val="00A552C7"/>
    <w:rsid w:val="00A83BDD"/>
    <w:rsid w:val="00BF4958"/>
    <w:rsid w:val="00C02275"/>
    <w:rsid w:val="00C46DF6"/>
    <w:rsid w:val="00C762DB"/>
    <w:rsid w:val="00DB341E"/>
    <w:rsid w:val="00E8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93A68-934E-4973-AA36-EC58C188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D1"/>
    <w:rPr>
      <w:sz w:val="24"/>
      <w:szCs w:val="24"/>
    </w:rPr>
  </w:style>
  <w:style w:type="paragraph" w:styleId="9">
    <w:name w:val="heading 9"/>
    <w:basedOn w:val="a"/>
    <w:next w:val="a"/>
    <w:qFormat/>
    <w:rsid w:val="008D0A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D0A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3">
    <w:name w:val="Body Text"/>
    <w:basedOn w:val="a"/>
    <w:rsid w:val="008D0AD1"/>
    <w:rPr>
      <w:rFonts w:ascii="Arial" w:hAnsi="Arial"/>
      <w:szCs w:val="20"/>
    </w:rPr>
  </w:style>
  <w:style w:type="character" w:styleId="a4">
    <w:name w:val="Strong"/>
    <w:basedOn w:val="a0"/>
    <w:qFormat/>
    <w:rsid w:val="008D0AD1"/>
    <w:rPr>
      <w:b/>
      <w:bCs/>
    </w:rPr>
  </w:style>
  <w:style w:type="paragraph" w:customStyle="1" w:styleId="ConsNonformat">
    <w:name w:val="ConsNonformat"/>
    <w:rsid w:val="008D0AD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ООО "Информационный Сервис-Центр "ВЕДА"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Анна</dc:creator>
  <cp:keywords/>
  <dc:description/>
  <cp:lastModifiedBy>Irina</cp:lastModifiedBy>
  <cp:revision>2</cp:revision>
  <dcterms:created xsi:type="dcterms:W3CDTF">2014-07-20T12:48:00Z</dcterms:created>
  <dcterms:modified xsi:type="dcterms:W3CDTF">2014-07-20T12:48:00Z</dcterms:modified>
</cp:coreProperties>
</file>