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1CD" w:rsidRDefault="00FA01CD" w:rsidP="00762751">
      <w:pPr>
        <w:jc w:val="center"/>
        <w:rPr>
          <w:rFonts w:ascii="Times New Roman" w:hAnsi="Times New Roman"/>
          <w:b/>
          <w:sz w:val="28"/>
          <w:szCs w:val="28"/>
        </w:rPr>
      </w:pPr>
    </w:p>
    <w:p w:rsidR="00B76920" w:rsidRPr="004279AF" w:rsidRDefault="00B76920" w:rsidP="00762751">
      <w:pPr>
        <w:jc w:val="center"/>
        <w:rPr>
          <w:rFonts w:ascii="Times New Roman" w:hAnsi="Times New Roman"/>
          <w:b/>
          <w:sz w:val="28"/>
          <w:szCs w:val="28"/>
        </w:rPr>
      </w:pPr>
      <w:r w:rsidRPr="004279AF">
        <w:rPr>
          <w:rFonts w:ascii="Times New Roman" w:hAnsi="Times New Roman"/>
          <w:b/>
          <w:sz w:val="28"/>
          <w:szCs w:val="28"/>
        </w:rPr>
        <w:t>№3</w:t>
      </w:r>
      <w:r>
        <w:rPr>
          <w:rFonts w:ascii="Times New Roman" w:hAnsi="Times New Roman"/>
          <w:b/>
          <w:sz w:val="28"/>
          <w:szCs w:val="28"/>
        </w:rPr>
        <w:t>.</w:t>
      </w:r>
      <w:r w:rsidRPr="004279AF">
        <w:rPr>
          <w:rFonts w:ascii="Times New Roman" w:hAnsi="Times New Roman"/>
          <w:b/>
          <w:sz w:val="28"/>
          <w:szCs w:val="28"/>
        </w:rPr>
        <w:t xml:space="preserve"> Основные этапы меркантилизма. Особенности меркантилизма в отдельных странах.</w:t>
      </w:r>
    </w:p>
    <w:p w:rsidR="00B76920" w:rsidRDefault="00B76920" w:rsidP="008E01FE">
      <w:pPr>
        <w:spacing w:after="0" w:line="360" w:lineRule="auto"/>
        <w:ind w:firstLine="709"/>
        <w:jc w:val="both"/>
        <w:rPr>
          <w:rFonts w:ascii="Times New Roman" w:hAnsi="Times New Roman"/>
          <w:sz w:val="28"/>
          <w:szCs w:val="28"/>
        </w:rPr>
      </w:pP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sz w:val="28"/>
          <w:szCs w:val="28"/>
        </w:rPr>
        <w:t>Вытеснение натурально-хозяйственных отношений рыночными экономическими отношениями охватывает исторический отрезок «переходного времени» примерно с XVI по XVIII в. Этот период в экономической литературе называют обычно периодом меркантилизма или меркантилистской системы.</w:t>
      </w: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sz w:val="28"/>
          <w:szCs w:val="28"/>
        </w:rPr>
        <w:t>Понятие «меркантилизм» происходит от слова латинского происхождения mercari (торговать). По-английски и по</w:t>
      </w:r>
      <w:r>
        <w:rPr>
          <w:sz w:val="28"/>
          <w:szCs w:val="28"/>
        </w:rPr>
        <w:t xml:space="preserve">-французски mercantile означает </w:t>
      </w:r>
      <w:r w:rsidRPr="004279AF">
        <w:rPr>
          <w:sz w:val="28"/>
          <w:szCs w:val="28"/>
        </w:rPr>
        <w:t>«торговый», а итальянское mercante означает «торговец» или «купец». Однако меркантилистская система представляет собой гораздо более сложную концепцию.</w:t>
      </w:r>
    </w:p>
    <w:p w:rsidR="00B76920" w:rsidRPr="004279AF" w:rsidRDefault="00B76920" w:rsidP="004279AF">
      <w:pPr>
        <w:pStyle w:val="a4"/>
        <w:spacing w:before="0" w:beforeAutospacing="0" w:after="0" w:afterAutospacing="0" w:line="360" w:lineRule="auto"/>
        <w:ind w:firstLine="709"/>
        <w:jc w:val="both"/>
        <w:rPr>
          <w:sz w:val="28"/>
          <w:szCs w:val="28"/>
        </w:rPr>
      </w:pPr>
      <w:r>
        <w:rPr>
          <w:sz w:val="28"/>
          <w:szCs w:val="28"/>
        </w:rPr>
        <w:t>М</w:t>
      </w:r>
      <w:r w:rsidRPr="004279AF">
        <w:rPr>
          <w:sz w:val="28"/>
          <w:szCs w:val="28"/>
        </w:rPr>
        <w:t>еркантилизм как первая школа экономической мысли периода зарождающихся рыночных экономических отношений имеет целый ряд теоретико-методологических особенностей. Их суть сводится к тому, что меркантилисты: в качестве предмета изучения (экономического анализа) предпочитают рассмотрение проблем сферы обращения, причем в отрыве от проблематики сферы производства; в качестве метода изучения используют в основном эмпиризм, приводящий к описанию на каузальной основе внешних проявлений экономических явлений и исключающий возможность системного анализа всех сфер экономики; возникновение денег считают следствием искусственного изобретения людей, а сами деньги отождествляют с богатством; происхождение стоимости (ценности) ден</w:t>
      </w:r>
      <w:r>
        <w:rPr>
          <w:sz w:val="28"/>
          <w:szCs w:val="28"/>
        </w:rPr>
        <w:t xml:space="preserve">ег трактуют в связи с </w:t>
      </w:r>
      <w:r w:rsidRPr="004279AF">
        <w:rPr>
          <w:sz w:val="28"/>
          <w:szCs w:val="28"/>
        </w:rPr>
        <w:t>«естественной природой» золотых и серебряных денег и их количеством в стране; повышение предложения труда увязывают с необходимостью более низкой, а не высокой заработной платы; экономический рост рассматривают как следствие приумножения денежного богатства страны благодаря государственному регулированию внешней торговли и достижению положительного сальдо торгового баланса и т.д.</w:t>
      </w:r>
    </w:p>
    <w:p w:rsidR="00B76920" w:rsidRDefault="00B76920" w:rsidP="004279AF">
      <w:pPr>
        <w:pStyle w:val="a4"/>
        <w:spacing w:before="0" w:beforeAutospacing="0" w:after="0" w:afterAutospacing="0" w:line="360" w:lineRule="auto"/>
        <w:ind w:firstLine="709"/>
        <w:jc w:val="both"/>
        <w:rPr>
          <w:sz w:val="28"/>
          <w:szCs w:val="28"/>
        </w:rPr>
      </w:pPr>
      <w:r w:rsidRPr="004279AF">
        <w:rPr>
          <w:sz w:val="28"/>
          <w:szCs w:val="28"/>
        </w:rPr>
        <w:t>Вместе с тем эти и другие положения меркантилистской школы в экономической литературе традиционно характеризуют с учетом двух этапов в ее развитии — раннего и позднего. Такое деление на этапы обусловлено различиями в видении ранних и поздних меркантилистов путей достижения активного торгового баланса, о чем и последует речь далее.</w:t>
      </w: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sz w:val="28"/>
          <w:szCs w:val="28"/>
        </w:rPr>
        <w:t>Ранний меркантилизм возник еще до великих географических открытий и был актуален до середины XVI в. Для достижения положительного сальдо во внешней торговле ранние меркантилисты считали целесообразным: устанавливать максимально высокие цены на экспортируемые товары; всемерно ограничивать импорт товаров; не допускать вывоза из страны золота и серебра (с ними отождествлялось денежное богатство).</w:t>
      </w: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sz w:val="28"/>
          <w:szCs w:val="28"/>
        </w:rPr>
        <w:t>Следовательно, теория монетаризма ранних меркантилистов может быть определена как теория «денежного баланса».</w:t>
      </w:r>
    </w:p>
    <w:p w:rsidR="00B76920" w:rsidRPr="004279AF" w:rsidRDefault="00B76920" w:rsidP="004279AF">
      <w:pPr>
        <w:pStyle w:val="a4"/>
        <w:spacing w:before="0" w:beforeAutospacing="0" w:after="0" w:afterAutospacing="0" w:line="360" w:lineRule="auto"/>
        <w:ind w:firstLine="709"/>
        <w:jc w:val="both"/>
        <w:rPr>
          <w:sz w:val="28"/>
          <w:szCs w:val="28"/>
        </w:rPr>
      </w:pPr>
      <w:r>
        <w:rPr>
          <w:sz w:val="28"/>
          <w:szCs w:val="28"/>
        </w:rPr>
        <w:t>Н</w:t>
      </w:r>
      <w:r w:rsidRPr="004279AF">
        <w:rPr>
          <w:sz w:val="28"/>
          <w:szCs w:val="28"/>
        </w:rPr>
        <w:t>оминалисты отрицали не только товарную природу денег, но и их связь с благородными металлами.</w:t>
      </w: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sz w:val="28"/>
          <w:szCs w:val="28"/>
        </w:rPr>
        <w:t>Однако во времена раннего меркантилизма, как и в средние века, правительство занималось порчей национальной монеты, снижая ее ценность и вес в надежде заинтересовать иностранных купцов обменивать их деньги на туземные и покупать больше товаров. Превращение денег в условный знак, фиксированное соотношение находящихся в обращении золотых и серебряных денег (система биметаллизма) оправдывались как фактами обращения неполноценных денег, так и ошибочной констатацией того, что золото и серебро являются деньгами в силу своих природных свойств, выполняя функции меры стоимости, сокровища и мировых денег.</w:t>
      </w: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sz w:val="28"/>
          <w:szCs w:val="28"/>
        </w:rPr>
        <w:t>Поздний меркантилизм охватывает период со второй половины XVI в. по вторую половину XVII в., хотя отдельные его элементы продолжали проявлять себя и в XVIII в. Чтобы достичь активного торгового баланса выдвигались рекомендации: завоевывать внешние рынки благодаря относительно дешевым товарам (т.е. невысоким ценам), а также перепродаже товаров одних стран в других странах; допускать импорт товаров (кроме предметов роскоши) при сохранении в стране активного торгового баланса; вывозить золото и серебро для осуществления выгодных торговых сделок, посредничества, т.е. для увеличения их массы в стране и сохранения активного торгового баланса.</w:t>
      </w: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sz w:val="28"/>
          <w:szCs w:val="28"/>
        </w:rPr>
        <w:t>Поздние меркантилисты сместили акцент в теории монетаризма, противопоставив идее «денежного бала</w:t>
      </w:r>
      <w:r>
        <w:rPr>
          <w:sz w:val="28"/>
          <w:szCs w:val="28"/>
        </w:rPr>
        <w:t xml:space="preserve">нса» ранних меркантилистов идею </w:t>
      </w:r>
      <w:r w:rsidRPr="004279AF">
        <w:rPr>
          <w:sz w:val="28"/>
          <w:szCs w:val="28"/>
        </w:rPr>
        <w:t>«торгового баланса».</w:t>
      </w: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sz w:val="28"/>
          <w:szCs w:val="28"/>
        </w:rPr>
        <w:t>Признавая товарную сущность денег, их ценность поздние меркантилисты по- прежнему усматривали в естественных свойствах золота и серебра. Однако именно они обусловили переход от металлической к количественной теории денег и системе монометаллизма. И если ранние меркантилисты определяющей функцией денег считали функцию накопления, то поздние — функцию средства обращения.</w:t>
      </w: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sz w:val="28"/>
          <w:szCs w:val="28"/>
        </w:rPr>
        <w:t xml:space="preserve">Меркантилизм в отдельных странах имел свои особенности. </w:t>
      </w: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rStyle w:val="a3"/>
          <w:sz w:val="28"/>
          <w:szCs w:val="28"/>
        </w:rPr>
        <w:t>Англия</w:t>
      </w:r>
      <w:r w:rsidRPr="004279AF">
        <w:rPr>
          <w:sz w:val="28"/>
          <w:szCs w:val="28"/>
        </w:rPr>
        <w:t xml:space="preserve">. Наибольшего развития меркантилизм достиг в Англии. Раннюю его стадию представлял </w:t>
      </w:r>
      <w:bookmarkStart w:id="0" w:name="t6"/>
      <w:r w:rsidRPr="004279AF">
        <w:rPr>
          <w:rStyle w:val="a3"/>
          <w:sz w:val="28"/>
          <w:szCs w:val="28"/>
        </w:rPr>
        <w:t>Уильям Стаффорд</w:t>
      </w:r>
      <w:bookmarkEnd w:id="0"/>
      <w:r w:rsidRPr="004279AF">
        <w:rPr>
          <w:sz w:val="28"/>
          <w:szCs w:val="28"/>
        </w:rPr>
        <w:t xml:space="preserve">, автор книги "Критическое изложение некоторых жалоб наших соотечественников" (1581). </w:t>
      </w: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sz w:val="28"/>
          <w:szCs w:val="28"/>
        </w:rPr>
        <w:t xml:space="preserve">Развивая концепцию монетаризма, Стаффорд высказал тревогу по поводу оттока денег за границу. Задачу накопления денежных богатств он предлагал решать в основном административными мерами, требуя от государства запрещения вывоза монет, ввоза предметов роскоши, ограничения импорта ряда других товаров. Стаффорд высказался за расширение переработки английской шерсти, производства сукна. </w:t>
      </w: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sz w:val="28"/>
          <w:szCs w:val="28"/>
        </w:rPr>
        <w:t xml:space="preserve">Зрелый меркантилизм представлен в Англии трудами </w:t>
      </w:r>
      <w:bookmarkStart w:id="1" w:name="t7"/>
      <w:r w:rsidRPr="004279AF">
        <w:rPr>
          <w:rStyle w:val="a3"/>
          <w:sz w:val="28"/>
          <w:szCs w:val="28"/>
        </w:rPr>
        <w:t>Томаса Мена</w:t>
      </w:r>
      <w:bookmarkEnd w:id="1"/>
      <w:r w:rsidRPr="004279AF">
        <w:rPr>
          <w:sz w:val="28"/>
          <w:szCs w:val="28"/>
        </w:rPr>
        <w:t xml:space="preserve"> (1571-1641). Классический представитель мануфактурной системы, Т. Мен являлся вместе с тем крупным коммерсантом своего времени, одним из директоров Ост-Индской компании. Отстаивая интересы компании от нападок противников, критиковавших её за вывоз монет, Т. Мен в 1621 г. выступил с памфлетом "Рассуждение о торговле Англии с Ост-Индией". Концепции монетаристов автор противопоставил теорию торгового баланса. В 1630 г. Т. Мен пишет работу "Богатство Англии во внешней торговле или баланс внешней торговли как регулятор богатства". Т. Мен считал вредной жёсткую регламентацию денежного обращения, выступал за свободный вывоз монет, без которого невозможно нормальное развитие внешней торговли. Главной заботой он считал обеспечение правила: "Продавать иностранцам ежегодно на большую сумму, чем мы покупаем у них". Только с помощью активной внешней торговли, по его мнению, можно привлечь в страну те "единственные деньги, которые у нас остаются и которыми мы обогащаемся". Требуя отмены закона "об истрачивании" монет для иностранцев, Т. Мен исходил из того, что запрет вывоза денег тормозит спрос на английские товары за границей, а избыток денег в стране способствует росту цен. </w:t>
      </w: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sz w:val="28"/>
          <w:szCs w:val="28"/>
        </w:rPr>
        <w:t xml:space="preserve">Благодаря тому что в своём капиталистическом развитии Англия обогнала другие страны мира, программа меркантилистов оказалась здесь наиболее эффективной. Её осуществление способствовало созданию условий для превращения Англии в первую промышленную державу мира. </w:t>
      </w: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rStyle w:val="a3"/>
          <w:sz w:val="28"/>
          <w:szCs w:val="28"/>
        </w:rPr>
        <w:t>Франция</w:t>
      </w:r>
      <w:r w:rsidRPr="004279AF">
        <w:rPr>
          <w:sz w:val="28"/>
          <w:szCs w:val="28"/>
        </w:rPr>
        <w:t xml:space="preserve">. Идеи меркантилизма получили большое распространение во Франции в ХVI-ХVII вв. Меркантилизм представлен здесь прежде всего </w:t>
      </w:r>
      <w:bookmarkStart w:id="2" w:name="t8"/>
      <w:r w:rsidRPr="004279AF">
        <w:rPr>
          <w:rStyle w:val="a3"/>
          <w:sz w:val="28"/>
          <w:szCs w:val="28"/>
        </w:rPr>
        <w:t>Антуаном Монкретьеном</w:t>
      </w:r>
      <w:bookmarkEnd w:id="2"/>
      <w:r w:rsidRPr="004279AF">
        <w:rPr>
          <w:sz w:val="28"/>
          <w:szCs w:val="28"/>
        </w:rPr>
        <w:t xml:space="preserve"> (1576-1621), автором знаменитого "Трактата политической экономии" (1615). Наиболее полезным сословием он считал купцов, торговлю характеризовал как главную цель ремёсел. А. Монкретьен искал пути увеличения денежного богатства, которые рекомендовал Людовику XIII. Активное вмешательство государства в экономику рассматривалось в качестве важнейшего фактора накопления, укрепления и развития хозяйства страны. А. Монкретьен советовал развивать мануфактуры, создавать ремесленные школы, повышать качество изделий и расширять торговлю товарами национального производства, вытесняя с французского рынка иностранных купцов, которых он сравнивал с насосом, выкачивающим богатства из страны. Программа А. Монкретьена предусматривала расширение внешнеторговой экспансии Франции. Она отражала частично идеи монетаризма, а также концепцию торгового баланса. </w:t>
      </w: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sz w:val="28"/>
          <w:szCs w:val="28"/>
        </w:rPr>
        <w:t xml:space="preserve">Доктрина меркантилизма настойчиво проводилась в жизнь во второй половине XVII в. в период господства кардинала Ришелье (1624-1642) и деятельности министра финансов Людовика XIV Кольбера (1661-1683). Предпринимались усилия по созданию мануфактурного производства, условий, способствовавших его росту (предоставление ссуд, различных льгот промышленникам и торговцам, привлечение иностранных мастеров и т.д.). Франция строила флот, создавала колониальные компании, развёртывала внешнеторговую деятельность. С помощью меркантилистской политики Кольбер пытался преодолеть социально-экономическое отставание страны, догнать Англию. Осуществление меркантилистской доктрины на первых порах принесло определенные результаты, но одолеть феодальные порядки, расчистить дорогу для капиталистического развития страны без социальной революции было невозможно. К концу XVII в. французский меркантилизм оказался в состоянии глубокого кризиса, являвшегося отражением кризиса феодализма. </w:t>
      </w: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sz w:val="28"/>
          <w:szCs w:val="28"/>
        </w:rPr>
        <w:t xml:space="preserve">Идеи меркантилизма получили распространение и в таких странах, как </w:t>
      </w:r>
      <w:r w:rsidRPr="004279AF">
        <w:rPr>
          <w:rStyle w:val="a3"/>
          <w:sz w:val="28"/>
          <w:szCs w:val="28"/>
        </w:rPr>
        <w:t>Италия, Испания, Германия, Венгрия, Польша, Россия</w:t>
      </w:r>
      <w:r w:rsidRPr="004279AF">
        <w:rPr>
          <w:sz w:val="28"/>
          <w:szCs w:val="28"/>
        </w:rPr>
        <w:t xml:space="preserve"> и др. </w:t>
      </w: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sz w:val="28"/>
          <w:szCs w:val="28"/>
        </w:rPr>
        <w:t xml:space="preserve">Социально-экономическое развитие каждой из них отличалось своими особенностями, которые неизбежно проявлялись в национальных экономических теориях, воплощавших в той или иной мере концепции меркантилизма. Степень зрелости этих теорий определялась тем, насколько в стране был развит капитализм, какое соотношение складывалось между стоявшим у власти дворянством и нарождающейся буржуазией. </w:t>
      </w:r>
    </w:p>
    <w:p w:rsidR="00B76920" w:rsidRDefault="00B76920" w:rsidP="004279AF">
      <w:pPr>
        <w:pStyle w:val="a4"/>
        <w:spacing w:before="0" w:beforeAutospacing="0" w:after="0" w:afterAutospacing="0" w:line="360" w:lineRule="auto"/>
        <w:ind w:firstLine="709"/>
        <w:jc w:val="both"/>
        <w:rPr>
          <w:sz w:val="28"/>
          <w:szCs w:val="28"/>
        </w:rPr>
      </w:pPr>
      <w:r w:rsidRPr="004279AF">
        <w:rPr>
          <w:rStyle w:val="a3"/>
          <w:sz w:val="28"/>
          <w:szCs w:val="28"/>
        </w:rPr>
        <w:t>Испания</w:t>
      </w:r>
      <w:r w:rsidRPr="004279AF">
        <w:rPr>
          <w:sz w:val="28"/>
          <w:szCs w:val="28"/>
        </w:rPr>
        <w:t>. Развитие меркантилизма в Испании задержалось на стадии монетаризма, в соответствии с которым поддерживалась строгая регламентация денежного обращения, жестоко преследовался вывоз золота и серебра за пределы страны.</w:t>
      </w: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sz w:val="28"/>
          <w:szCs w:val="28"/>
        </w:rPr>
        <w:t xml:space="preserve">На эволюцию меркантилизма в </w:t>
      </w:r>
      <w:r w:rsidRPr="00816D5E">
        <w:rPr>
          <w:b/>
          <w:sz w:val="28"/>
          <w:szCs w:val="28"/>
        </w:rPr>
        <w:t>Германии</w:t>
      </w:r>
      <w:r w:rsidRPr="004279AF">
        <w:rPr>
          <w:sz w:val="28"/>
          <w:szCs w:val="28"/>
        </w:rPr>
        <w:t xml:space="preserve">, кроме отмеченных выше факторов, наложила отпечаток политическая раздробленность страны. Мероприятия раннего меркантилизма сочетались здесь с экономической политикой, типичной для феодальных княжеств. Но они лишь усугубляли царивший в стране экономический хаос, порождённый раздробленностью. </w:t>
      </w: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rStyle w:val="a3"/>
          <w:sz w:val="28"/>
          <w:szCs w:val="28"/>
        </w:rPr>
        <w:t>Италия</w:t>
      </w:r>
      <w:r w:rsidRPr="004279AF">
        <w:rPr>
          <w:sz w:val="28"/>
          <w:szCs w:val="28"/>
        </w:rPr>
        <w:t xml:space="preserve">. В Италии эволюция меркантилизма продвинулась дальше. Ранний период меркантилизма представлен сочинением "Чтение о монете", принадлежавшем перу флорентийца </w:t>
      </w:r>
      <w:bookmarkStart w:id="3" w:name="t10"/>
      <w:r w:rsidRPr="004279AF">
        <w:rPr>
          <w:rStyle w:val="a3"/>
          <w:sz w:val="28"/>
          <w:szCs w:val="28"/>
        </w:rPr>
        <w:t>Е. Даванцати</w:t>
      </w:r>
      <w:r w:rsidRPr="004279AF">
        <w:rPr>
          <w:sz w:val="28"/>
          <w:szCs w:val="28"/>
        </w:rPr>
        <w:t xml:space="preserve"> (1582), а также книгой</w:t>
      </w:r>
      <w:bookmarkEnd w:id="3"/>
      <w:r w:rsidRPr="004279AF">
        <w:rPr>
          <w:sz w:val="28"/>
          <w:szCs w:val="28"/>
        </w:rPr>
        <w:t xml:space="preserve"> </w:t>
      </w:r>
      <w:bookmarkStart w:id="4" w:name="t11"/>
      <w:r w:rsidRPr="004279AF">
        <w:rPr>
          <w:rStyle w:val="a3"/>
          <w:sz w:val="28"/>
          <w:szCs w:val="28"/>
        </w:rPr>
        <w:t>Скаруффи</w:t>
      </w:r>
      <w:r w:rsidRPr="004279AF">
        <w:rPr>
          <w:sz w:val="28"/>
          <w:szCs w:val="28"/>
        </w:rPr>
        <w:t xml:space="preserve"> "Рассуждение о монете" (1579), главное место в которых заняли вопросы денежного обращения и его регламентации. Однако появление "Краткого трактата"</w:t>
      </w:r>
      <w:bookmarkEnd w:id="4"/>
      <w:r w:rsidRPr="004279AF">
        <w:rPr>
          <w:sz w:val="28"/>
          <w:szCs w:val="28"/>
        </w:rPr>
        <w:t xml:space="preserve"> </w:t>
      </w:r>
      <w:bookmarkStart w:id="5" w:name="t12"/>
      <w:r w:rsidRPr="004279AF">
        <w:rPr>
          <w:rStyle w:val="a3"/>
          <w:sz w:val="28"/>
          <w:szCs w:val="28"/>
        </w:rPr>
        <w:t>А. Серра</w:t>
      </w:r>
      <w:r w:rsidRPr="004279AF">
        <w:rPr>
          <w:sz w:val="28"/>
          <w:szCs w:val="28"/>
        </w:rPr>
        <w:t xml:space="preserve"> </w:t>
      </w:r>
      <w:bookmarkEnd w:id="5"/>
      <w:r w:rsidRPr="004279AF">
        <w:rPr>
          <w:sz w:val="28"/>
          <w:szCs w:val="28"/>
        </w:rPr>
        <w:t xml:space="preserve">(1613) ознаменовало стадию зрелого меркантилизма, для которой свойственна теория торгового баланса. А. Серра подверг критике монетаризм. Он ратовал за развитие ремесленного производства, поощрение трудолюбия и изобретательности населения, развитие торговли, проведение благоприятной экономической политики правительства. Меркантилизм не дал существенных практических результатов в силу отсталости социально-экономического развития Италии. </w:t>
      </w: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rStyle w:val="a3"/>
          <w:sz w:val="28"/>
          <w:szCs w:val="28"/>
        </w:rPr>
        <w:t>Россия</w:t>
      </w:r>
      <w:r w:rsidRPr="004279AF">
        <w:rPr>
          <w:sz w:val="28"/>
          <w:szCs w:val="28"/>
        </w:rPr>
        <w:t xml:space="preserve">. Наибольшей спецификой меркантилизм отличался в России. Его концепции не определили основного содержания русской экономической мысли, хотя идеи меркантилизма нашли в ней своё отражения в сочинениях </w:t>
      </w:r>
      <w:bookmarkStart w:id="6" w:name="t15"/>
      <w:r w:rsidRPr="004279AF">
        <w:rPr>
          <w:rStyle w:val="a3"/>
          <w:sz w:val="28"/>
          <w:szCs w:val="28"/>
        </w:rPr>
        <w:t xml:space="preserve">А.Л. Ордын-Нащокина, Ю. Крижанича, И.Т. Посошкова </w:t>
      </w:r>
      <w:bookmarkEnd w:id="6"/>
      <w:r w:rsidRPr="004279AF">
        <w:rPr>
          <w:sz w:val="28"/>
          <w:szCs w:val="28"/>
        </w:rPr>
        <w:t xml:space="preserve">и оказали влияние на формирование экономической политики. Однако преимущественно аграрный характер экономики России XVII в. ставил проблемы, не сочетавшиеся с принципами меркантилизма. </w:t>
      </w:r>
    </w:p>
    <w:p w:rsidR="00B76920" w:rsidRPr="004279AF" w:rsidRDefault="00B76920" w:rsidP="004279AF">
      <w:pPr>
        <w:pStyle w:val="a4"/>
        <w:spacing w:before="0" w:beforeAutospacing="0" w:after="0" w:afterAutospacing="0" w:line="360" w:lineRule="auto"/>
        <w:ind w:firstLine="709"/>
        <w:jc w:val="both"/>
        <w:rPr>
          <w:sz w:val="28"/>
          <w:szCs w:val="28"/>
        </w:rPr>
      </w:pPr>
      <w:r w:rsidRPr="004279AF">
        <w:rPr>
          <w:sz w:val="28"/>
          <w:szCs w:val="28"/>
        </w:rPr>
        <w:t>Таким образом, меркантилизм как первая школа экономической теории соответствовала эпохе перво</w:t>
      </w:r>
      <w:r>
        <w:rPr>
          <w:sz w:val="28"/>
          <w:szCs w:val="28"/>
        </w:rPr>
        <w:t xml:space="preserve">начального накопления капитала. </w:t>
      </w:r>
      <w:r w:rsidRPr="004279AF">
        <w:rPr>
          <w:sz w:val="28"/>
          <w:szCs w:val="28"/>
        </w:rPr>
        <w:t xml:space="preserve">Меркантилизм сыграл прогрессивную роль, способствуя переходу к рыночной капиталистической экономике. </w:t>
      </w:r>
      <w:bookmarkStart w:id="7" w:name="_GoBack"/>
      <w:bookmarkEnd w:id="7"/>
    </w:p>
    <w:sectPr w:rsidR="00B76920" w:rsidRPr="004279AF" w:rsidSect="009E0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85F7A"/>
    <w:multiLevelType w:val="hybridMultilevel"/>
    <w:tmpl w:val="EF8C89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E7E5341"/>
    <w:multiLevelType w:val="hybridMultilevel"/>
    <w:tmpl w:val="A4B0A7F2"/>
    <w:lvl w:ilvl="0" w:tplc="94505E3C">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751"/>
    <w:rsid w:val="004279AF"/>
    <w:rsid w:val="00762751"/>
    <w:rsid w:val="007772C5"/>
    <w:rsid w:val="007A6E15"/>
    <w:rsid w:val="0080663F"/>
    <w:rsid w:val="00816D5E"/>
    <w:rsid w:val="008E01FE"/>
    <w:rsid w:val="009E0FE3"/>
    <w:rsid w:val="00B05560"/>
    <w:rsid w:val="00B76920"/>
    <w:rsid w:val="00C35567"/>
    <w:rsid w:val="00E45885"/>
    <w:rsid w:val="00FA0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2D3B14-F8F9-4F03-BB2A-9E30AA7E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FE3"/>
    <w:pPr>
      <w:spacing w:after="200" w:line="276" w:lineRule="auto"/>
    </w:pPr>
    <w:rPr>
      <w:sz w:val="22"/>
      <w:szCs w:val="22"/>
    </w:rPr>
  </w:style>
  <w:style w:type="paragraph" w:styleId="1">
    <w:name w:val="heading 1"/>
    <w:basedOn w:val="a"/>
    <w:link w:val="10"/>
    <w:qFormat/>
    <w:rsid w:val="008E01FE"/>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8E01FE"/>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62751"/>
    <w:rPr>
      <w:rFonts w:cs="Times New Roman"/>
      <w:b/>
      <w:bCs/>
    </w:rPr>
  </w:style>
  <w:style w:type="paragraph" w:customStyle="1" w:styleId="11">
    <w:name w:val="Абзац списку1"/>
    <w:basedOn w:val="a"/>
    <w:rsid w:val="008E01FE"/>
    <w:pPr>
      <w:ind w:left="720"/>
      <w:contextualSpacing/>
    </w:pPr>
  </w:style>
  <w:style w:type="character" w:customStyle="1" w:styleId="10">
    <w:name w:val="Заголовок 1 Знак"/>
    <w:basedOn w:val="a0"/>
    <w:link w:val="1"/>
    <w:locked/>
    <w:rsid w:val="008E01FE"/>
    <w:rPr>
      <w:rFonts w:ascii="Times New Roman" w:hAnsi="Times New Roman" w:cs="Times New Roman"/>
      <w:b/>
      <w:bCs/>
      <w:kern w:val="36"/>
      <w:sz w:val="48"/>
      <w:szCs w:val="48"/>
    </w:rPr>
  </w:style>
  <w:style w:type="character" w:customStyle="1" w:styleId="20">
    <w:name w:val="Заголовок 2 Знак"/>
    <w:basedOn w:val="a0"/>
    <w:link w:val="2"/>
    <w:locked/>
    <w:rsid w:val="008E01FE"/>
    <w:rPr>
      <w:rFonts w:ascii="Cambria" w:hAnsi="Cambria" w:cs="Times New Roman"/>
      <w:b/>
      <w:bCs/>
      <w:color w:val="4F81BD"/>
      <w:sz w:val="26"/>
      <w:szCs w:val="26"/>
    </w:rPr>
  </w:style>
  <w:style w:type="character" w:customStyle="1" w:styleId="spelle">
    <w:name w:val="spelle"/>
    <w:basedOn w:val="a0"/>
    <w:rsid w:val="007772C5"/>
    <w:rPr>
      <w:rFonts w:cs="Times New Roman"/>
    </w:rPr>
  </w:style>
  <w:style w:type="character" w:customStyle="1" w:styleId="grame">
    <w:name w:val="grame"/>
    <w:basedOn w:val="a0"/>
    <w:rsid w:val="007772C5"/>
    <w:rPr>
      <w:rFonts w:cs="Times New Roman"/>
    </w:rPr>
  </w:style>
  <w:style w:type="paragraph" w:styleId="a4">
    <w:name w:val="Normal (Web)"/>
    <w:basedOn w:val="a"/>
    <w:semiHidden/>
    <w:rsid w:val="004279A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1661</Words>
  <Characters>9471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11110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Губин</dc:creator>
  <cp:keywords/>
  <dc:description/>
  <cp:lastModifiedBy>Irina</cp:lastModifiedBy>
  <cp:revision>2</cp:revision>
  <dcterms:created xsi:type="dcterms:W3CDTF">2014-08-20T13:59:00Z</dcterms:created>
  <dcterms:modified xsi:type="dcterms:W3CDTF">2014-08-20T13:59:00Z</dcterms:modified>
</cp:coreProperties>
</file>