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E3" w:rsidRDefault="001E27D8">
      <w:pPr>
        <w:pStyle w:val="1"/>
        <w:jc w:val="center"/>
      </w:pPr>
      <w:r>
        <w:t>Влияния добавок, содержащих пищевые волокна, на хлебопекарные свойства пшеничной муки</w:t>
      </w:r>
    </w:p>
    <w:p w:rsidR="00E075E3" w:rsidRPr="001E27D8" w:rsidRDefault="001E27D8">
      <w:pPr>
        <w:pStyle w:val="a3"/>
      </w:pPr>
      <w:r>
        <w:t> </w:t>
      </w:r>
    </w:p>
    <w:p w:rsidR="00E075E3" w:rsidRDefault="001E27D8">
      <w:pPr>
        <w:pStyle w:val="a3"/>
      </w:pPr>
      <w:r>
        <w:t>Е.Р. Касабова, О.В. Самохвалова</w:t>
      </w:r>
    </w:p>
    <w:p w:rsidR="00E075E3" w:rsidRDefault="001E27D8">
      <w:pPr>
        <w:pStyle w:val="a3"/>
      </w:pPr>
      <w:r>
        <w:t>Харьковский государственный университет питания и торговли</w:t>
      </w:r>
    </w:p>
    <w:p w:rsidR="00E075E3" w:rsidRDefault="001E27D8">
      <w:pPr>
        <w:pStyle w:val="a3"/>
      </w:pPr>
      <w:r>
        <w:t>Введение</w:t>
      </w:r>
    </w:p>
    <w:p w:rsidR="00E075E3" w:rsidRDefault="001E27D8">
      <w:pPr>
        <w:pStyle w:val="a3"/>
      </w:pPr>
      <w:r>
        <w:t>В современных условиях обеспечение населения полноценными продуктами питания является одной их актуальных проблем. Ее решение заключается в создании технологий производства качественно новых продуктов функционального назначения, потребление которых способствовало бы профилактике и укреплению здоровья населения. Современные тенденции развития рынка кондитерских изделий характеризуются увеличением спроса населения на мучные кондитерские изделия (МКИ), выпуск которых в последние годы постоянно увеличивается. Существенным недостатком МКИ является незначительное содержание в них таких важных биологически активных веществ, как пищевые волокна, витамины, макро- и микроэлементы, незаменимые аминокислоты, полиненасыщенные жирные кислоты. Они являются, в основном, источником легкоусвояемых углеводов и насыщенных жиров, чрезмерное потребление которых нарушает сбалансированность рациона, как по основным пищевым веществам, так и по энергетической ценности. В связи с этим МКИ становятся перспективными объектами для обогащения их функциональными ингредиентами [1].</w:t>
      </w:r>
    </w:p>
    <w:p w:rsidR="00E075E3" w:rsidRDefault="001E27D8">
      <w:pPr>
        <w:pStyle w:val="a3"/>
      </w:pPr>
      <w:r>
        <w:t>Среди современных способов обогащения МКИ особый интерес представляют те, которые предусматривают использование добавок из нетрадиционного растительного сырья - отходов некоторых пищевых производств. Они не только обогащают изделия биологически активными веществами, но и повышают их качество.</w:t>
      </w:r>
    </w:p>
    <w:p w:rsidR="00E075E3" w:rsidRDefault="001E27D8">
      <w:pPr>
        <w:pStyle w:val="a3"/>
      </w:pPr>
      <w:r>
        <w:t>Нами разработаны технологии бисквитов и маффинов повышенной пищевой ценности с использованием осветленных (ОСВ) и неосветленных свекловичных волокон (НСВ), а также диетической добавки «Шрот зародышей пшеницы пищевой» (далее - шрот) [2, 3]. Шрот производится КП «Белоцерковхлебопродукт» (г. Белая Церковь) путем комплексной переработки и обезжиривания зародышей пшеницы по ТУ У 20608169.002-99. Свекловичные волокна получают из свекловичного жома на ОАО «Каневсксахар» (Краснодарский край), и их качество соответствует требованиям ТУ 9112-0001-05122481-09 «Волокна свекловичные (из сахарной свеклы)».</w:t>
      </w:r>
    </w:p>
    <w:p w:rsidR="00E075E3" w:rsidRDefault="001E27D8">
      <w:pPr>
        <w:pStyle w:val="a3"/>
      </w:pPr>
      <w:r>
        <w:t>Химический состав исследуемых добавок, приведен в таблице 1. Как видно, свекловичные волокна содержат значительное количество растительных биополимеров, а именно: пектин, целлюлоза, гемицеллюлозы и лигнин. Известно, что пищевые волокна, и особенно пектиновые вещества, которые составляют почти половину всех свекловичных волокон, по своим физико-химическим свойствам являются лучшими природными энтеросорбентами - комплек- сообразователями тяжелых металлов, радионуклидов, остаточных пестицидов. Шрот, в свою очередь, помимо содержания большого количества пищевых волокон является источником значительного количества витаминов и минеральных веществ.</w:t>
      </w:r>
    </w:p>
    <w:p w:rsidR="00E075E3" w:rsidRDefault="001E27D8">
      <w:pPr>
        <w:pStyle w:val="a3"/>
      </w:pPr>
      <w:r>
        <w:t>Таблица 1</w:t>
      </w:r>
    </w:p>
    <w:p w:rsidR="00E075E3" w:rsidRDefault="001E27D8">
      <w:pPr>
        <w:pStyle w:val="a3"/>
      </w:pPr>
      <w:r>
        <w:t>Химический состав свекловичных волокон и шрота</w:t>
      </w:r>
    </w:p>
    <w:p w:rsidR="00E075E3" w:rsidRDefault="001E27D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E075E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НСВ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ОСВ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Шрот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Массовая доля сухих веществ, % не менее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87.0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90.0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93.0</w:t>
            </w:r>
          </w:p>
        </w:tc>
      </w:tr>
    </w:tbl>
    <w:p w:rsidR="00E075E3" w:rsidRPr="001E27D8" w:rsidRDefault="001E27D8">
      <w:pPr>
        <w:pStyle w:val="a3"/>
      </w:pPr>
      <w:r>
        <w:t> </w:t>
      </w:r>
    </w:p>
    <w:p w:rsidR="00E075E3" w:rsidRDefault="001E27D8">
      <w:pPr>
        <w:pStyle w:val="a3"/>
      </w:pPr>
      <w:r>
        <w:t>Окончание табл. 1</w:t>
      </w:r>
    </w:p>
    <w:p w:rsidR="00E075E3" w:rsidRDefault="001E27D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"/>
        <w:gridCol w:w="160"/>
        <w:gridCol w:w="160"/>
      </w:tblGrid>
      <w:tr w:rsidR="00E075E3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Массовая доля целлюлозы, %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23.0-28.0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23.0-28.0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25.3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Массовая доля лигнина, %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7.0-9.0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7.0-9.0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3.8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Массовая доля пектиновых веществ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2.0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Массовая доля гемицеллюлоз, %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2.2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Белки, %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6.0-9.0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7.0-10.0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45.0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Каротиноиды, мг/100г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2.0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Витамины, мг/100 г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075E3" w:rsidRDefault="001E27D8">
            <w:r>
              <w:t> 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в т. ч. токоферол (Е)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7.5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тиамин (Bi)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0.2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пиродоксин (Вб)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0.3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ниацин(РР)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0.5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Минеральные вещества, мг/100 г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075E3" w:rsidRDefault="001E27D8">
            <w:r>
              <w:t> 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Кальций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115.0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240.0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370.0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Фосфор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620.0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51.0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78.0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Магний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220.0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145.0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Марганец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36.0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23.0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Калий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2190.0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46.0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Натрий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7.3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180.0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275.0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Железо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140.0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Кремний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240.0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370.0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Алюминий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&lt;0.03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46.0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Цинк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21.9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10.5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18.4</w:t>
            </w:r>
          </w:p>
        </w:tc>
      </w:tr>
    </w:tbl>
    <w:p w:rsidR="00E075E3" w:rsidRPr="001E27D8" w:rsidRDefault="001E27D8">
      <w:pPr>
        <w:pStyle w:val="a3"/>
      </w:pPr>
      <w:r>
        <w:t>Учитывая, что исследуемые добавки имеют неодинаковый химический состав, можно прогнозировать их различные физико-химические и технологические свойства. Исходя из того, что нами предложено использовать эти добавки в технологиях МКИ, считаем целесообразным изучить их влияние на технологические свойства пшеничной муки и структурномеханические свойства теста.</w:t>
      </w:r>
    </w:p>
    <w:p w:rsidR="00E075E3" w:rsidRDefault="001E27D8">
      <w:pPr>
        <w:pStyle w:val="a3"/>
      </w:pPr>
      <w:r>
        <w:t>Объекты и методы исследования. Изменения белково-протеиназного комплекса муки пшеничной высшего сорта в присутствии добавок, оценивали по количеству и качеству клейковины, физическим, структурно-механическим свойствам теста, которые определяли на аль- веографе Шопена и фаринографе Брабендера. Углеводно-амилазного комплекса - по показателям амилограмм на амилографе Брабендера и изменения вязкости водно-мучной смеси по «числу падения».</w:t>
      </w:r>
    </w:p>
    <w:p w:rsidR="00E075E3" w:rsidRDefault="001E27D8">
      <w:pPr>
        <w:pStyle w:val="a3"/>
      </w:pPr>
      <w:r>
        <w:t>Шрот и свекловичные волокна (осветленные и неосветленные) смешивали с мукой, заменяя ее добавками в количестве 5.0-20.0%. Контрольными - служили образцы без добавок.</w:t>
      </w:r>
    </w:p>
    <w:p w:rsidR="00E075E3" w:rsidRDefault="001E27D8">
      <w:pPr>
        <w:pStyle w:val="a3"/>
      </w:pPr>
      <w:r>
        <w:t>Результаты и их обсуждение. В образовании структуры теста большинства МКИ основная роль принадлежит белкам клейковины муки, которые во время замешивания теста поглощают воду, и, удерживая ее, образуют клейковинный каркас. Однако, в рецептуру МКИ входят также и другие ингредиенты, такие как яйцепродукты, жир, сахар, которые, в свою очередь, также влияют на процессы структурообразования теста. Тем не менее, именно количество и качество клейковины пшеничной муки обуславливает большинство показателей текстурных характеристик изделий. Поэтому нами было проведено исследование влияния добавок на клейковину пшеничной муки (табл. 2).</w:t>
      </w:r>
    </w:p>
    <w:p w:rsidR="00E075E3" w:rsidRDefault="001E27D8">
      <w:pPr>
        <w:pStyle w:val="a3"/>
      </w:pPr>
      <w:r>
        <w:t>Таблица 2</w:t>
      </w:r>
    </w:p>
    <w:p w:rsidR="00E075E3" w:rsidRDefault="001E27D8">
      <w:pPr>
        <w:pStyle w:val="a3"/>
      </w:pPr>
      <w:r>
        <w:t>Влияние свекловичных волокон и шрота на клейковину пшеничной муки</w:t>
      </w:r>
    </w:p>
    <w:p w:rsidR="00E075E3" w:rsidRDefault="001E27D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20"/>
        <w:gridCol w:w="120"/>
        <w:gridCol w:w="120"/>
        <w:gridCol w:w="120"/>
      </w:tblGrid>
      <w:tr w:rsidR="00E075E3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Образцы клейковины с добавками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% замены муки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075E3" w:rsidRDefault="001E27D8">
            <w:r>
              <w:t>Значения показателей</w:t>
            </w:r>
          </w:p>
        </w:tc>
      </w:tr>
      <w:tr w:rsidR="00E075E3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Pr="001E27D8" w:rsidRDefault="001E27D8">
            <w:pPr>
              <w:pStyle w:val="a3"/>
            </w:pPr>
            <w:r w:rsidRPr="001E27D8">
              <w:t>Количество сырой клейковины,</w:t>
            </w:r>
          </w:p>
          <w:p w:rsidR="00E075E3" w:rsidRPr="001E27D8" w:rsidRDefault="001E27D8">
            <w:pPr>
              <w:pStyle w:val="a3"/>
            </w:pPr>
            <w:r w:rsidRPr="001E27D8">
              <w:t>%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Количество сухой клейковины, %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Упругость на ИДК, ед. пр.</w:t>
            </w:r>
          </w:p>
        </w:tc>
        <w:tc>
          <w:tcPr>
            <w:tcW w:w="0" w:type="auto"/>
            <w:vAlign w:val="center"/>
            <w:hideMark/>
          </w:tcPr>
          <w:p w:rsidR="00E075E3" w:rsidRPr="001E27D8" w:rsidRDefault="001E27D8">
            <w:pPr>
              <w:pStyle w:val="a3"/>
            </w:pPr>
            <w:r w:rsidRPr="001E27D8">
              <w:t>Растяжимость,</w:t>
            </w:r>
          </w:p>
          <w:p w:rsidR="00E075E3" w:rsidRPr="001E27D8" w:rsidRDefault="001E27D8">
            <w:pPr>
              <w:pStyle w:val="a3"/>
            </w:pPr>
            <w:r w:rsidRPr="001E27D8">
              <w:t>см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75E3" w:rsidRDefault="001E27D8">
            <w:r>
              <w:t>Контроль (без добавки)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24.7±0.5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6.2±0.2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60.0±1.2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11.0±0.2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НСВ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19.2±0.4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4.8±0.1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55.0±1.1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10.0±0.2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11.5±0.3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2.9±0.1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54.0±1.1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9.0±0.2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ОСВ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22.2±0.4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5.6±0.1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53.0±1.1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10.0±0.2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12.7±0.3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3.2±0.1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52.0±1.1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9.0±0.2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Шрот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24.2±0.5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6.1±0.1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66.0±1.3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11.0±0.2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23.2±0.5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5.8±0.1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60.0±1.2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11.0±0.2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21.5±0.4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5.4±0.1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54.0±1.1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11.0±0.2</w:t>
            </w:r>
          </w:p>
        </w:tc>
      </w:tr>
      <w:tr w:rsidR="00E075E3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20.0±0.4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50.0±1.1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10.0±0.2</w:t>
            </w:r>
          </w:p>
        </w:tc>
      </w:tr>
    </w:tbl>
    <w:p w:rsidR="00E075E3" w:rsidRPr="001E27D8" w:rsidRDefault="001E27D8">
      <w:pPr>
        <w:pStyle w:val="a3"/>
      </w:pPr>
      <w:r>
        <w:t>Как видно из таблицы 2, внесение добавок приводит к некоторому снижению количества сырой и сухой клейковины. Так, при использовании 5.0-10.0% НСВ содержание сырой клейковины уменьшается на 22.3-53.4 %, и ОСВ - на 10.1-48.6%, а при внесении шрота в количестве 5.0-20.0% - на 2.0-19.0 %. Отмыть клейковину с добавлением 15.0-20.0% волокон не удалось, поскольку она стала крошащейся.</w:t>
      </w:r>
    </w:p>
    <w:p w:rsidR="00E075E3" w:rsidRDefault="001E27D8">
      <w:pPr>
        <w:pStyle w:val="a3"/>
      </w:pPr>
      <w:r>
        <w:t>С увеличением дозировок всех добавок в исследуемом диапазоне происходит незначительное увеличение упругости клейковины, а ее растяжимость практически не изменяется. Уменьшение количества сырой и сухой клейковины при внесении добавок может быть связано с дегидратирующим действием на клейковинные белки пищевых волокон, содержащихся в добавках, которые конкурируют с ними за связывание воды. Полученные данные о снижении количества клейковины и небольшом ее укреплении в присутствии шрота согласуются с имеющимися в литературе [4].</w:t>
      </w:r>
    </w:p>
    <w:p w:rsidR="00E075E3" w:rsidRDefault="001E27D8">
      <w:pPr>
        <w:pStyle w:val="a3"/>
      </w:pPr>
      <w:r>
        <w:t>Следует отметить, что изменение упругости клейковины муки не будет негативно сказываться на качестве изделий, поскольку образование прочного клейковинного каркаса может привести к чрезмерному уплотнению структуры теста и получению недостаточно разрыхленного мякиша выпеченных бисквитов и маффинов, а также снижению их объема и пористости.</w:t>
      </w:r>
    </w:p>
    <w:p w:rsidR="00E075E3" w:rsidRDefault="001E27D8">
      <w:pPr>
        <w:pStyle w:val="a3"/>
      </w:pPr>
      <w:r>
        <w:t>Известно, что целлюлоза, гемицеллюлозы, пектиновые вещества исследуемых добавок характеризуются высокой водопоглотительной способностью [5], и способны определенным образом, влиять на процессы тестообразования. Поэтому, считаем целесообразным определить влияние добавок на структурно-механические свойства теста на фаринографе. Результаты расшифровки фаринограмм приведены в таблице 3.</w:t>
      </w:r>
    </w:p>
    <w:p w:rsidR="00E075E3" w:rsidRDefault="001E27D8">
      <w:pPr>
        <w:pStyle w:val="a3"/>
      </w:pPr>
      <w:r>
        <w:t>Поскольку полученные результаты о влиянии осветленных и неосветленных волокон на показатели фаринограмм практически одинаковы, считаем возможным привести данные экспериментов только с ОСВ. Анализ фаринограмм показал, что внесение в тесто ОСВ и шрота в количестве 5.0-20.0% увеличивает время его образование в 1.5-2.25 и 1.25-2.0 раза соответственно по сравнению с контрольным образцом. При этом устойчивость теста по сравнению с контролем сокращается с 20.0-50.0% до 30.0-40.0% (табл. 3).</w:t>
      </w:r>
    </w:p>
    <w:p w:rsidR="00E075E3" w:rsidRDefault="001E27D8">
      <w:pPr>
        <w:pStyle w:val="a3"/>
      </w:pPr>
      <w:r>
        <w:t>Таблица 3</w:t>
      </w:r>
    </w:p>
    <w:p w:rsidR="00E075E3" w:rsidRDefault="001E27D8">
      <w:pPr>
        <w:pStyle w:val="a3"/>
      </w:pPr>
      <w:r>
        <w:t>Влияние свекловичных волокон и шрота на структурно-механические свойства теста</w:t>
      </w:r>
    </w:p>
    <w:p w:rsidR="00E075E3" w:rsidRDefault="001E27D8">
      <w:pPr>
        <w:pStyle w:val="a3"/>
      </w:pPr>
      <w:r>
        <w:t>(по фаринографу)</w:t>
      </w:r>
    </w:p>
    <w:p w:rsidR="00E075E3" w:rsidRDefault="001E27D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96"/>
        <w:gridCol w:w="96"/>
        <w:gridCol w:w="96"/>
        <w:gridCol w:w="96"/>
        <w:gridCol w:w="96"/>
      </w:tblGrid>
      <w:tr w:rsidR="00E075E3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Образцы теста с добавками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% замены муки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075E3" w:rsidRDefault="001E27D8">
            <w:r>
              <w:t>Значения показателей</w:t>
            </w:r>
          </w:p>
        </w:tc>
      </w:tr>
      <w:tr w:rsidR="00E075E3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Время образования, мин.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Устойчивость, мин.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Стабильность, мин.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Разжижение, ед. ф.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Водопоглати- тельная способность, %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75E3" w:rsidRDefault="001E27D8">
            <w:r>
              <w:t>Контроль (без добавки)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7.0±0.2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20.0±0.4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56.0±1.2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ОСВ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7.0±0.2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30.0±0.6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60.5±1.2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3.5±0.1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3.5±0.1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7.0±0.2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40.0±0.8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63.5±1.3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7.0±0.2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50.0±1.0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68.0±1.4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4.5±0.1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2.5±0.1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7.0±0.2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60.0±1.2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72.0±1.4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Шрот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2.5±0.1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3.5±0.1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30.0±0.6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59.0±1.2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40.0±0.8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62.0±1.2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3.5±0.1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2.5±0.1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50.0±1.0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66.0±1.3</w:t>
            </w:r>
          </w:p>
        </w:tc>
      </w:tr>
      <w:tr w:rsidR="00E075E3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60.0±1.2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70.0±1.4</w:t>
            </w:r>
          </w:p>
        </w:tc>
      </w:tr>
    </w:tbl>
    <w:p w:rsidR="00E075E3" w:rsidRPr="001E27D8" w:rsidRDefault="001E27D8">
      <w:pPr>
        <w:pStyle w:val="a3"/>
      </w:pPr>
      <w:r>
        <w:t>Стоит отметить, что стабильность теста при внесении осветленных свекловичных волокон не изменяется по сравнению с контролем, а при внесении шрота - меняется не значительно. Внесение добавок в количестве 5.0-20.0% значительно увеличивает водопоглотительную способность на 5.4-28.6%, что связано, как мы уже упоминали, со способностью полисахаридного комплекса добавок связывать и удерживать воду, создавая весомую конкуренцию основным биополимерам тестовой системы, в первую очередь, белкам клейковины и крахмала в поглощении воды. Интенсивное связывание воды в тесте пищевыми волокнами добавок полисахаридного комплекса, объясняет также увеличение времени образования теста и некоторого уменьшения его стабильности.</w:t>
      </w:r>
    </w:p>
    <w:p w:rsidR="00E075E3" w:rsidRDefault="001E27D8">
      <w:pPr>
        <w:pStyle w:val="a3"/>
      </w:pPr>
      <w:r>
        <w:t>При изучении физических свойств теста с исследуемыми добавками на альвеографе не удалось снять альвеограммы образцов теста с добавлением свекловичных волокон в исследуемом диапазоне концентраций в силу технических возможностей прибора. Физические свойства теста со шротом, определенные на альвеографе, приведены в таблице 4. Результаты исследований на альвеографе свидетельствуют о том, что внесение шрота в количестве 5.0-15.0% с заменой муки по сравнению с контролем снижает упругость теста на 3.1-25.5% и его растяжимость на 23.4-45.3%, а показатель альвеографа - на 25.6-53.3% соответственно. Полученные данные можно объяснить значительным содержанием полисахаридов в добавках, которые не позволяют сформировать эластичный клейковинный каркас, что приводит к потере упругости теста и снижению силы муки. Отношение P/L, которое характеризует сбалансированность между собой показателей физических свойств теста, несколько возрастает. Это обусловлено тем, что упругое свойство теста снижается меньшими темпами, чем его растяжимость.</w:t>
      </w:r>
    </w:p>
    <w:p w:rsidR="00E075E3" w:rsidRDefault="001E27D8">
      <w:pPr>
        <w:pStyle w:val="a3"/>
      </w:pPr>
      <w:r>
        <w:t>Таблица 4</w:t>
      </w:r>
    </w:p>
    <w:p w:rsidR="00E075E3" w:rsidRDefault="001E27D8">
      <w:pPr>
        <w:pStyle w:val="a3"/>
      </w:pPr>
      <w:r>
        <w:t>Влияние шрота на физические свойства теста по данным альвеографа Шопена</w:t>
      </w:r>
    </w:p>
    <w:p w:rsidR="00E075E3" w:rsidRDefault="001E27D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60"/>
        <w:gridCol w:w="160"/>
        <w:gridCol w:w="160"/>
      </w:tblGrid>
      <w:tr w:rsidR="00E075E3">
        <w:trPr>
          <w:trHeight w:val="67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Показатели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Контроль (без добавки)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075E3" w:rsidRDefault="001E27D8">
            <w:r>
              <w:t>Значение показателей образцов муки с добавлением шрота, % замены</w:t>
            </w:r>
          </w:p>
        </w:tc>
      </w:tr>
      <w:tr w:rsidR="00E075E3">
        <w:trPr>
          <w:trHeight w:val="3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15.0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Упругость теста (Р), мм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98.0±2.0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95.0±1.9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84.0±1.7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73.0±1.4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Растяжимость (L), мм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64.0±1.3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49.0±1.0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42.0±0.8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35.0±0.6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Отношение P/L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1.5±0.03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1.9±0.04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2.0±0.1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2.1±0.1</w:t>
            </w:r>
          </w:p>
        </w:tc>
      </w:tr>
      <w:tr w:rsidR="00E075E3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Показатель альвеографа, W, ед. альвеогр.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281.0±5.6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209.0±4.2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1б4.0±3.3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131.0±2.6</w:t>
            </w:r>
          </w:p>
        </w:tc>
      </w:tr>
    </w:tbl>
    <w:p w:rsidR="00E075E3" w:rsidRPr="001E27D8" w:rsidRDefault="001E27D8">
      <w:pPr>
        <w:pStyle w:val="a3"/>
      </w:pPr>
      <w:r>
        <w:t>Крахмал пшеничной муки играет важную технологическую роль в процессе приготовления МКИ, как бисквитов, так и маффинов. Поскольку их приготовление предполагает использование кратковременного замеса с пшеничной мукой, а следовательно набухание клейковинных белков и образование развитого клейковинного каркаса не происходит. На формирование структуры теста и выпеченных изделий, существенно влияют свойства крахмала, такие как набухание и клейстеризация. Кроме того, внесение добавок с заменой пшеничной муки, снижает массовую долю клейковины. Для изучения влияния исследуемых добавок на свойства крахмала пшеничной муки были сняты амилограммы теста. Расшифровка амилограмм теста с добавками приведена в таблице 5.</w:t>
      </w:r>
    </w:p>
    <w:p w:rsidR="00E075E3" w:rsidRDefault="001E27D8">
      <w:pPr>
        <w:pStyle w:val="a3"/>
      </w:pPr>
      <w:r>
        <w:t>Таблица 5</w:t>
      </w:r>
    </w:p>
    <w:p w:rsidR="00E075E3" w:rsidRDefault="001E27D8">
      <w:pPr>
        <w:pStyle w:val="a3"/>
      </w:pPr>
      <w:r>
        <w:t>Влияние свекловичных волокон и шрота на свойства крахмала пшеничной муки</w:t>
      </w:r>
    </w:p>
    <w:p w:rsidR="00E075E3" w:rsidRDefault="001E27D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20"/>
        <w:gridCol w:w="120"/>
        <w:gridCol w:w="120"/>
        <w:gridCol w:w="120"/>
      </w:tblGrid>
      <w:tr w:rsidR="00E075E3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Образцы теста с добавками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% замены муки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075E3" w:rsidRDefault="001E27D8">
            <w:r>
              <w:t>Значения показателей</w:t>
            </w:r>
          </w:p>
        </w:tc>
      </w:tr>
      <w:tr w:rsidR="00E075E3">
        <w:trPr>
          <w:trHeight w:val="103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Время до начала клейстеризации крахмала, мин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Время от начала клейстеризации крахмала до достижения максимальной вязкости, мин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Максимальная вязкость, ед. а.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Температура суспензии при максимальной вязкости,°С</w:t>
            </w:r>
          </w:p>
        </w:tc>
      </w:tr>
      <w:tr w:rsidR="00E075E3">
        <w:trPr>
          <w:trHeight w:val="4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75E3" w:rsidRDefault="001E27D8">
            <w:r>
              <w:t>Контроль (без добавки)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2б.0±0.8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20.0±0.6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600.0±18.0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83.0±2.5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ОСВ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24.0±0.7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18.0±0.5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570.0±17.1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81.0±2.4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22.0±0.7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1б.0±0.5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535.0±16.1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79.0±2.4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20.0±0.6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14.0±0.4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505.0±15.2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77.0±2.3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18.0±0.5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12.0±0.3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470.0±14.1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75.0±2.3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Шрот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24.5±0.7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19.0±0.6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580.0±17.4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82.0±2.5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23.0±0.7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18.0±0.5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560.0±16.8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81.0±2.4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21.5±0.6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17.0±0.5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540.0±1б.2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80.0±2.4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20.0±0.6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1б.0±0.5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510.0±15.3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79.0±2.4</w:t>
            </w:r>
          </w:p>
        </w:tc>
      </w:tr>
    </w:tbl>
    <w:p w:rsidR="00E075E3" w:rsidRPr="001E27D8" w:rsidRDefault="001E27D8">
      <w:pPr>
        <w:pStyle w:val="a3"/>
      </w:pPr>
      <w:r>
        <w:t>Установлено, что влияние осветленных и неосветленных волокон на показатели амилограмм практически не отличается, поэтому приводим данные, полученные только с ОСВ.</w:t>
      </w:r>
    </w:p>
    <w:p w:rsidR="00E075E3" w:rsidRDefault="001E27D8">
      <w:pPr>
        <w:pStyle w:val="a3"/>
      </w:pPr>
      <w:r>
        <w:t>Анализ амилограмм показал, что внесение в тесто ОСВ и шрота в количестве 5.0-20.0% уменьшает время до начала клейстеризации на 7.7-30.8% и на 5.7-23.1%, а также время от начала клейстеризации крахмала до достижения максимальной вязкости на 10.0-40.0% и на</w:t>
      </w:r>
    </w:p>
    <w:p w:rsidR="00E075E3" w:rsidRDefault="001E27D8">
      <w:pPr>
        <w:pStyle w:val="a3"/>
      </w:pPr>
      <w:r>
        <w:t>20.0% соответственно по сравнению с контрольным образцом.</w:t>
      </w:r>
    </w:p>
    <w:p w:rsidR="00E075E3" w:rsidRDefault="001E27D8">
      <w:pPr>
        <w:pStyle w:val="a3"/>
      </w:pPr>
      <w:r>
        <w:t>Показатель максимальной вязкости снижается при добавлении ОСВ и шрота в количестве 5.0-20.0% на 5.0-21.7% и на 3.3-15.0% соответственно, что возможно объяснить сниженным количество крахмала в образцах с добавками за счет замены ими части муки.</w:t>
      </w:r>
    </w:p>
    <w:p w:rsidR="00E075E3" w:rsidRDefault="001E27D8">
      <w:pPr>
        <w:pStyle w:val="a3"/>
      </w:pPr>
      <w:r>
        <w:t>Температура суспензии при максимальной вязкости уменьшается от 1.2-2.4% до 4.89.6%. Стоит отметить, что снижение температуры при максимальной вязкости может быть предпосылкой к замедлению черствения готовых изделий, поскольку существует мнение о том, что снижение температуры клейстеризации может способствовать замедлению процесса ретроградации крахмала [6, 7].</w:t>
      </w:r>
    </w:p>
    <w:p w:rsidR="00E075E3" w:rsidRDefault="001E27D8">
      <w:pPr>
        <w:pStyle w:val="a3"/>
      </w:pPr>
      <w:r>
        <w:t>Дополнительную информацию о действии добавок на углеводно-амилазный комплекс пшеничной муки получили с помощью прибора «числа падения» Харберга. Было определено</w:t>
      </w:r>
    </w:p>
    <w:p w:rsidR="00E075E3" w:rsidRDefault="001E27D8">
      <w:pPr>
        <w:pStyle w:val="a3"/>
      </w:pPr>
      <w:r>
        <w:t>«число падения» клейстеризованой водно-мучной суспензии с добавлением НСВ, ОСВ и шрота в количестве 5.0-20.0% . Результаты представлены в таблице 6.</w:t>
      </w:r>
    </w:p>
    <w:p w:rsidR="00E075E3" w:rsidRDefault="001E27D8">
      <w:pPr>
        <w:pStyle w:val="a3"/>
      </w:pPr>
      <w:r>
        <w:t>Таблица 6</w:t>
      </w:r>
    </w:p>
    <w:p w:rsidR="00E075E3" w:rsidRDefault="001E27D8">
      <w:pPr>
        <w:pStyle w:val="a3"/>
      </w:pPr>
      <w:r>
        <w:t>Влияние свекловичных волокон и шрота на показатель «Число падения»</w:t>
      </w:r>
    </w:p>
    <w:p w:rsidR="00E075E3" w:rsidRDefault="001E27D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E075E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075E3" w:rsidRDefault="001E27D8">
            <w:r>
              <w:t>Образцы теста с добавками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% замены муки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Значение показателя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75E3" w:rsidRDefault="001E27D8">
            <w:r>
              <w:t>Контроль (без добавки)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381±11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НСВ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5-0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335±6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329±6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313±6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308±5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ОСВ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333±6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325±6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310±5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305±5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075E3" w:rsidRDefault="001E27D8">
            <w:r>
              <w:t>Шрот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340±6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335±6</w:t>
            </w:r>
          </w:p>
        </w:tc>
      </w:tr>
      <w:tr w:rsidR="00E075E3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15.0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324±6</w:t>
            </w:r>
          </w:p>
        </w:tc>
      </w:tr>
      <w:tr w:rsidR="00E075E3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075E3" w:rsidRDefault="00E075E3"/>
        </w:tc>
        <w:tc>
          <w:tcPr>
            <w:tcW w:w="0" w:type="auto"/>
            <w:vAlign w:val="center"/>
            <w:hideMark/>
          </w:tcPr>
          <w:p w:rsidR="00E075E3" w:rsidRDefault="001E27D8">
            <w:r>
              <w:t>20.0</w:t>
            </w:r>
          </w:p>
        </w:tc>
        <w:tc>
          <w:tcPr>
            <w:tcW w:w="0" w:type="auto"/>
            <w:vAlign w:val="center"/>
            <w:hideMark/>
          </w:tcPr>
          <w:p w:rsidR="00E075E3" w:rsidRDefault="001E27D8">
            <w:r>
              <w:t>312±6</w:t>
            </w:r>
          </w:p>
        </w:tc>
      </w:tr>
    </w:tbl>
    <w:p w:rsidR="00E075E3" w:rsidRPr="001E27D8" w:rsidRDefault="001E27D8">
      <w:pPr>
        <w:pStyle w:val="a3"/>
      </w:pPr>
      <w:r>
        <w:t>Введение добавок несколько снижает время разжижения водно-мучной суспензии. Так, с добавлением в тесто НСВ, ОСВ и шрота в количестве 5.0-20.0% уменьшают показатель «числа падения» на 12.1-19.2%, на 12.6-19.9% и на 10.8-18.1 соответственно по сравнению с контрольным образцом, что свидетельствует о снижении вязкости водно-мучной суспензии в присутствии добавок. На наш взгляд, это связано со снижением содержания крахмала в образцах с добавками за счет замены части муки ими.</w:t>
      </w:r>
    </w:p>
    <w:p w:rsidR="00E075E3" w:rsidRDefault="001E27D8">
      <w:pPr>
        <w:pStyle w:val="a3"/>
      </w:pPr>
      <w:r>
        <w:t>Заключение</w:t>
      </w:r>
    </w:p>
    <w:p w:rsidR="00E075E3" w:rsidRDefault="001E27D8">
      <w:pPr>
        <w:pStyle w:val="a3"/>
      </w:pPr>
      <w:r>
        <w:t>Внесение шрота, осветленных и неосветленных свекловичных волокон в количестве 20.0% с заменой пшеничной муки приводит к снижению количества сырой клейковины и некоторому ее укреплению. Присутствие добавок в количестве 5.0% с заменой пшеничной муки способствует незначительному повышению водопоглотительной способности и времени образования теста, а также сокращению устойчивости. Увеличение количества добавок до 20.0% приводит к существенному изменению этих структурно-механических характеристик теста за счет снижения количества клейковины, а также изменения в нем соотношения крахмальных и некрахмальных полисахаридов по сравнению с контрольным образцом, что согласуется с данными, имеющимися в литературе [6, 8].</w:t>
      </w:r>
    </w:p>
    <w:p w:rsidR="00E075E3" w:rsidRDefault="001E27D8">
      <w:pPr>
        <w:pStyle w:val="a3"/>
      </w:pPr>
      <w:r>
        <w:t>Увеличение водопоглатительной способности пшеничной муки с исследуемыми добавками указывают на необходимость корректировки количества рецептурных компонентов и воды, необходимых для получения теста с заданными структурно-механическими свойствами.</w:t>
      </w:r>
    </w:p>
    <w:p w:rsidR="00E075E3" w:rsidRDefault="001E27D8">
      <w:pPr>
        <w:pStyle w:val="a3"/>
      </w:pPr>
      <w:r>
        <w:t>Введение исследуемых добавок в количестве 5.0-20.0% с заменой пшеничной муки способствует уменьшению показателей максимальной вязкости, а также времени и температуры клейстеризации крахмала, что связано с трансформацией углеводно-амилазного комплекса тестовой системы. Снижение температуры клейстеризации крахмала в присутствии добавок способствует замедлению его ретроградации, кроме того некрахмальные полисахариды способны к дополнительному связыванию воды в системе, что является предпосылкой к торможению процессов черствения выпеченных мучных изделий.</w:t>
      </w:r>
    </w:p>
    <w:p w:rsidR="00E075E3" w:rsidRDefault="001E27D8">
      <w:pPr>
        <w:pStyle w:val="a3"/>
      </w:pPr>
      <w:r>
        <w:t>Список литературы</w:t>
      </w:r>
    </w:p>
    <w:p w:rsidR="00E075E3" w:rsidRDefault="001E27D8">
      <w:pPr>
        <w:pStyle w:val="a3"/>
      </w:pPr>
      <w:r>
        <w:t>Технолопчт аспекти створення хлiбобулочних i кондитерських виробiв спещального призна- чення / Г.М. Лисюк, С.Г. Олшник, О.В. Самохвалова, З.1. Кучерук // Харчова наука i технолопя. - 2009. - № 1(6). - С. 25-30.</w:t>
      </w:r>
    </w:p>
    <w:p w:rsidR="00E075E3" w:rsidRDefault="001E27D8">
      <w:pPr>
        <w:pStyle w:val="a3"/>
      </w:pPr>
      <w:r>
        <w:t>Самохвалова О.В., Касабова К.Р. Збагачення мафшв харчовими волокнами // Науковi пращ ОНАХТ. зб. наук. пр. / Одеська нащональна академ1я харчових технологш. - Одеса, 2011. - Вип. 40. - Т. 1. Техн. науки. - С. 161-163.</w:t>
      </w:r>
    </w:p>
    <w:p w:rsidR="00E075E3" w:rsidRDefault="001E27D8">
      <w:pPr>
        <w:pStyle w:val="a3"/>
      </w:pPr>
      <w:r>
        <w:t>Самохвалова О.В., Касабова К.Р., Олшник С.Г. Використання дieтичноi добавки «Шрот зародюв пшенищ харчовий» у технологи бюкштного натвфабрикату / / Прогресивн техшка та технологи харчових виробництв ресторанного господарства i торгiвлi : зб. наук. пр. / Харк. держ. ун-т харчування та торпвль - Х., 2011. - Вип. 2 (14). - С. 255-261.</w:t>
      </w:r>
    </w:p>
    <w:p w:rsidR="00E075E3" w:rsidRDefault="001E27D8">
      <w:pPr>
        <w:pStyle w:val="a3"/>
      </w:pPr>
      <w:r>
        <w:t>Використання дieтичноi добавки «Шрот зародюв пшенищ харчовий» для шдвищення харчовоi щнност пшеничного хлiба / О.1. Кравченко, Г.М. Лисюк, С.Г. Олшник, П.О. Карпенко // Науковi пращ ОНАХТ : зб. наук. пр. / Одес. нац. акад. харч. техн. - Одеса, 2010. - Вип. 38. - Т.1. - С. 195-200.</w:t>
      </w:r>
    </w:p>
    <w:p w:rsidR="00E075E3" w:rsidRDefault="001E27D8">
      <w:pPr>
        <w:pStyle w:val="a3"/>
      </w:pPr>
      <w:r>
        <w:t>Дудкин М.С., Щелкунов Л.Ф. Новые продукты питания. - М. : Наука, 1998. - 304 с.</w:t>
      </w:r>
    </w:p>
    <w:p w:rsidR="00E075E3" w:rsidRDefault="001E27D8">
      <w:pPr>
        <w:pStyle w:val="a3"/>
      </w:pPr>
      <w:r>
        <w:t>1нновацшт технологи виробництва харчовоi продукци масового споживання / П.П. Пивоваров, О.О. Гринченко, В.М. Михайлов та ш. ; за заг. ред. П.П. Пивоварова; Харк. держ. ун-т харч. та торпвль - Х., 2011. - 444 с.</w:t>
      </w:r>
    </w:p>
    <w:p w:rsidR="00E075E3" w:rsidRDefault="001E27D8">
      <w:pPr>
        <w:pStyle w:val="a3"/>
      </w:pPr>
      <w:r>
        <w:t>The pasting behavior and freeze-thaw stability of native starch and native-xanthan gym pastes / C.S. Brennan, C.K. Tan, V. Kuri, C.M. Tudorika // International Journal of food Science &amp; Technology. - 2004. - №10. - Vol. 39. -Pp. 1017-1022.</w:t>
      </w:r>
    </w:p>
    <w:p w:rsidR="00E075E3" w:rsidRDefault="001E27D8">
      <w:pPr>
        <w:pStyle w:val="a3"/>
      </w:pPr>
      <w:r>
        <w:t>Влияние генов wx на хлебопекарные качества мягкой пшеницы / Т.А. Рыжкова, М.Ю. Третьяков, И.П. Моторина, В.П. Нецветаев // Достижение науки и техники АПК. - 2012. - № 4. - С. 21-23.</w:t>
      </w:r>
      <w:bookmarkStart w:id="0" w:name="_GoBack"/>
      <w:bookmarkEnd w:id="0"/>
    </w:p>
    <w:sectPr w:rsidR="00E075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7D8"/>
    <w:rsid w:val="001E27D8"/>
    <w:rsid w:val="00361410"/>
    <w:rsid w:val="00E0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47A61-DDBC-455D-BCF2-8B70D2D7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2681</Words>
  <Characters>15285</Characters>
  <Application>Microsoft Office Word</Application>
  <DocSecurity>0</DocSecurity>
  <Lines>127</Lines>
  <Paragraphs>35</Paragraphs>
  <ScaleCrop>false</ScaleCrop>
  <Company>diakov.net</Company>
  <LinksUpToDate>false</LinksUpToDate>
  <CharactersWithSpaces>17931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Влияния добавок, содержащих пищевые волокна, на хлебопекарные свойства пшеничной муки</dc:title>
  <dc:subject/>
  <dc:creator>Irina</dc:creator>
  <cp:keywords/>
  <dc:description/>
  <cp:lastModifiedBy>Irina</cp:lastModifiedBy>
  <cp:revision>2</cp:revision>
  <dcterms:created xsi:type="dcterms:W3CDTF">2014-08-02T19:49:00Z</dcterms:created>
  <dcterms:modified xsi:type="dcterms:W3CDTF">2014-08-02T19:49:00Z</dcterms:modified>
</cp:coreProperties>
</file>