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B" w:rsidRDefault="00383738">
      <w:pPr>
        <w:pStyle w:val="1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Розподіл заробітку в умовах колективної оплати праці. Контрактна система оплати праці.</w:t>
      </w:r>
    </w:p>
    <w:p w:rsidR="00CF348B" w:rsidRDefault="00CF348B">
      <w:pPr>
        <w:pStyle w:val="1"/>
        <w:spacing w:line="360" w:lineRule="auto"/>
        <w:ind w:firstLine="0"/>
        <w:rPr>
          <w:sz w:val="28"/>
        </w:rPr>
      </w:pPr>
    </w:p>
    <w:p w:rsidR="00CF348B" w:rsidRDefault="00383738">
      <w:pPr>
        <w:pStyle w:val="1"/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Планування фонду оплати праці на підприємстві.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b/>
          <w:sz w:val="28"/>
        </w:rPr>
        <w:t>Система участі в прибутках</w:t>
      </w:r>
      <w:r>
        <w:rPr>
          <w:sz w:val="28"/>
        </w:rPr>
        <w:t>.</w:t>
      </w:r>
    </w:p>
    <w:p w:rsidR="00CF348B" w:rsidRDefault="00CF348B">
      <w:pPr>
        <w:pStyle w:val="1"/>
        <w:spacing w:line="360" w:lineRule="auto"/>
        <w:ind w:firstLine="720"/>
        <w:rPr>
          <w:sz w:val="28"/>
        </w:rPr>
      </w:pP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Участь у прибутках (доходах) або стимулювання персоналу через прибутки полягає у розподіленні певної їх частини між працівниками підприємства. Таке розподілення може бути терміновим (наприклад, щомісячні виплати), а також може приймати форму грошових виплат або виступати у формі розповсюдження між працівниками акцій підприємства.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Розповсюдження різних форм участі у прибутках виходить з того, що навіть найдосконаліші системи індивідуальної або колективної оплати праці не завжди здатні спричинювати на підприємстві справжнє бажання бути співпричетним до  стабільно високих загальних результатів діяльності. Справедливий, чіткий і зрозумілий Для всіх розподіл частини прибутків між "економічними агентами"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власником, адміністрацією, спеціалістами і робітниками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все більше стає основою не тільки належного   соціально-психологічного   клімату,   але   й процвітання будь-якого підприємства (фірми).</w:t>
      </w:r>
    </w:p>
    <w:p w:rsidR="00CF348B" w:rsidRDefault="00383738">
      <w:pPr>
        <w:pStyle w:val="1"/>
        <w:spacing w:line="360" w:lineRule="auto"/>
        <w:ind w:firstLine="720"/>
        <w:rPr>
          <w:noProof/>
          <w:sz w:val="28"/>
        </w:rPr>
      </w:pPr>
      <w:r>
        <w:rPr>
          <w:sz w:val="28"/>
        </w:rPr>
        <w:t>Додаткові виплати з прибутків залежать від багатьох обставин, включаючи зокрема рівень витрат на виробництво  цін,  конкурентні  позиції  та  фінансову  ситуацію підприємства тощо. їх розміри визначаються окремою Угодою, що укладається між відповідними сторонами у Рамках проведення колективних переговорів на підприємстві ~ як правило,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укладанні тарифних угод системи участі у прибутках диференціюються в залежності від показників та засобів мотивації (рис.</w:t>
      </w:r>
      <w:r>
        <w:rPr>
          <w:noProof/>
          <w:sz w:val="28"/>
        </w:rPr>
        <w:t xml:space="preserve"> 1.).</w:t>
      </w:r>
    </w:p>
    <w:p w:rsidR="00CF348B" w:rsidRDefault="00383738">
      <w:pPr>
        <w:pStyle w:val="1"/>
        <w:spacing w:line="360" w:lineRule="auto"/>
        <w:ind w:firstLine="720"/>
        <w:rPr>
          <w:noProof/>
          <w:sz w:val="28"/>
        </w:rPr>
      </w:pPr>
      <w:r>
        <w:rPr>
          <w:noProof/>
          <w:sz w:val="28"/>
        </w:rPr>
        <w:br w:type="page"/>
      </w:r>
    </w:p>
    <w:p w:rsidR="00CF348B" w:rsidRDefault="001C7D73">
      <w:pPr>
        <w:pStyle w:val="1"/>
        <w:spacing w:line="360" w:lineRule="auto"/>
        <w:ind w:firstLine="720"/>
        <w:rPr>
          <w:noProof/>
          <w:sz w:val="28"/>
        </w:rPr>
      </w:pPr>
      <w:r>
        <w:rPr>
          <w:noProof/>
          <w:snapToGrid/>
          <w:sz w:val="28"/>
        </w:rPr>
        <w:pict>
          <v:group id="_x0000_s1026" style="position:absolute;left:0;text-align:left;margin-left:8.1pt;margin-top:-37.65pt;width:439.2pt;height:6in;z-index:251657728" coordorigin="1584,2016" coordsize="8784,86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96;top:2088;width:2592;height:1008">
              <v:textbox>
                <w:txbxContent>
                  <w:p w:rsidR="00CF348B" w:rsidRDefault="0038373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Системи стимулювання конкретних обсягів робіт, об’ємів продаж та ін.</w:t>
                    </w:r>
                  </w:p>
                </w:txbxContent>
              </v:textbox>
            </v:shape>
            <v:shape id="_x0000_s1028" type="#_x0000_t202" style="position:absolute;left:5328;top:2016;width:1872;height:1152">
              <v:textbox>
                <w:txbxContent>
                  <w:p w:rsidR="00CF348B" w:rsidRDefault="0038373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Системи участі в прибутках в залежності від продуктивності</w:t>
                    </w:r>
                  </w:p>
                </w:txbxContent>
              </v:textbox>
            </v:shape>
            <v:shape id="_x0000_s1029" type="#_x0000_t202" style="position:absolute;left:8208;top:2016;width:1440;height:1008">
              <v:textbox style="mso-next-textbox:#_x0000_s1029">
                <w:txbxContent>
                  <w:p w:rsidR="00CF348B" w:rsidRDefault="0038373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Системи преміальних виплат</w:t>
                    </w:r>
                  </w:p>
                </w:txbxContent>
              </v:textbox>
            </v:shape>
            <v:shape id="_x0000_s1030" type="#_x0000_t202" style="position:absolute;left:8784;top:5760;width:1584;height:864">
              <v:textbox>
                <w:txbxContent>
                  <w:p w:rsidR="00CF348B" w:rsidRDefault="0038373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Системи колективного стимулювання</w:t>
                    </w:r>
                  </w:p>
                </w:txbxContent>
              </v:textbox>
            </v:shape>
            <v:shape id="_x0000_s1031" type="#_x0000_t202" style="position:absolute;left:1584;top:5760;width:1584;height:864">
              <v:textbox>
                <w:txbxContent>
                  <w:p w:rsidR="00CF348B" w:rsidRDefault="0038373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Системи оцінки заслуг</w:t>
                    </w:r>
                  </w:p>
                </w:txbxContent>
              </v:textbox>
            </v:shap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32" type="#_x0000_t10" style="position:absolute;left:4968;top:5256;width:2016;height:1872" adj="4393">
              <v:textbox>
                <w:txbxContent>
                  <w:p w:rsidR="00CF348B" w:rsidRDefault="00383738">
                    <w:pPr>
                      <w:jc w:val="center"/>
                      <w:rPr>
                        <w:b/>
                        <w:sz w:val="24"/>
                        <w:lang w:val="uk-UA"/>
                      </w:rPr>
                    </w:pPr>
                    <w:r>
                      <w:rPr>
                        <w:b/>
                        <w:sz w:val="24"/>
                        <w:lang w:val="uk-UA"/>
                      </w:rPr>
                      <w:t>Участь працівників у прибутках підприємств</w:t>
                    </w:r>
                  </w:p>
                </w:txbxContent>
              </v:textbox>
            </v:shape>
            <v:shape id="_x0000_s1033" type="#_x0000_t202" style="position:absolute;left:4176;top:7920;width:3600;height:576">
              <v:textbox>
                <w:txbxContent>
                  <w:p w:rsidR="00CF348B" w:rsidRDefault="00383738">
                    <w:pPr>
                      <w:pStyle w:val="FR1"/>
                      <w:widowControl/>
                      <w:rPr>
                        <w:snapToGrid/>
                        <w:lang w:val="uk-UA"/>
                      </w:rPr>
                    </w:pPr>
                    <w:r>
                      <w:rPr>
                        <w:snapToGrid/>
                        <w:lang w:val="uk-UA"/>
                      </w:rPr>
                      <w:t>На основі відносин власності</w:t>
                    </w:r>
                  </w:p>
                </w:txbxContent>
              </v:textbox>
            </v:shape>
            <v:shape id="_x0000_s1034" type="#_x0000_t202" style="position:absolute;left:1728;top:9648;width:2160;height:864">
              <v:textbox>
                <w:txbxContent>
                  <w:p w:rsidR="00CF348B" w:rsidRDefault="0038373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Системи надання працівникам акцій “своїх” підприємств</w:t>
                    </w:r>
                  </w:p>
                </w:txbxContent>
              </v:textbox>
            </v:shape>
            <v:shape id="_x0000_s1035" type="#_x0000_t202" style="position:absolute;left:4752;top:9504;width:2448;height:1152">
              <v:textbox>
                <w:txbxContent>
                  <w:p w:rsidR="00CF348B" w:rsidRDefault="0038373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Системи співволодіння активами підприємства за посередництвом інвестиційних фондів</w:t>
                    </w:r>
                  </w:p>
                </w:txbxContent>
              </v:textbox>
            </v:shape>
            <v:shape id="_x0000_s1036" type="#_x0000_t202" style="position:absolute;left:8208;top:9648;width:2016;height:864">
              <v:textbox>
                <w:txbxContent>
                  <w:p w:rsidR="00CF348B" w:rsidRDefault="0038373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Системи розповсюдження опціонів акцій</w:t>
                    </w:r>
                  </w:p>
                </w:txbxContent>
              </v:textbox>
            </v:shape>
            <v:line id="_x0000_s1037" style="position:absolute;flip:y" from="6480,2880" to="8208,3888">
              <v:stroke endarrow="block"/>
            </v:line>
            <v:line id="_x0000_s1038" style="position:absolute;flip:y" from="6192,3168" to="6192,3888">
              <v:stroke endarrow="block"/>
            </v:line>
            <v:line id="_x0000_s1039" style="position:absolute;flip:x y" from="3888,3168" to="5760,3888">
              <v:stroke endarrow="block"/>
            </v:lin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0" type="#_x0000_t68" style="position:absolute;left:5472;top:4752;width:1008;height:288" adj="21400,3150" fillcolor="#330"/>
            <v:shape id="_x0000_s1041" type="#_x0000_t68" style="position:absolute;left:5471;top:7344;width:1008;height:288;rotation:11840610fd" adj="21400,3150" fillcolor="#330"/>
            <v:line id="_x0000_s1042" style="position:absolute" from="7632,4320" to="9504,4320"/>
            <v:line id="_x0000_s1043" style="position:absolute;flip:x" from="2592,4320" to="4320,4320"/>
            <v:shape id="_x0000_s1044" type="#_x0000_t202" style="position:absolute;left:4248;top:3888;width:3456;height:720">
              <v:textbox>
                <w:txbxContent>
                  <w:p w:rsidR="00CF348B" w:rsidRDefault="00383738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sz w:val="24"/>
                        <w:lang w:val="uk-UA"/>
                      </w:rPr>
                      <w:t>За результатами загальної діяльності підприємства</w:t>
                    </w:r>
                  </w:p>
                </w:txbxContent>
              </v:textbox>
            </v:shape>
            <v:line id="_x0000_s1045" style="position:absolute" from="2592,4320" to="2592,5760">
              <v:stroke endarrow="block"/>
            </v:line>
            <v:line id="_x0000_s1046" style="position:absolute" from="9504,4320" to="9504,5760">
              <v:stroke endarrow="block"/>
            </v:line>
            <v:line id="_x0000_s1047" style="position:absolute;flip:x" from="2880,8496" to="5184,9648">
              <v:stroke endarrow="block"/>
            </v:line>
            <v:line id="_x0000_s1048" style="position:absolute" from="5904,8496" to="5904,9504">
              <v:stroke endarrow="block"/>
            </v:line>
            <v:line id="_x0000_s1049" style="position:absolute" from="6768,8496" to="9072,9648">
              <v:stroke endarrow="block"/>
            </v:line>
          </v:group>
        </w:pict>
      </w: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CF348B">
      <w:pPr>
        <w:pStyle w:val="1"/>
        <w:spacing w:line="360" w:lineRule="auto"/>
        <w:ind w:firstLine="720"/>
        <w:rPr>
          <w:noProof/>
          <w:sz w:val="28"/>
        </w:rPr>
      </w:pP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Рис. 1. Класифікація систем участі у прибутках працівників підприємств.</w:t>
      </w:r>
    </w:p>
    <w:p w:rsidR="00CF348B" w:rsidRDefault="00CF348B">
      <w:pPr>
        <w:pStyle w:val="1"/>
        <w:spacing w:line="360" w:lineRule="auto"/>
        <w:ind w:firstLine="0"/>
        <w:rPr>
          <w:sz w:val="28"/>
        </w:rPr>
      </w:pP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  <w:lang w:val="ru-RU"/>
        </w:rPr>
        <w:t>При</w:t>
      </w:r>
      <w:r>
        <w:rPr>
          <w:sz w:val="28"/>
        </w:rPr>
        <w:t xml:space="preserve"> конструюванні тієї чи іншої системи участі, що базується на показникові прибутку, слід враховувати труднощі визначення зв'язку між його зростанням та внеском конкретного працівника. Ось чому часто-густо впроваджуються системи мотивації, що пов'язуються з результатами   безпосередньої   виробничої   діяльності (економія ресурсів, зростання обсягу продаж та ін.). Тим самим системи участі у прибутках трансформуються у системи участі у результатах.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Система оцінки заслуг передбачає оцінювання зусиль та поведінки працівника за рядом факторів. Для кожного фактору визначається система балів і для розрахунків оцінки на різних рівнях встановлюються відповідні норми. Періодично розраховується показник діяльності працівника, а підсумкові результати визначають відповідний рівень додаткового,   понад   заробітну</w:t>
      </w:r>
      <w:r>
        <w:rPr>
          <w:sz w:val="28"/>
          <w:lang w:val="ru-RU"/>
        </w:rPr>
        <w:t xml:space="preserve">   плату   за</w:t>
      </w:r>
      <w:r>
        <w:rPr>
          <w:sz w:val="28"/>
        </w:rPr>
        <w:t xml:space="preserve">   тарифом, винагородження.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Системи стимулювання конкретних обсягів продукції, робіт, обсягів продаж тощо найбільш вдало застосовуються У більш-менш автономних структурах,  з  кінцевими результатами діяльності.  Такі  структури наділяються власним бюджетом, що є пропорційним, наприклад, обсягу продаж продукції. Таким чином персонал встановлює для бе прямий зв'язок між ефективністю праці підприємства на ринку, тобто його процвітанням, прибутковістю.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 xml:space="preserve">Системи розподілу прибутку, обумовленого зростанням "родуктивності, проектують таким чином, щоб зменшити "втомі  витрати  шляхом  заохочення   більш   високої результативносгі праці без підвищення постійних витрат, що "овязані зі збільшенням трудомісткості. Одна з найбільш адмих і в той же час простих систем базується на Значенні так званого "загального коефіцієнту". Останній розраховується як співвідношення сукупних витрат робочу силу та обсягу продукції, що реалізується. Це співвідношення,   що   є   стабільним,   наприклад,   на підприємствах більшості галузей обробної промисловості, приймається як базовий рівень коефіцієнту. Використовуючи цей базовий коефіцієнт і враховуючи обсяг продукції, ще реалізується за конкретний період, знаходять припустимі витрати-на робочу силу. Потім ці витрати порівнюють з фактичною заробітною платою. Якщо фактичні витрати нижче припустимих, виплачується премія персоналу на рівні </w:t>
      </w:r>
      <w:r>
        <w:rPr>
          <w:noProof/>
          <w:sz w:val="28"/>
        </w:rPr>
        <w:t>40-75%</w:t>
      </w:r>
      <w:r>
        <w:rPr>
          <w:sz w:val="28"/>
        </w:rPr>
        <w:t xml:space="preserve"> від отриманої економії (зростання прибутку). Решта  використовується  на  заміщення  авансованого капіталу, розвиток підприємства, експлуатаційні витрати тощо.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Що стосується систем преміальних виплат, то розмір премій повинен ув'язуватись не з рівнем основної заробітної плати, а з конкретним прогресом у діяльності підприємства та  більш-менш точним  виявленням  внеску  кожного працівника у загальну справу.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Участь у прибутках широко розповсюджена, наприклад, у Японії. Саме вона слугує однією з причин високого рівня трудової</w:t>
      </w:r>
      <w:r>
        <w:rPr>
          <w:sz w:val="28"/>
          <w:lang w:val="ru-RU"/>
        </w:rPr>
        <w:t xml:space="preserve"> мотивами </w:t>
      </w:r>
      <w:r>
        <w:rPr>
          <w:sz w:val="28"/>
        </w:rPr>
        <w:t>працівників   та   конкурентоспроможності вироблюваної продукції. Окрім щомісячних премій   різного   характеру,   постійним працівникам     більшості     підприємств виплачується два рази на рік з частки прибутку так званий</w:t>
      </w:r>
      <w:r>
        <w:rPr>
          <w:sz w:val="28"/>
          <w:lang w:val="ru-RU"/>
        </w:rPr>
        <w:t xml:space="preserve"> бонус. В</w:t>
      </w:r>
      <w:r>
        <w:rPr>
          <w:sz w:val="28"/>
        </w:rPr>
        <w:t xml:space="preserve"> середньому він складає більш як</w:t>
      </w:r>
      <w:r>
        <w:rPr>
          <w:noProof/>
          <w:sz w:val="28"/>
        </w:rPr>
        <w:t xml:space="preserve"> 1/4</w:t>
      </w:r>
      <w:r>
        <w:rPr>
          <w:sz w:val="28"/>
        </w:rPr>
        <w:t xml:space="preserve"> заробітку, а в сприятливі для підприємства роки сягає шестимісячної основної заробітної плати працівника.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Системи колективного стимулювання застосовуються, як правило, тоді, коли заохочення працівників через їх участь у прибутках стає можливим тільки на груповій основі.</w:t>
      </w:r>
      <w:r>
        <w:rPr>
          <w:sz w:val="28"/>
          <w:lang w:val="ru-RU"/>
        </w:rPr>
        <w:t xml:space="preserve"> При </w:t>
      </w:r>
      <w:r>
        <w:rPr>
          <w:sz w:val="28"/>
        </w:rPr>
        <w:t>цьому груповий</w:t>
      </w:r>
      <w:r>
        <w:rPr>
          <w:sz w:val="28"/>
          <w:lang w:val="ru-RU"/>
        </w:rPr>
        <w:t xml:space="preserve"> бонус у</w:t>
      </w:r>
      <w:r>
        <w:rPr>
          <w:sz w:val="28"/>
        </w:rPr>
        <w:t xml:space="preserve"> більшості випадків розподіляється у тій же пропорції, що й основна заробітна плата. Перевага такого підходу</w:t>
      </w:r>
      <w:r>
        <w:rPr>
          <w:sz w:val="28"/>
          <w:lang w:val="ru-RU"/>
        </w:rPr>
        <w:t xml:space="preserve"> (при</w:t>
      </w:r>
      <w:r>
        <w:rPr>
          <w:sz w:val="28"/>
        </w:rPr>
        <w:t xml:space="preserve"> певних недоліках) полягає в тому, що за скрутних обставин у групі гарантується відносно справедливий розподіл обсягу робіт.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Більш стійка зацікавленість працівників у діяльності підприємств, особливо в обновлюванні виробництва та зміцненні фінансового стану, забезпечується через їх участь у власності. Вона реалізується головним чином шляхом надання працівникам акцій "своїх" підприємств. Володіння робітниками та службовцями акціями має на меті більше, ніж участь у прибутках через отримання відповідних дивідендів. Це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система не тільки "ідентифікації інтересів" працівників і підприємства, але й мобілізації особистих збережень громадян для інвестування у виробництво.</w:t>
      </w:r>
    </w:p>
    <w:p w:rsidR="00CF348B" w:rsidRDefault="00383738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Розповсюдження різних форм участі в капіталі у країнах з розвинутою ринковою економікою реалізується досить суперечливо і далеко не такими темпами, якими вони бачились ще</w:t>
      </w:r>
      <w:r>
        <w:rPr>
          <w:noProof/>
          <w:sz w:val="28"/>
        </w:rPr>
        <w:t xml:space="preserve"> 30-40</w:t>
      </w:r>
      <w:r>
        <w:rPr>
          <w:sz w:val="28"/>
        </w:rPr>
        <w:t xml:space="preserve"> років тому. Проте, наприклад,   у   Великобританії   кількість власників   акцій   впродовж   80-х   років збільшилась   утричі   і   у</w:t>
      </w:r>
      <w:r>
        <w:rPr>
          <w:noProof/>
          <w:sz w:val="28"/>
        </w:rPr>
        <w:t xml:space="preserve">   1990</w:t>
      </w:r>
      <w:r>
        <w:rPr>
          <w:sz w:val="28"/>
        </w:rPr>
        <w:t xml:space="preserve">   році перевищувала</w:t>
      </w:r>
      <w:r>
        <w:rPr>
          <w:noProof/>
          <w:sz w:val="28"/>
        </w:rPr>
        <w:t xml:space="preserve"> 8</w:t>
      </w:r>
      <w:r>
        <w:rPr>
          <w:sz w:val="28"/>
          <w:lang w:val="ru-RU"/>
        </w:rPr>
        <w:t xml:space="preserve"> млн.</w:t>
      </w:r>
      <w:r>
        <w:rPr>
          <w:sz w:val="28"/>
        </w:rPr>
        <w:t xml:space="preserve"> (близько</w:t>
      </w:r>
      <w:r>
        <w:rPr>
          <w:noProof/>
          <w:sz w:val="28"/>
        </w:rPr>
        <w:t xml:space="preserve"> 20%</w:t>
      </w:r>
      <w:r>
        <w:rPr>
          <w:sz w:val="28"/>
        </w:rPr>
        <w:t xml:space="preserve"> дорослого населення).</w:t>
      </w:r>
    </w:p>
    <w:p w:rsidR="00CF348B" w:rsidRDefault="00CF348B">
      <w:pPr>
        <w:spacing w:line="360" w:lineRule="auto"/>
        <w:ind w:firstLine="720"/>
        <w:jc w:val="both"/>
        <w:rPr>
          <w:sz w:val="28"/>
        </w:rPr>
      </w:pPr>
      <w:bookmarkStart w:id="0" w:name="_GoBack"/>
      <w:bookmarkEnd w:id="0"/>
    </w:p>
    <w:sectPr w:rsidR="00CF348B">
      <w:type w:val="oddPage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B452E"/>
    <w:multiLevelType w:val="multilevel"/>
    <w:tmpl w:val="49FC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738"/>
    <w:rsid w:val="001C7D73"/>
    <w:rsid w:val="00383738"/>
    <w:rsid w:val="00C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81DCF80D-FB50-4B84-882C-9D90B5C8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340" w:lineRule="auto"/>
      <w:ind w:firstLine="400"/>
      <w:jc w:val="both"/>
    </w:pPr>
    <w:rPr>
      <w:snapToGrid w:val="0"/>
      <w:lang w:val="uk-UA" w:eastAsia="uk-UA"/>
    </w:rPr>
  </w:style>
  <w:style w:type="paragraph" w:customStyle="1" w:styleId="FR1">
    <w:name w:val="FR1"/>
    <w:pPr>
      <w:widowControl w:val="0"/>
    </w:pPr>
    <w:rPr>
      <w:snapToGrid w:val="0"/>
      <w:sz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6106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2014-08-19T15:22:00Z</dcterms:created>
  <dcterms:modified xsi:type="dcterms:W3CDTF">2014-08-19T15:22:00Z</dcterms:modified>
  <cp:category>Економіка. Банківська справа</cp:category>
</cp:coreProperties>
</file>