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B8D" w:rsidRDefault="002B3B8D">
      <w:pPr>
        <w:rPr>
          <w:b/>
          <w:spacing w:val="0"/>
          <w:sz w:val="32"/>
          <w:szCs w:val="32"/>
        </w:rPr>
      </w:pPr>
      <w:r w:rsidRPr="002B3B8D">
        <w:rPr>
          <w:b/>
          <w:spacing w:val="0"/>
          <w:sz w:val="32"/>
          <w:szCs w:val="32"/>
        </w:rPr>
        <w:t>Содержание:</w:t>
      </w:r>
    </w:p>
    <w:p w:rsidR="002B3B8D" w:rsidRPr="002B3B8D" w:rsidRDefault="002B3B8D" w:rsidP="002B3B8D">
      <w:pPr>
        <w:rPr>
          <w:spacing w:val="0"/>
        </w:rPr>
      </w:pPr>
      <w:r w:rsidRPr="002B3B8D">
        <w:rPr>
          <w:spacing w:val="0"/>
        </w:rPr>
        <w:t>1.Единый налог на вмененный доход: налогоплательщики, основные понятия, связанные с данным налогом, объект налогообложения, налоговый период, порядок исчисления и уплаты…………………...…………………..2-18</w:t>
      </w:r>
    </w:p>
    <w:p w:rsidR="002B3B8D" w:rsidRPr="002B3B8D" w:rsidRDefault="002B3B8D" w:rsidP="002B3B8D">
      <w:pPr>
        <w:rPr>
          <w:spacing w:val="0"/>
        </w:rPr>
      </w:pPr>
      <w:r w:rsidRPr="002B3B8D">
        <w:rPr>
          <w:spacing w:val="0"/>
        </w:rPr>
        <w:t>2.Порядок уплаты государственной пошлины……………………………..19-20</w:t>
      </w:r>
    </w:p>
    <w:p w:rsidR="002B3B8D" w:rsidRPr="002B3B8D" w:rsidRDefault="002B3B8D" w:rsidP="002B3B8D">
      <w:pPr>
        <w:rPr>
          <w:spacing w:val="0"/>
        </w:rPr>
      </w:pPr>
      <w:r w:rsidRPr="002B3B8D">
        <w:rPr>
          <w:spacing w:val="0"/>
        </w:rPr>
        <w:t>3.Задача…………………………………………………………………………...21</w:t>
      </w:r>
    </w:p>
    <w:p w:rsidR="002B3B8D" w:rsidRPr="002B3B8D" w:rsidRDefault="002B3B8D" w:rsidP="002B3B8D">
      <w:pPr>
        <w:rPr>
          <w:spacing w:val="0"/>
        </w:rPr>
      </w:pPr>
      <w:r w:rsidRPr="002B3B8D">
        <w:rPr>
          <w:spacing w:val="0"/>
        </w:rPr>
        <w:t>4.Тест…………………………………………………………………………..…22</w:t>
      </w:r>
    </w:p>
    <w:p w:rsidR="00C230E8" w:rsidRPr="00705BC8" w:rsidRDefault="002B3B8D">
      <w:pPr>
        <w:rPr>
          <w:b/>
          <w:spacing w:val="0"/>
        </w:rPr>
      </w:pPr>
      <w:r w:rsidRPr="002B3B8D">
        <w:rPr>
          <w:spacing w:val="0"/>
        </w:rPr>
        <w:t>Список используемой литературы………………………………………</w:t>
      </w:r>
      <w:r>
        <w:rPr>
          <w:spacing w:val="0"/>
        </w:rPr>
        <w:t>……..</w:t>
      </w:r>
      <w:r w:rsidRPr="002B3B8D">
        <w:rPr>
          <w:spacing w:val="0"/>
        </w:rPr>
        <w:t>.23</w:t>
      </w:r>
      <w:r w:rsidRPr="002B3B8D">
        <w:rPr>
          <w:spacing w:val="0"/>
          <w:sz w:val="32"/>
          <w:szCs w:val="32"/>
        </w:rPr>
        <w:br w:type="page"/>
      </w:r>
      <w:r w:rsidR="00C230E8" w:rsidRPr="00705BC8">
        <w:rPr>
          <w:b/>
          <w:spacing w:val="0"/>
        </w:rPr>
        <w:t>1.Единый налог на вмененный доход: налогоплательщики, основные понятия, связанные с данным налогом, объект налогообложения, налоговый период, порядок исчисления и уплаты.</w:t>
      </w:r>
    </w:p>
    <w:p w:rsidR="00C230E8" w:rsidRPr="002B3B8D" w:rsidRDefault="00C230E8" w:rsidP="00C230E8">
      <w:pPr>
        <w:spacing w:before="100" w:beforeAutospacing="1" w:after="100" w:afterAutospacing="1"/>
        <w:rPr>
          <w:spacing w:val="0"/>
          <w:u w:val="single"/>
        </w:rPr>
      </w:pPr>
      <w:r w:rsidRPr="00705BC8">
        <w:rPr>
          <w:b/>
          <w:bCs/>
          <w:spacing w:val="0"/>
        </w:rPr>
        <w:t>Единый налог на вменённый доход</w:t>
      </w:r>
      <w:r w:rsidRPr="00705BC8">
        <w:rPr>
          <w:spacing w:val="0"/>
        </w:rPr>
        <w:t xml:space="preserve"> (</w:t>
      </w:r>
      <w:r w:rsidRPr="00705BC8">
        <w:rPr>
          <w:b/>
          <w:bCs/>
          <w:spacing w:val="0"/>
        </w:rPr>
        <w:t>ЕНВД</w:t>
      </w:r>
      <w:r w:rsidRPr="00705BC8">
        <w:rPr>
          <w:spacing w:val="0"/>
        </w:rPr>
        <w:t xml:space="preserve">) — </w:t>
      </w:r>
      <w:hyperlink r:id="rId7" w:tooltip="Налог" w:history="1">
        <w:r w:rsidRPr="00705BC8">
          <w:rPr>
            <w:spacing w:val="0"/>
          </w:rPr>
          <w:t>налог</w:t>
        </w:r>
      </w:hyperlink>
      <w:r w:rsidRPr="00705BC8">
        <w:rPr>
          <w:spacing w:val="0"/>
        </w:rPr>
        <w:t xml:space="preserve">, вводится в действие законами муниципальных районов, городских округов, городов, применяется наряду с общей системой налогообложения и распространяется только на определенные виды деятельности. ЕНВД заменяет уплату ряда налогов и сборов, до 2010 года существенно сокращал и упрощал контакты с </w:t>
      </w:r>
      <w:r w:rsidRPr="002B3B8D">
        <w:rPr>
          <w:spacing w:val="0"/>
        </w:rPr>
        <w:t xml:space="preserve">фискальными службами, подобные контакты наиболее затраты для особо </w:t>
      </w:r>
      <w:hyperlink r:id="rId8" w:tooltip="Малый бизнес" w:history="1">
        <w:r w:rsidRPr="002B3B8D">
          <w:rPr>
            <w:spacing w:val="0"/>
          </w:rPr>
          <w:t>малого бизнеса</w:t>
        </w:r>
      </w:hyperlink>
      <w:r w:rsidRPr="002B3B8D">
        <w:rPr>
          <w:spacing w:val="0"/>
        </w:rPr>
        <w:t>.</w:t>
      </w:r>
    </w:p>
    <w:p w:rsidR="00C230E8" w:rsidRPr="002B3B8D" w:rsidRDefault="00C230E8" w:rsidP="00C230E8">
      <w:pPr>
        <w:spacing w:before="100" w:beforeAutospacing="1" w:after="100" w:afterAutospacing="1"/>
        <w:rPr>
          <w:spacing w:val="0"/>
          <w:u w:val="single"/>
        </w:rPr>
      </w:pPr>
      <w:r w:rsidRPr="002B3B8D">
        <w:rPr>
          <w:spacing w:val="0"/>
          <w:u w:val="single"/>
        </w:rPr>
        <w:t xml:space="preserve">Список облагаемых налогом </w:t>
      </w:r>
      <w:hyperlink r:id="rId9" w:tooltip="Объект налогообложения" w:history="1">
        <w:r w:rsidRPr="002B3B8D">
          <w:rPr>
            <w:bCs/>
            <w:spacing w:val="0"/>
            <w:u w:val="single"/>
          </w:rPr>
          <w:t>объектов</w:t>
        </w:r>
      </w:hyperlink>
      <w:r w:rsidRPr="002B3B8D">
        <w:rPr>
          <w:spacing w:val="0"/>
          <w:u w:val="single"/>
        </w:rPr>
        <w:t xml:space="preserve"> ограничен Федеральным законодательством:</w:t>
      </w:r>
    </w:p>
    <w:p w:rsidR="00C230E8" w:rsidRPr="00705BC8" w:rsidRDefault="00C230E8" w:rsidP="00C230E8">
      <w:pPr>
        <w:numPr>
          <w:ilvl w:val="0"/>
          <w:numId w:val="1"/>
        </w:numPr>
        <w:spacing w:before="100" w:beforeAutospacing="1" w:after="100" w:afterAutospacing="1"/>
        <w:rPr>
          <w:spacing w:val="0"/>
        </w:rPr>
      </w:pPr>
      <w:r w:rsidRPr="00705BC8">
        <w:rPr>
          <w:spacing w:val="0"/>
        </w:rPr>
        <w:t>бытовые и ветеринарные услуги;</w:t>
      </w:r>
    </w:p>
    <w:p w:rsidR="00C230E8" w:rsidRPr="00705BC8" w:rsidRDefault="00C230E8" w:rsidP="00C230E8">
      <w:pPr>
        <w:numPr>
          <w:ilvl w:val="0"/>
          <w:numId w:val="1"/>
        </w:numPr>
        <w:spacing w:before="100" w:beforeAutospacing="1" w:after="100" w:afterAutospacing="1"/>
        <w:rPr>
          <w:spacing w:val="0"/>
        </w:rPr>
      </w:pPr>
      <w:r w:rsidRPr="00705BC8">
        <w:rPr>
          <w:spacing w:val="0"/>
        </w:rPr>
        <w:t>услуги ремонта, техобслуживания, мойки и хранения автотранспортных средств;</w:t>
      </w:r>
    </w:p>
    <w:p w:rsidR="00C230E8" w:rsidRPr="00705BC8" w:rsidRDefault="00C230E8" w:rsidP="00C230E8">
      <w:pPr>
        <w:numPr>
          <w:ilvl w:val="0"/>
          <w:numId w:val="1"/>
        </w:numPr>
        <w:spacing w:before="100" w:beforeAutospacing="1" w:after="100" w:afterAutospacing="1"/>
        <w:rPr>
          <w:spacing w:val="0"/>
        </w:rPr>
      </w:pPr>
      <w:r w:rsidRPr="00705BC8">
        <w:rPr>
          <w:spacing w:val="0"/>
        </w:rPr>
        <w:t>автотранспортные услуги;</w:t>
      </w:r>
    </w:p>
    <w:p w:rsidR="00C230E8" w:rsidRPr="00705BC8" w:rsidRDefault="00C230E8" w:rsidP="00C230E8">
      <w:pPr>
        <w:numPr>
          <w:ilvl w:val="0"/>
          <w:numId w:val="1"/>
        </w:numPr>
        <w:spacing w:before="100" w:beforeAutospacing="1" w:after="100" w:afterAutospacing="1"/>
        <w:rPr>
          <w:spacing w:val="0"/>
        </w:rPr>
      </w:pPr>
      <w:r w:rsidRPr="00705BC8">
        <w:rPr>
          <w:spacing w:val="0"/>
        </w:rPr>
        <w:t>розничная торговля;</w:t>
      </w:r>
    </w:p>
    <w:p w:rsidR="00C230E8" w:rsidRPr="00705BC8" w:rsidRDefault="00C230E8" w:rsidP="00C230E8">
      <w:pPr>
        <w:numPr>
          <w:ilvl w:val="0"/>
          <w:numId w:val="1"/>
        </w:numPr>
        <w:spacing w:before="100" w:beforeAutospacing="1" w:after="100" w:afterAutospacing="1"/>
        <w:rPr>
          <w:spacing w:val="0"/>
        </w:rPr>
      </w:pPr>
      <w:r w:rsidRPr="00705BC8">
        <w:rPr>
          <w:spacing w:val="0"/>
        </w:rPr>
        <w:t>услуги общественного питания;</w:t>
      </w:r>
    </w:p>
    <w:p w:rsidR="00C230E8" w:rsidRPr="00705BC8" w:rsidRDefault="00C230E8" w:rsidP="00C230E8">
      <w:pPr>
        <w:numPr>
          <w:ilvl w:val="0"/>
          <w:numId w:val="1"/>
        </w:numPr>
        <w:spacing w:before="100" w:beforeAutospacing="1" w:after="100" w:afterAutospacing="1"/>
        <w:rPr>
          <w:spacing w:val="0"/>
        </w:rPr>
      </w:pPr>
      <w:r w:rsidRPr="00705BC8">
        <w:rPr>
          <w:spacing w:val="0"/>
        </w:rPr>
        <w:t>размещение наружной рекламы и рекламы на транспортных средствах;</w:t>
      </w:r>
    </w:p>
    <w:p w:rsidR="00C230E8" w:rsidRPr="00705BC8" w:rsidRDefault="00C230E8" w:rsidP="00C230E8">
      <w:pPr>
        <w:numPr>
          <w:ilvl w:val="0"/>
          <w:numId w:val="1"/>
        </w:numPr>
        <w:spacing w:before="100" w:beforeAutospacing="1" w:after="100" w:afterAutospacing="1"/>
        <w:rPr>
          <w:spacing w:val="0"/>
        </w:rPr>
      </w:pPr>
      <w:r w:rsidRPr="00705BC8">
        <w:rPr>
          <w:spacing w:val="0"/>
        </w:rPr>
        <w:t>услуги временного размещения и проживания;</w:t>
      </w:r>
    </w:p>
    <w:p w:rsidR="00C230E8" w:rsidRPr="00705BC8" w:rsidRDefault="00C230E8" w:rsidP="00C230E8">
      <w:pPr>
        <w:numPr>
          <w:ilvl w:val="0"/>
          <w:numId w:val="1"/>
        </w:numPr>
        <w:spacing w:before="100" w:beforeAutospacing="1" w:after="100" w:afterAutospacing="1"/>
        <w:rPr>
          <w:spacing w:val="0"/>
        </w:rPr>
      </w:pPr>
      <w:r w:rsidRPr="00705BC8">
        <w:rPr>
          <w:spacing w:val="0"/>
        </w:rPr>
        <w:t>передача в аренду торговых мест и земельных участков для торговли.</w:t>
      </w:r>
    </w:p>
    <w:p w:rsidR="00C230E8" w:rsidRPr="00705BC8" w:rsidRDefault="00C230E8" w:rsidP="00C230E8">
      <w:pPr>
        <w:spacing w:before="100" w:beforeAutospacing="1" w:after="100" w:afterAutospacing="1"/>
        <w:rPr>
          <w:spacing w:val="0"/>
        </w:rPr>
      </w:pPr>
      <w:r w:rsidRPr="00705BC8">
        <w:rPr>
          <w:spacing w:val="0"/>
        </w:rPr>
        <w:t>Региональные и местные власти могут вводить ЕНВД по указанным объектам, с возможностью их уточнения.</w:t>
      </w:r>
    </w:p>
    <w:p w:rsidR="00C230E8" w:rsidRPr="00705BC8" w:rsidRDefault="00975C7C" w:rsidP="00C230E8">
      <w:pPr>
        <w:spacing w:before="100" w:beforeAutospacing="1" w:after="100" w:afterAutospacing="1"/>
        <w:rPr>
          <w:spacing w:val="0"/>
        </w:rPr>
      </w:pPr>
      <w:hyperlink r:id="rId10" w:tooltip="Налоговая ставка" w:history="1">
        <w:r w:rsidR="00C230E8" w:rsidRPr="00705BC8">
          <w:rPr>
            <w:b/>
            <w:bCs/>
            <w:spacing w:val="0"/>
          </w:rPr>
          <w:t>Налоговая ставка</w:t>
        </w:r>
      </w:hyperlink>
      <w:r w:rsidR="00C230E8" w:rsidRPr="00705BC8">
        <w:rPr>
          <w:spacing w:val="0"/>
        </w:rPr>
        <w:t xml:space="preserve"> задаётся налоговым кодексом и на 2010 год составила 15 %.</w:t>
      </w:r>
    </w:p>
    <w:p w:rsidR="00C230E8" w:rsidRPr="00705BC8" w:rsidRDefault="00975C7C" w:rsidP="00C230E8">
      <w:pPr>
        <w:spacing w:before="100" w:beforeAutospacing="1" w:after="100" w:afterAutospacing="1"/>
        <w:rPr>
          <w:spacing w:val="0"/>
        </w:rPr>
      </w:pPr>
      <w:hyperlink r:id="rId11" w:tooltip="Налоговый период" w:history="1">
        <w:r w:rsidR="00C230E8" w:rsidRPr="00705BC8">
          <w:rPr>
            <w:b/>
            <w:bCs/>
            <w:spacing w:val="0"/>
          </w:rPr>
          <w:t>Налоговым периодом</w:t>
        </w:r>
      </w:hyperlink>
      <w:r w:rsidR="00C230E8" w:rsidRPr="00705BC8">
        <w:rPr>
          <w:spacing w:val="0"/>
        </w:rPr>
        <w:t xml:space="preserve"> на 2010 год установлен квартал.</w:t>
      </w:r>
    </w:p>
    <w:p w:rsidR="00C230E8" w:rsidRPr="00705BC8" w:rsidRDefault="00C230E8" w:rsidP="00C230E8">
      <w:pPr>
        <w:spacing w:before="100" w:beforeAutospacing="1" w:after="100" w:afterAutospacing="1"/>
        <w:rPr>
          <w:spacing w:val="0"/>
        </w:rPr>
      </w:pPr>
      <w:r w:rsidRPr="00705BC8">
        <w:rPr>
          <w:spacing w:val="0"/>
        </w:rPr>
        <w:t xml:space="preserve">Налог является значимым источником доходов местных бюджетов потому, как за вычетом социальных налогов, в случае их оплаты, остаётся в муниципалитете. </w:t>
      </w:r>
    </w:p>
    <w:p w:rsidR="00C230E8" w:rsidRPr="00705BC8" w:rsidRDefault="00C230E8" w:rsidP="00C230E8">
      <w:pPr>
        <w:spacing w:before="100" w:beforeAutospacing="1" w:after="100" w:afterAutospacing="1"/>
        <w:rPr>
          <w:spacing w:val="0"/>
        </w:rPr>
      </w:pPr>
      <w:r w:rsidRPr="00705BC8">
        <w:rPr>
          <w:spacing w:val="0"/>
        </w:rPr>
        <w:t>Налог на 2010 год распределяется следующим образом:</w:t>
      </w:r>
    </w:p>
    <w:p w:rsidR="00C230E8" w:rsidRPr="00705BC8" w:rsidRDefault="00C230E8" w:rsidP="00C230E8">
      <w:pPr>
        <w:numPr>
          <w:ilvl w:val="0"/>
          <w:numId w:val="3"/>
        </w:numPr>
        <w:spacing w:before="100" w:beforeAutospacing="1" w:after="100" w:afterAutospacing="1"/>
        <w:rPr>
          <w:spacing w:val="0"/>
        </w:rPr>
      </w:pPr>
      <w:r w:rsidRPr="00705BC8">
        <w:rPr>
          <w:spacing w:val="0"/>
        </w:rPr>
        <w:t>Фиксированные взносы предпринимателя и работников</w:t>
      </w:r>
      <w:hyperlink r:id="rId12" w:anchor="cite_note-2#cite_note-2" w:history="1">
        <w:r w:rsidRPr="00705BC8">
          <w:rPr>
            <w:spacing w:val="0"/>
            <w:vertAlign w:val="superscript"/>
          </w:rPr>
          <w:t>[3]</w:t>
        </w:r>
      </w:hyperlink>
      <w:r w:rsidRPr="00705BC8">
        <w:rPr>
          <w:spacing w:val="0"/>
        </w:rPr>
        <w:t xml:space="preserve"> (не более половины ЕНВД, всё что выше можно считать платежами вне налога) </w:t>
      </w:r>
    </w:p>
    <w:p w:rsidR="00C230E8" w:rsidRPr="00705BC8" w:rsidRDefault="00C230E8" w:rsidP="00C230E8">
      <w:pPr>
        <w:numPr>
          <w:ilvl w:val="1"/>
          <w:numId w:val="3"/>
        </w:numPr>
        <w:spacing w:before="100" w:beforeAutospacing="1" w:after="100" w:afterAutospacing="1"/>
        <w:rPr>
          <w:spacing w:val="0"/>
        </w:rPr>
      </w:pPr>
      <w:r w:rsidRPr="00705BC8">
        <w:rPr>
          <w:spacing w:val="0"/>
        </w:rPr>
        <w:t xml:space="preserve">за предпринимателя в ПФР (ставка 20 % от </w:t>
      </w:r>
      <w:hyperlink r:id="rId13" w:tooltip="МРОТ" w:history="1">
        <w:r w:rsidRPr="00705BC8">
          <w:rPr>
            <w:spacing w:val="0"/>
          </w:rPr>
          <w:t>МРОТ</w:t>
        </w:r>
      </w:hyperlink>
      <w:r w:rsidRPr="00705BC8">
        <w:rPr>
          <w:spacing w:val="0"/>
        </w:rPr>
        <w:t xml:space="preserve">) </w:t>
      </w:r>
    </w:p>
    <w:p w:rsidR="00C230E8" w:rsidRPr="00705BC8" w:rsidRDefault="00C230E8" w:rsidP="00C230E8">
      <w:pPr>
        <w:numPr>
          <w:ilvl w:val="2"/>
          <w:numId w:val="3"/>
        </w:numPr>
        <w:spacing w:before="100" w:beforeAutospacing="1" w:after="100" w:afterAutospacing="1"/>
        <w:rPr>
          <w:spacing w:val="0"/>
        </w:rPr>
      </w:pPr>
      <w:r w:rsidRPr="00705BC8">
        <w:rPr>
          <w:spacing w:val="0"/>
        </w:rPr>
        <w:t xml:space="preserve">2/3 — </w:t>
      </w:r>
      <w:hyperlink r:id="rId14" w:tooltip="Пенсионная реформа" w:history="1">
        <w:r w:rsidRPr="00705BC8">
          <w:rPr>
            <w:spacing w:val="0"/>
          </w:rPr>
          <w:t>страховая часть</w:t>
        </w:r>
      </w:hyperlink>
      <w:r w:rsidRPr="00705BC8">
        <w:rPr>
          <w:spacing w:val="0"/>
        </w:rPr>
        <w:t xml:space="preserve"> (3/3 для 1966 г.р. и старше)</w:t>
      </w:r>
      <w:hyperlink r:id="rId15" w:anchor="cite_note-3#cite_note-3" w:history="1">
        <w:r w:rsidRPr="00705BC8">
          <w:rPr>
            <w:spacing w:val="0"/>
            <w:vertAlign w:val="superscript"/>
          </w:rPr>
          <w:t>[4]</w:t>
        </w:r>
      </w:hyperlink>
    </w:p>
    <w:p w:rsidR="00C230E8" w:rsidRPr="00705BC8" w:rsidRDefault="00C230E8" w:rsidP="00C230E8">
      <w:pPr>
        <w:numPr>
          <w:ilvl w:val="2"/>
          <w:numId w:val="3"/>
        </w:numPr>
        <w:spacing w:before="100" w:beforeAutospacing="1" w:after="100" w:afterAutospacing="1"/>
        <w:rPr>
          <w:spacing w:val="0"/>
        </w:rPr>
      </w:pPr>
      <w:r w:rsidRPr="00705BC8">
        <w:rPr>
          <w:spacing w:val="0"/>
        </w:rPr>
        <w:t>1/3 — накопительная часть</w:t>
      </w:r>
    </w:p>
    <w:p w:rsidR="00C230E8" w:rsidRPr="00705BC8" w:rsidRDefault="00C230E8" w:rsidP="00C230E8">
      <w:pPr>
        <w:numPr>
          <w:ilvl w:val="1"/>
          <w:numId w:val="3"/>
        </w:numPr>
        <w:spacing w:before="100" w:beforeAutospacing="1" w:after="100" w:afterAutospacing="1"/>
        <w:rPr>
          <w:spacing w:val="0"/>
        </w:rPr>
      </w:pPr>
      <w:r w:rsidRPr="00705BC8">
        <w:rPr>
          <w:spacing w:val="0"/>
        </w:rPr>
        <w:t xml:space="preserve">за предпринимателя в ФФОМС (1,1 % от </w:t>
      </w:r>
      <w:hyperlink r:id="rId16" w:tooltip="МРОТ" w:history="1">
        <w:r w:rsidRPr="00705BC8">
          <w:rPr>
            <w:spacing w:val="0"/>
          </w:rPr>
          <w:t>МРОТ</w:t>
        </w:r>
      </w:hyperlink>
      <w:r w:rsidRPr="00705BC8">
        <w:rPr>
          <w:spacing w:val="0"/>
        </w:rPr>
        <w:t>)</w:t>
      </w:r>
    </w:p>
    <w:p w:rsidR="00C230E8" w:rsidRPr="00705BC8" w:rsidRDefault="00C230E8" w:rsidP="00C230E8">
      <w:pPr>
        <w:numPr>
          <w:ilvl w:val="1"/>
          <w:numId w:val="3"/>
        </w:numPr>
        <w:spacing w:before="100" w:beforeAutospacing="1" w:after="100" w:afterAutospacing="1"/>
        <w:rPr>
          <w:spacing w:val="0"/>
        </w:rPr>
      </w:pPr>
      <w:r w:rsidRPr="00705BC8">
        <w:rPr>
          <w:spacing w:val="0"/>
        </w:rPr>
        <w:t xml:space="preserve">за предпринимателя в ТФОМС (2,0 % от </w:t>
      </w:r>
      <w:hyperlink r:id="rId17" w:tooltip="МРОТ" w:history="1">
        <w:r w:rsidRPr="00705BC8">
          <w:rPr>
            <w:spacing w:val="0"/>
          </w:rPr>
          <w:t>МРОТ</w:t>
        </w:r>
      </w:hyperlink>
      <w:r w:rsidRPr="00705BC8">
        <w:rPr>
          <w:spacing w:val="0"/>
        </w:rPr>
        <w:t>)</w:t>
      </w:r>
    </w:p>
    <w:p w:rsidR="00C230E8" w:rsidRPr="00705BC8" w:rsidRDefault="00C230E8" w:rsidP="00C230E8">
      <w:pPr>
        <w:numPr>
          <w:ilvl w:val="1"/>
          <w:numId w:val="3"/>
        </w:numPr>
        <w:spacing w:before="100" w:beforeAutospacing="1" w:after="100" w:afterAutospacing="1"/>
        <w:rPr>
          <w:spacing w:val="0"/>
        </w:rPr>
      </w:pPr>
      <w:r w:rsidRPr="00705BC8">
        <w:rPr>
          <w:spacing w:val="0"/>
        </w:rPr>
        <w:t xml:space="preserve">за работников в ПФР (ставка 20 % от заработной платы) </w:t>
      </w:r>
    </w:p>
    <w:p w:rsidR="00C230E8" w:rsidRPr="00705BC8" w:rsidRDefault="00C230E8" w:rsidP="00C230E8">
      <w:pPr>
        <w:numPr>
          <w:ilvl w:val="2"/>
          <w:numId w:val="3"/>
        </w:numPr>
        <w:spacing w:before="100" w:beforeAutospacing="1" w:after="100" w:afterAutospacing="1"/>
        <w:rPr>
          <w:spacing w:val="0"/>
        </w:rPr>
      </w:pPr>
      <w:r w:rsidRPr="00705BC8">
        <w:rPr>
          <w:spacing w:val="0"/>
        </w:rPr>
        <w:t>2/3 — страховая часть (3/3 для 1966 г.р. и старше)</w:t>
      </w:r>
    </w:p>
    <w:p w:rsidR="00C230E8" w:rsidRPr="00705BC8" w:rsidRDefault="00C230E8" w:rsidP="00C230E8">
      <w:pPr>
        <w:numPr>
          <w:ilvl w:val="2"/>
          <w:numId w:val="3"/>
        </w:numPr>
        <w:spacing w:before="100" w:beforeAutospacing="1" w:after="100" w:afterAutospacing="1"/>
        <w:rPr>
          <w:spacing w:val="0"/>
        </w:rPr>
      </w:pPr>
      <w:r w:rsidRPr="00705BC8">
        <w:rPr>
          <w:spacing w:val="0"/>
        </w:rPr>
        <w:t>1/3 — накопительная часть</w:t>
      </w:r>
    </w:p>
    <w:p w:rsidR="00C230E8" w:rsidRPr="00705BC8" w:rsidRDefault="00C230E8" w:rsidP="00C230E8">
      <w:pPr>
        <w:numPr>
          <w:ilvl w:val="1"/>
          <w:numId w:val="3"/>
        </w:numPr>
        <w:spacing w:before="100" w:beforeAutospacing="1" w:after="100" w:afterAutospacing="1"/>
        <w:rPr>
          <w:spacing w:val="0"/>
        </w:rPr>
      </w:pPr>
      <w:r w:rsidRPr="00705BC8">
        <w:rPr>
          <w:spacing w:val="0"/>
        </w:rPr>
        <w:t>за работников в ФСС (2,9 % от заработной платы)</w:t>
      </w:r>
    </w:p>
    <w:p w:rsidR="00C230E8" w:rsidRPr="00705BC8" w:rsidRDefault="00C230E8" w:rsidP="00C230E8">
      <w:pPr>
        <w:numPr>
          <w:ilvl w:val="1"/>
          <w:numId w:val="3"/>
        </w:numPr>
        <w:spacing w:before="100" w:beforeAutospacing="1" w:after="100" w:afterAutospacing="1"/>
        <w:rPr>
          <w:spacing w:val="0"/>
        </w:rPr>
      </w:pPr>
      <w:r w:rsidRPr="00705BC8">
        <w:rPr>
          <w:spacing w:val="0"/>
        </w:rPr>
        <w:t>за работников в ФФОМС (1,1 % от заработной платы)</w:t>
      </w:r>
    </w:p>
    <w:p w:rsidR="00C230E8" w:rsidRPr="00705BC8" w:rsidRDefault="00C230E8" w:rsidP="00C230E8">
      <w:pPr>
        <w:numPr>
          <w:ilvl w:val="1"/>
          <w:numId w:val="3"/>
        </w:numPr>
        <w:spacing w:before="100" w:beforeAutospacing="1" w:after="100" w:afterAutospacing="1"/>
        <w:rPr>
          <w:spacing w:val="0"/>
        </w:rPr>
      </w:pPr>
      <w:r w:rsidRPr="00705BC8">
        <w:rPr>
          <w:spacing w:val="0"/>
        </w:rPr>
        <w:t>за работников в ТФОМС (2,0 % от заработной платы)</w:t>
      </w:r>
    </w:p>
    <w:p w:rsidR="00C230E8" w:rsidRDefault="00C230E8" w:rsidP="00C230E8">
      <w:pPr>
        <w:numPr>
          <w:ilvl w:val="0"/>
          <w:numId w:val="4"/>
        </w:numPr>
        <w:spacing w:before="100" w:beforeAutospacing="1" w:after="100" w:afterAutospacing="1"/>
        <w:rPr>
          <w:spacing w:val="0"/>
        </w:rPr>
      </w:pPr>
      <w:r w:rsidRPr="00705BC8">
        <w:rPr>
          <w:spacing w:val="0"/>
        </w:rPr>
        <w:t>Оставшаяся сумма (не менее половины ЕНВД) идёт в муниципальный бюджет</w:t>
      </w:r>
    </w:p>
    <w:p w:rsidR="0066114E" w:rsidRPr="0066114E" w:rsidRDefault="0066114E" w:rsidP="0066114E">
      <w:pPr>
        <w:spacing w:before="120" w:after="100" w:afterAutospacing="1"/>
        <w:rPr>
          <w:color w:val="000000"/>
          <w:spacing w:val="0"/>
        </w:rPr>
      </w:pPr>
      <w:r>
        <w:rPr>
          <w:spacing w:val="0"/>
        </w:rPr>
        <w:tab/>
      </w:r>
      <w:r w:rsidRPr="0066114E">
        <w:rPr>
          <w:b/>
          <w:bCs/>
          <w:color w:val="000000"/>
          <w:spacing w:val="0"/>
        </w:rPr>
        <w:t>БАЗОВАЯ ДОХОДНОСТЬ</w:t>
      </w:r>
      <w:r w:rsidRPr="0066114E">
        <w:rPr>
          <w:color w:val="000000"/>
          <w:spacing w:val="0"/>
        </w:rPr>
        <w:t xml:space="preserve"> — условная месячная доходность в стоимостном выражении на ту или иную единицу физического показателя, характеризующего определенный вид предпринимательской деятельности в различных сопоставимых условиях, которая используется для расчета величины вмененного дохода.</w:t>
      </w:r>
    </w:p>
    <w:p w:rsidR="0066114E" w:rsidRPr="00305864" w:rsidRDefault="00975C7C" w:rsidP="0066114E">
      <w:pPr>
        <w:rPr>
          <w:color w:val="000000"/>
          <w:spacing w:val="0"/>
        </w:rPr>
      </w:pPr>
      <w:hyperlink r:id="rId18" w:history="1">
        <w:r w:rsidR="0066114E" w:rsidRPr="00305864">
          <w:rPr>
            <w:rStyle w:val="a7"/>
            <w:spacing w:val="0"/>
          </w:rPr>
          <w:t>ВМЕНЕННЫЙ</w:t>
        </w:r>
        <w:r w:rsidR="0066114E" w:rsidRPr="00305864">
          <w:rPr>
            <w:rStyle w:val="a3"/>
            <w:color w:val="auto"/>
            <w:spacing w:val="0"/>
            <w:u w:val="none"/>
          </w:rPr>
          <w:t xml:space="preserve"> </w:t>
        </w:r>
        <w:r w:rsidR="0066114E" w:rsidRPr="00305864">
          <w:rPr>
            <w:rStyle w:val="a7"/>
            <w:spacing w:val="0"/>
          </w:rPr>
          <w:t>ДОХОД</w:t>
        </w:r>
        <w:r w:rsidR="0066114E" w:rsidRPr="00305864">
          <w:rPr>
            <w:rStyle w:val="a3"/>
            <w:color w:val="auto"/>
            <w:spacing w:val="0"/>
            <w:u w:val="none"/>
          </w:rPr>
          <w:t xml:space="preserve">— дополнительный </w:t>
        </w:r>
        <w:r w:rsidR="0066114E" w:rsidRPr="00305864">
          <w:rPr>
            <w:rStyle w:val="a7"/>
            <w:b w:val="0"/>
            <w:spacing w:val="0"/>
          </w:rPr>
          <w:t>доход</w:t>
        </w:r>
        <w:r w:rsidR="0066114E" w:rsidRPr="00305864">
          <w:rPr>
            <w:rStyle w:val="a3"/>
            <w:color w:val="auto"/>
            <w:spacing w:val="0"/>
            <w:u w:val="none"/>
          </w:rPr>
          <w:t>,</w:t>
        </w:r>
      </w:hyperlink>
      <w:r w:rsidR="0066114E" w:rsidRPr="00305864">
        <w:rPr>
          <w:color w:val="000000"/>
          <w:spacing w:val="0"/>
        </w:rPr>
        <w:t xml:space="preserve"> получаемый не в монетарной форме в результате выполнения не фиксируемых в обычной практике услуг; напр., заработная плата, которую получала бы домохозяйка, будь она наемной кухаркой…</w:t>
      </w:r>
    </w:p>
    <w:p w:rsidR="00305864" w:rsidRDefault="00305864" w:rsidP="00705BC8">
      <w:pPr>
        <w:rPr>
          <w:spacing w:val="0"/>
        </w:rPr>
      </w:pPr>
    </w:p>
    <w:p w:rsidR="00C230E8" w:rsidRPr="00705BC8" w:rsidRDefault="00705BC8" w:rsidP="00705BC8">
      <w:pPr>
        <w:rPr>
          <w:b/>
          <w:spacing w:val="0"/>
        </w:rPr>
      </w:pPr>
      <w:r w:rsidRPr="00705BC8">
        <w:rPr>
          <w:spacing w:val="0"/>
        </w:rPr>
        <w:t xml:space="preserve">С 1 января 2003 г. Федеральным законом от 24.07.02 г. № 104-ФЗ установлен специальный налоговый режим «Система налогообложения в виде единого налога на вменённый доход для отдельных видов деятельности», Налоговый кодекс Российской Федерации (далее – НК РФ) дополнен новой главой 26.3 с таким же названием. Замена налогового режима, действовавшего в соответствии с Федеральным законом от 31.07.98 г. № 148-ФЗ «О едином налоге на вменённый доход для отдельных видов деятельности», означает, что установлен не новый налог, а введен специальный налоговый режим, заменяющий ряд налогов одним налогом. </w:t>
      </w:r>
      <w:r w:rsidRPr="00705BC8">
        <w:rPr>
          <w:spacing w:val="0"/>
        </w:rPr>
        <w:br/>
        <w:t xml:space="preserve">Практически все специальные налоговые режимы относятся к федеральным специальным налоговым режимам. Исключением является система налогообложения в виде единого налога на вмененный доход для отдельных видов деятельности, которая не устанавливается на федеральном уровне. Данная система налогообложения вводится в действие законами субъектов Российской Федерации. Тем самым субъект Российской Федерации самостоятельно решает вопрос о введении, в том числе о дате введения на своей территории данной системы налогообложения. С 2006 г. эта система приобретает статус местного специального налогового режима. При этом представительные органы власти субъектов РФ и местного самоуправления не вправе устанавливать в налоговых нормативных актах такие элементы налогообложения, как объект налогообложения, налоговая база; налоговый период; порядок исчисления налога. Они определяются только в главе 26.3 НК РФ. </w:t>
      </w:r>
      <w:r w:rsidRPr="00705BC8">
        <w:rPr>
          <w:spacing w:val="0"/>
        </w:rPr>
        <w:br/>
      </w:r>
      <w:r w:rsidRPr="00705BC8">
        <w:rPr>
          <w:spacing w:val="0"/>
        </w:rPr>
        <w:br/>
        <w:t xml:space="preserve">ЕНВД устанавливается и вводится в действие законами муниципального района, городского округа, городов федерального значения Москвы и Санкт-Петербурга и обязателен к уплате на этих территориях. </w:t>
      </w:r>
      <w:r w:rsidRPr="00705BC8">
        <w:rPr>
          <w:spacing w:val="0"/>
        </w:rPr>
        <w:br/>
      </w:r>
      <w:r w:rsidRPr="00705BC8">
        <w:rPr>
          <w:spacing w:val="0"/>
        </w:rPr>
        <w:br/>
        <w:t xml:space="preserve">Немаловажным является и тот факт, что данная глава существенно сокращает полномочия региональных властей по уточнению элементов единого налога: они могут только выбирать из закрытого перечня, приведенного в ст. 346.26 НК РФ виды деятельности, по которым в данном регионе вводится единый налог, и устанавливать величину корректирующего коэффициента базовой доходности К2, учитывающего совокупность прочих особенностей ведения предпринимательской деятельности, в том числе ассортимент товаров (работ, услуг), сезонность, время работы, величину доходов и иные особенности. Все остальные элементы налога установлены единообразно для всех регионов, что способствует укреплению единого экономического пространства страны. Вместе с тем, введение в действие главы 26.3 НК РФ не является безусловным основанием для применения специального налогового режима. Возможность применять данный специальный налоговый режим возникает при условии его введения на территории субъекта Российской Федерации. </w:t>
      </w:r>
      <w:r w:rsidRPr="00705BC8">
        <w:rPr>
          <w:spacing w:val="0"/>
        </w:rPr>
        <w:br/>
        <w:t>В отличие от ранее действовавшего закона данная глава устанавливает только специальный налоговый режим, но не регламентирует особенности ведения бухгалтерского учета. Поскольку Федеральный закон от 31.07.98 № 148-ФЗ утрачивает силу с 01.01.2003 г., у организаций формально исчезает обязанность вести раздельный бухгалтерский учет по видам деятельности, облагаемым единым налогом и остающимся под общим режимом налогообложения. Требования по ведению раздельного учета сохранены только для налогового учета. П. 7 ст. 346.26 НК РФ предписывает ведение раздельного учета при наличии помимо видов деятельности, подлежащих налогообложению единым налогом, иных видов деятельности, подпадающих под общий режим налогообложения. Однако в отличие от п. 6 данной статьи в нем не указано, о каком учете (налоговом или бухгалтерском) идет речь. Это обстоятельство представляется существенным, поскольку ст. 120 НК РФ предусматривает санкции за нарушение именно бухгалтер</w:t>
      </w:r>
      <w:r w:rsidR="002B3B8D">
        <w:rPr>
          <w:spacing w:val="0"/>
        </w:rPr>
        <w:t xml:space="preserve">ского, а не налогового учета </w:t>
      </w:r>
      <w:r w:rsidRPr="00705BC8">
        <w:rPr>
          <w:spacing w:val="0"/>
        </w:rPr>
        <w:t xml:space="preserve">. </w:t>
      </w:r>
      <w:r w:rsidRPr="00705BC8">
        <w:rPr>
          <w:spacing w:val="0"/>
        </w:rPr>
        <w:br/>
      </w:r>
      <w:r w:rsidRPr="00705BC8">
        <w:rPr>
          <w:spacing w:val="0"/>
        </w:rPr>
        <w:br/>
        <w:t xml:space="preserve">Единый налог на вмененный доход представляет собой сравнительно новую форму налоговых отношений хозяйствующих субъектов с налоговыми органами. Необходимость введения единого налога на вмененный доход обусловлена тем, что на практике сложно, а порою даже невозможно получить полную информацию о доходах юридических и физических лиц, осуществляющих предпринимательскую деятельность без образования юридического лица, в таких сферах деятельности, где производится оплата товаров, работ и услуг за наличный расчет. К наличному расчету приравнивается продажа с проведением расчетов посредством кредитных и иных карточек, по расчетным чекам банков, по перечислению со счетов в банках и иных кредитных организациях по поручениям физических лиц, а также передача товаров (выполнение работ, оказание услуг) в обмен на другие товары (работы, услуги). Наиболее распространенными видами деятельности при этом являются: торговля, общественное питание, бытовое обслуживание населения, ремонтно-строительная деятельность и т.п. В этих условиях государство на основе данных, полученных путем статистических исследований, в ходе проверок налоговых и иных государственных органов, а также оценки независимых организаций вменяет налогоплательщику определенную сумму дохода, которая может быть положена в основу для исчисления налоговой базы. </w:t>
      </w:r>
      <w:r w:rsidRPr="00705BC8">
        <w:rPr>
          <w:spacing w:val="0"/>
        </w:rPr>
        <w:br/>
      </w:r>
      <w:r w:rsidRPr="00705BC8">
        <w:rPr>
          <w:spacing w:val="0"/>
        </w:rPr>
        <w:br/>
        <w:t xml:space="preserve">Если организация или индивидуальный предприниматель осуществляют свою деятельность на территории субъекта РФ, в котором введен единый налог, а также вид предпринимательской деятельности, подпадающий под обложение единым налогом, переход на уплату единого налога носит обязательный, а не добровольный характер. К примеру, если организация (или индивидуальный предприниматель) оказывает услуги по ремонту часов и ювелирных изделий, и на этой территории введен единый налог, то такая организация (или индивидуальный предприниматель) не имеет права не перейти на уплату единого налога. В ст. 346.26 НК РФ приведен перечень видов деятельности, который расширению не подлежит. Это означает, что единым налогом могут облагаться не все виды деятельности, перечисленные в п. 2 данной статьи, но на предпринимательскую деятельность, не перечисленную в п. 2, законы субъектов РФ распространяться не могут. </w:t>
      </w:r>
      <w:r w:rsidRPr="00705BC8">
        <w:rPr>
          <w:spacing w:val="0"/>
        </w:rPr>
        <w:br/>
        <w:t xml:space="preserve">Перечень бытовых услуг, на которые может распространяться действие главы 26.3 НК РФ, не является закрытым. Это означает, что субъекты РФ при принятии законов о порядке введения на своей территории единого налога должны конкретизировать эти услуги. В целях главы 26.3 НК РФ бытовые услуги – это платные услуги, оказываемые физическим лицам, классифицируемые в соответствии с Общероссийским классификатором услуг населению. Обложению единым налогом подлежит оказание автотранспортных услуг по перевозке пассажиров и грузов, осуществляемых организациями и индивидуальными предпринимателями, использующими не более 20 автомобилей. При этом основанием для перехода на уплату единого налога является факт непосредственного использования транспортных средств для извлечения дохода, а находятся ли данные автомобили в собственности, или арендованы, или получены в безвозмездное пользование – значения не имеет. </w:t>
      </w:r>
      <w:r w:rsidRPr="00705BC8">
        <w:rPr>
          <w:spacing w:val="0"/>
        </w:rPr>
        <w:br/>
      </w:r>
      <w:r w:rsidRPr="00705BC8">
        <w:rPr>
          <w:spacing w:val="0"/>
        </w:rPr>
        <w:br/>
        <w:t xml:space="preserve">Налогоплательщиками являются организации и индивидуальные предприниматели, осуществляющие на территории субъекта Российской Федерации, в котором введен единый налог, виды предпринимательской деятельности, предусмотренные п. 2 ст. 346.26 НК РФ. </w:t>
      </w:r>
      <w:r w:rsidRPr="00705BC8">
        <w:rPr>
          <w:spacing w:val="0"/>
        </w:rPr>
        <w:br/>
      </w:r>
      <w:r w:rsidRPr="00705BC8">
        <w:rPr>
          <w:spacing w:val="0"/>
        </w:rPr>
        <w:br/>
        <w:t xml:space="preserve">Важным отличием от упрощенной системы налогообложения является то обстоятельство, что налогоплательщик не имеет права выбора и обязан применять этот налоговый режим, если он установлен на данной территории региональным законом для одного или нескольких видов деятельности, перечисленных в данной главе, независимо от места регистрации налогоплательщика. Налогоплательщики, не состоящие на учете в налоговых органах того субъекта Российской Федерации, в котором они осуществляют виды предпринимательской деятельности, подпадающие под обложение единым налогом, обязаны встать на учет в налоговых органах по месту осуществления указанной деятельности в срок не позднее пяти дней с начала осуществления этой деятельности и производить уплату единого налога, установленного в этом субъекте Российской Федерации. </w:t>
      </w:r>
      <w:r w:rsidRPr="00705BC8">
        <w:rPr>
          <w:spacing w:val="0"/>
        </w:rPr>
        <w:br/>
        <w:t xml:space="preserve">Вместе с тем в соответствии с подпунктом 12 пункта 3 статьи 346.12 Кодекса организации и индивидуальные предприниматели, переведенные на систему налогообложения в виде единого налога на вмененный доход для отдельных видов деятельности в соответствии с главой 26.3 Кодекса, не вправе применять упрощенную систему налогообложения. </w:t>
      </w:r>
      <w:r w:rsidRPr="00705BC8">
        <w:rPr>
          <w:spacing w:val="0"/>
        </w:rPr>
        <w:br/>
        <w:t xml:space="preserve">Таким образом, при осуществлении с 01.01.2003 г. на территории субъектов Российской Федерации видов предпринимательской деятельности, подлежащих переводу в соответствии с законами этих субъектов Российской Федерации на уплату единого налога на вмененный доход, налогоплательщики утрачивают право на применение упрощенной системы налогообложения, как в отношении переведенных на уплату единого налога на вмененный доход видов предпринимательской деятельности (в случае осуществления их на территории субъекта Российской Федерации, на которой единый налог на вмененный доход не введен), так и в отношении иных осуществляемых ими видов предпринимательской деятельности, не подлежащих налогообложению единым налогом на вмененный доход. </w:t>
      </w:r>
      <w:r w:rsidRPr="00705BC8">
        <w:rPr>
          <w:spacing w:val="0"/>
        </w:rPr>
        <w:br/>
      </w:r>
      <w:r w:rsidRPr="00705BC8">
        <w:rPr>
          <w:spacing w:val="0"/>
        </w:rPr>
        <w:br/>
        <w:t xml:space="preserve">Согласно новой редакции статьи 346.27 НК РФ торговое место – место, используемое для совершения сделок розничной купли– продажи. К торговым местам относятся здания, строения, сооружения (их часть) и (или) земельные участки, используемые для совершения сделок розничной купли– продажи, а также объекты организации розничной торговли и общественного питания, не имеющие торговых залов и залов обслуживания посетителей (палатки, ларьки, киоски, боксы, контейнеры и другие объекты, в том числе расположенные в зданиях, строениях и сооружениях), прилавки, столы, лотки (в том числе расположенные на земельных участках), земельные участки, используемые для размещения объектов организации розничной торговли (общественного питания), не имеющих торговых залов (залов обслуживания посетителей), прилавков, столов, лотков и других объектов. Отметим, что в существующей редакции НК РФ нет столь подробной характеристики понятия «торговое место». Нет также определения стационарного торгового места. В новой же редакции НК РФ – стационарное торговое место – это место, используемое для совершения сделок купли - продажи в объектах стационарной торговой сети. К стационарным торговым местам относятся также земельные участки, передаваемые в аренду организациям и индивидуальным предпринимателям для организации стационарной торговой сети. </w:t>
      </w:r>
      <w:r w:rsidRPr="00705BC8">
        <w:rPr>
          <w:spacing w:val="0"/>
        </w:rPr>
        <w:br/>
      </w:r>
      <w:r w:rsidRPr="00705BC8">
        <w:rPr>
          <w:spacing w:val="0"/>
        </w:rPr>
        <w:br/>
        <w:t xml:space="preserve">Розничная торговля комплектующими материалами </w:t>
      </w:r>
      <w:r w:rsidRPr="00705BC8">
        <w:rPr>
          <w:spacing w:val="0"/>
        </w:rPr>
        <w:br/>
        <w:t xml:space="preserve">Рассмотрим вопрос, касающийся розничной торговли комплектующими материалами, при условии, что изначально они приобретались не для продажи, а для использования в процессе производства, т. е. учитывались в бухгалтерском учете по дебету счета 10 «Материалы». Ответ на данный вопрос дан в Письме Минфина России от 9 июня 2007 г. № 03-11- 04/3/215. </w:t>
      </w:r>
      <w:r w:rsidRPr="00705BC8">
        <w:rPr>
          <w:spacing w:val="0"/>
        </w:rPr>
        <w:br/>
        <w:t xml:space="preserve">Так, в соответствии с пунктом 2 статьи 346.26 НК РФ система налогообложения в виде ЕНВД применяется в отношении, в частности,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а также в отношении розничной торговли, осуществляемой через киоски, палатки, лотки и другие объекты стационарной торговой сети, не имеющей торговых залов, а также объекты нестационарной торговой сети. </w:t>
      </w:r>
      <w:r w:rsidRPr="00705BC8">
        <w:rPr>
          <w:spacing w:val="0"/>
        </w:rPr>
        <w:br/>
        <w:t xml:space="preserve">При этом на основании статьи 346.27 НК РФ розничная торговля – это предпринимательская деятельность, связанная с торговлей товарами (в том числе за наличный расчет, а также с использованием платежных карт) на основе договоров розничной купли – продажи. К данному виду предпринимательской деятельности не относится реализация подакцизных товаров, указанных в подпунктах 6–10 пункта 1 статьи 181 НК РФ, продуктов питания и напитков, в том числе алкогольных, как в упаковке и расфасовке изготовителя, так и без такой упаковки и расфасовки, в барах, ресторанах, кафе и других объектах организации общественного питания, а также продукции собственного производства (изготовления). </w:t>
      </w:r>
      <w:r w:rsidRPr="00705BC8">
        <w:rPr>
          <w:spacing w:val="0"/>
        </w:rPr>
        <w:br/>
        <w:t xml:space="preserve">Согласно пункту 1 статьи 492 Гражданского кодекса Российской Федерации (далее – ГК РФ) по договору розничной купли – 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w:t>
      </w:r>
      <w:r w:rsidRPr="00705BC8">
        <w:rPr>
          <w:spacing w:val="0"/>
        </w:rPr>
        <w:br/>
        <w:t xml:space="preserve">Предпринимательской деятельностью признается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законодательством Российской Федерации порядке (статья 2 ГК РФ). </w:t>
      </w:r>
      <w:r w:rsidRPr="00705BC8">
        <w:rPr>
          <w:spacing w:val="0"/>
        </w:rPr>
        <w:br/>
        <w:t xml:space="preserve">В связи с изложенным, реализация организацией излишков комплектующих материалов, которые были приобретены не для продажи, не относится к предпринимательской деятельности в сфере розничной торговли, подлежащей переводу на уплату ЕНВД. </w:t>
      </w:r>
      <w:r w:rsidRPr="00705BC8">
        <w:rPr>
          <w:spacing w:val="0"/>
        </w:rPr>
        <w:br/>
      </w:r>
      <w:r w:rsidRPr="00705BC8">
        <w:rPr>
          <w:spacing w:val="0"/>
        </w:rPr>
        <w:br/>
        <w:t xml:space="preserve">Услуги по ремонту и обслуживанию автомобилей </w:t>
      </w:r>
      <w:r w:rsidRPr="00705BC8">
        <w:rPr>
          <w:spacing w:val="0"/>
        </w:rPr>
        <w:br/>
        <w:t xml:space="preserve">Так же не подлежит переводу на систему налогообложения в виде ЕНВД предпринимательская деятельность, связанная с предоставлением услуг по ремонту и обслуживанию автомобилей (в том числе гарантийному). Об этом сказано в Письме Минфина России от 13 июня 2007 г. № 03-11- 04/3/216. </w:t>
      </w:r>
      <w:r w:rsidRPr="00705BC8">
        <w:rPr>
          <w:spacing w:val="0"/>
        </w:rPr>
        <w:br/>
        <w:t xml:space="preserve">В данном Письме финансовое ведомство ссылается на то, что согласно статье 346.26 НК РФ система налогообложения в виде ЕНВД может применяться в отношении, в частности, предпринимательской деятельности, связанной с оказанием услуг по ремонту, техническому обслуживанию и мойке автотранспортных средств. </w:t>
      </w:r>
      <w:r w:rsidRPr="00705BC8">
        <w:rPr>
          <w:spacing w:val="0"/>
        </w:rPr>
        <w:br/>
        <w:t xml:space="preserve">Исходя из положений статьи 346.27 НК РФ к услугам по ремонту, техническому обслуживанию и мойке автотранспортных средств относятся платные услуги, оказываемые физическим лицам и организациям по перечню услуг, предусмотренному Общероссийским классификатором услуг населению. </w:t>
      </w:r>
      <w:r w:rsidRPr="00705BC8">
        <w:rPr>
          <w:spacing w:val="0"/>
        </w:rPr>
        <w:br/>
        <w:t xml:space="preserve">При этом в отношении деятельности, связанной с оказанием услуг по ремонту и техническому обслуживанию автотранспортных средств, в рамках гарантии, предоставляемой поставщиком автомобилей (продавцом, изготовителем, уполномоченной организацией и т.д.), необходимо учитывать следующее. </w:t>
      </w:r>
      <w:r w:rsidRPr="00705BC8">
        <w:rPr>
          <w:spacing w:val="0"/>
        </w:rPr>
        <w:br/>
        <w:t xml:space="preserve">В соответствии с нормами ГК РФ, а также согласно Закону Российской Федерации от 07 февраля 1992 г. № 2300-1 «О защите прав потребителей» услуги по проведению гарантийного ремонта товаров ненадлежащего качества оказываются потребителям бесплатно за счет поставщиков (продавцов, изготовителей, уполномоченных организаций и т.д.). </w:t>
      </w:r>
      <w:r w:rsidRPr="00705BC8">
        <w:rPr>
          <w:spacing w:val="0"/>
        </w:rPr>
        <w:br/>
        <w:t xml:space="preserve">В целях применения системы налогообложения в виде ЕНВД организации, осуществляющие оказание услуг по гарантийному обслуживанию и ремонту автотранспортных средств бесплатно (за счет поставщиков, продавцов, изготовителей, уполномоченных организаций и т.д.), не признаются налогоплательщиками указанного налога. </w:t>
      </w:r>
      <w:r w:rsidRPr="00705BC8">
        <w:rPr>
          <w:spacing w:val="0"/>
        </w:rPr>
        <w:br/>
        <w:t xml:space="preserve">Таким образом, если организация оказывает услуги по гарантийному обслуживанию и ремонту автотранспортных средств за счет организации– поставщика (затраты возмещаются организации, оказывающей услуги по ремонту и техническому обслуживанию, организацией– поставщиком), то есть данные услуги не оплачиваются потребителем, то такая деятельность не подлежит переводу на систему налогообложения в виде ЕНВД. </w:t>
      </w:r>
      <w:r w:rsidRPr="00705BC8">
        <w:rPr>
          <w:spacing w:val="0"/>
        </w:rPr>
        <w:br/>
        <w:t xml:space="preserve">Услуги по гарантийному ремонту товаров ненадлежащего качества </w:t>
      </w:r>
      <w:r w:rsidRPr="00705BC8">
        <w:rPr>
          <w:spacing w:val="0"/>
        </w:rPr>
        <w:br/>
        <w:t xml:space="preserve">А в Письме Минфина России от 23 марта 2007 г. № 03-11- 04/3/75 указывается, что на ЕНВД не переводится также и организации и индивидуальные предприниматели, осуществляющие оказание услуг по гарантийному ремонту товаров ненадлежащего качества. </w:t>
      </w:r>
      <w:r w:rsidRPr="00705BC8">
        <w:rPr>
          <w:spacing w:val="0"/>
        </w:rPr>
        <w:br/>
        <w:t xml:space="preserve">Так, согласно подпункту 1 пункта 2 статьи 346.26 НК РФ, на уплату ЕНВД могут переводиться налогоплательщики, осуществляющие предпринимательскую деятельность в сфере оказания бытовых услуг населению, классифицируемых в соответствии с Общероссийским классификатором услуг населению. </w:t>
      </w:r>
      <w:r w:rsidRPr="00705BC8">
        <w:rPr>
          <w:spacing w:val="0"/>
        </w:rPr>
        <w:br/>
        <w:t xml:space="preserve">В соответствии со статьей 346.27 НК РФ для целей применения главы 26.3 НК РФ к бытовым услугам относятся платные услуги, оказываемые физическим лицам (за исключением услуг ломбардов и услуг по ремонту, техническому обслуживанию и мойке автотранспортных средств), предусмотренные Общероссийским классификатором услуг населению. Согласно пунктам 1 и 6 Правил бытового обслуживания населения в Российской Федерации, утвержденных постановлением Правительства Российской Федерации от 15 августа 1997 г.№ 1025, оплата бытовых услуг осуществляется потребителем услуг, под которым понимается гражданин, заказывающий или использующий эти услуги исключительно для личных, семейных, домашних и иных нужд, не связанных с осуществлением предпринимательской деятельности. </w:t>
      </w:r>
      <w:r w:rsidRPr="00705BC8">
        <w:rPr>
          <w:spacing w:val="0"/>
        </w:rPr>
        <w:br/>
        <w:t xml:space="preserve">Пунктом 1 статьи 730 ГК РФ также установлено, что по договору бытового подряда (в рамках которого осуществляется оказание бытовых услуг) подрядчик обязуется выполнить по заданию гражданина (заказчика) определенную работу, предназначенную удовлетворить бытовые и другие личные потребности заказчика, а заказчик обязуется принять и оплатить выполненную работу. </w:t>
      </w:r>
      <w:r w:rsidRPr="00705BC8">
        <w:rPr>
          <w:spacing w:val="0"/>
        </w:rPr>
        <w:br/>
        <w:t xml:space="preserve">Таким образом, налогоплательщиками ЕНВД признаются только те организации и индивидуальные предприниматели, которые оказывают физическим лицам платные бытовые услуги на основе договоров бытового подряда. </w:t>
      </w:r>
      <w:r w:rsidRPr="00705BC8">
        <w:rPr>
          <w:spacing w:val="0"/>
        </w:rPr>
        <w:br/>
        <w:t xml:space="preserve">В соответствии с пунктом 2 статьи 470 ГК РФ в случае, когда договором купли– 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предъявляемым к качеству товара, в течение определенного времени, установленного договором (гарантийного срока). </w:t>
      </w:r>
      <w:r w:rsidRPr="00705BC8">
        <w:rPr>
          <w:spacing w:val="0"/>
        </w:rPr>
        <w:br/>
        <w:t xml:space="preserve">Как установлено пунктом 1 статьи 18 и пунктом 1 статьи 19 Закона Российской Федерации от 07 февраля 1992 г. № 2300-1 «О защите прав потребителей», физическое лицо – потребитель, которому продан товар ненадлежащего качества, вправе предъявить претензии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 в том числе по безвозмездному устранению недостатков товара. </w:t>
      </w:r>
      <w:r w:rsidRPr="00705BC8">
        <w:rPr>
          <w:spacing w:val="0"/>
        </w:rPr>
        <w:br/>
        <w:t xml:space="preserve">Следовательно, услуги по проведению гарантийного ремонта товаров ненадлежащего качества оказываются физическим лицам бесплатно за счет продавцов (изготовителей, уполномоченных организаций или уполномоченных индивидуальных предпринимателей, импортеров). </w:t>
      </w:r>
      <w:r w:rsidRPr="00705BC8">
        <w:rPr>
          <w:spacing w:val="0"/>
        </w:rPr>
        <w:br/>
        <w:t xml:space="preserve">В связи с этим организации и индивидуальные предприниматели, осуществляющие оказание услуг по гарантийному ремонту товаров, налогоплательщиками ЕНВД в отношении указанной деятельности не признаются. </w:t>
      </w:r>
      <w:r w:rsidRPr="00705BC8">
        <w:rPr>
          <w:spacing w:val="0"/>
        </w:rPr>
        <w:br/>
      </w:r>
      <w:r w:rsidRPr="00705BC8">
        <w:rPr>
          <w:spacing w:val="0"/>
        </w:rPr>
        <w:br/>
        <w:t xml:space="preserve">Продажа сертификатов на ремонт </w:t>
      </w:r>
      <w:r w:rsidRPr="00705BC8">
        <w:rPr>
          <w:spacing w:val="0"/>
        </w:rPr>
        <w:br/>
        <w:t xml:space="preserve">На ЕНВД не переводятся не только организации и индивидуальные предприниматели, осуществляющие оказание услуг по гарантийному ремонту товаров, но и организации и индивидуальные предприниматели, осуществляющие продажу сертификатов на ремонт. </w:t>
      </w:r>
      <w:r w:rsidRPr="00705BC8">
        <w:rPr>
          <w:spacing w:val="0"/>
        </w:rPr>
        <w:br/>
        <w:t xml:space="preserve">За разъяснениями обратимся к Письму Минфина России от 13 апреля 2007 г. № 03-11-04/3/114, в котором рассмотрена ситуация, когда организация вводит программу дополнительного сервисного обслуживания бытовой техники, машин и приборов путем продажи потребителям через розничную торговую сеть (агентов) сертификатов на предоставление указанной услуги. При этом в рамках программы дополнительного сервиса в сравнении со стандартной гарантией производителя будут предоставляться услуги по замене неисправного товара на новый, бесплатная настройка или установка, консультации специалиста, доставка товара, ремонт на месте в случае незначительных поломок, предоставление скидок при установке техники. </w:t>
      </w:r>
      <w:r w:rsidRPr="00705BC8">
        <w:rPr>
          <w:spacing w:val="0"/>
        </w:rPr>
        <w:br/>
        <w:t xml:space="preserve">Итак, в соответствии со статьей 346 НК РФ система налогообложения в виде ЕНВД для отдельных видов деятельности может применяться в отношении, в частности, оказания бытовых услуг, их групп, подгрупп, видов и (или) отдельных бытовых услуг, классифицируемых в соответствии с Общероссийским классификатором услуг населению, утвержденного Постановлением Госстандарта России от 28 июня 1993 г. № 163. </w:t>
      </w:r>
      <w:r w:rsidRPr="00705BC8">
        <w:rPr>
          <w:spacing w:val="0"/>
        </w:rPr>
        <w:br/>
        <w:t xml:space="preserve">Под бытовыми услугами понимаются платные услуги, оказываемые физическим лицам (за исключением услуг ломбардов и услуг по ремонту, обслуживанию и мойке автотранспортных средств), предусмотренные Общероссийским классификатором услуг населению в разд. 010000 «Бытовые услуги» (статья 346.27 НК РФ). </w:t>
      </w:r>
      <w:r w:rsidRPr="00705BC8">
        <w:rPr>
          <w:spacing w:val="0"/>
        </w:rPr>
        <w:br/>
        <w:t xml:space="preserve">Оказываемые организацией или индивидуальным предпринимателем услуги по ремонту бытовой техники населению отнесены ОКУН к группе бытовых услуг по коду 013000 «Ремонт и техническое обслуживание бытовой радиоэлектронной аппаратуры, бытовых машин и бытовых приборов, ремонт и изготовление металлоизделий». </w:t>
      </w:r>
      <w:r w:rsidRPr="00705BC8">
        <w:rPr>
          <w:spacing w:val="0"/>
        </w:rPr>
        <w:br/>
        <w:t xml:space="preserve">Услуги, оказываемые организацией в рамках дополнительного сервисного обслуживания бытовой техники, машин и приборов путем продажи потребителям через розничную торговую сеть (агентов) сертификатов на предоставление указанной услуги, не указаны в разд. 010000 «Бытовые услуги» ОКУН и, соответственно, не относятся к таковым. </w:t>
      </w:r>
      <w:r w:rsidRPr="00705BC8">
        <w:rPr>
          <w:spacing w:val="0"/>
        </w:rPr>
        <w:br/>
        <w:t xml:space="preserve">В связи с изложенным, деятельность организации по оказанию вышеназванных услуг физическим лицам, не может быть переведена на уплату ЕНВД для отдельных видов деятельности и подлежит налогообложению в соответствии с общим режимом налогообложения или в рамках упрощенной системы налогообложения. </w:t>
      </w:r>
      <w:r w:rsidRPr="00705BC8">
        <w:rPr>
          <w:spacing w:val="0"/>
        </w:rPr>
        <w:br/>
      </w:r>
      <w:r w:rsidRPr="00705BC8">
        <w:rPr>
          <w:spacing w:val="0"/>
        </w:rPr>
        <w:br/>
        <w:t xml:space="preserve">Услуги ксерокопирования, ремонта бытовой техники, проката, фотоателье </w:t>
      </w:r>
      <w:r w:rsidRPr="00705BC8">
        <w:rPr>
          <w:spacing w:val="0"/>
        </w:rPr>
        <w:br/>
        <w:t xml:space="preserve">Согласно Письму Минфина России от 08 мая 2007 г. № 03-11- 05/97 под налогообложение ЕНВД подпадает предпринимательская деятельность по осуществлению услуг ксерокопирования, ремонта бытовой техники, проката, фотоателье. </w:t>
      </w:r>
      <w:r w:rsidRPr="00705BC8">
        <w:rPr>
          <w:spacing w:val="0"/>
        </w:rPr>
        <w:br/>
        <w:t xml:space="preserve">В соответствии со статьей 346.26 НК РФ система налогообложения в виде ЕНВД для отдельных видов деятельности может применяться по решениям представительных органов муниципальных районов, городских округов, законодательных (представительных) органов государственной власти городов федерального значения Москвы и Санкт-Петербурга в отношении, в частности, оказания бытовых услуг, их групп, подгрупп, видов и (или) отдельных бытовых услуг, классифицируемых в соответствии с Общероссийским классификатором услуг населению. </w:t>
      </w:r>
      <w:r w:rsidRPr="00705BC8">
        <w:rPr>
          <w:spacing w:val="0"/>
        </w:rPr>
        <w:br/>
        <w:t xml:space="preserve">Статьей 346.27 НК РФ определено понятие бытовых услуг как платных услуг, оказываемых физическим лицам (за исключением услуг ломбардов и услуг по ремонту, техническому обслуживанию и мойке автотранспортных средств), предусмотренных Общероссийским классификатором услуг населению ОК 002-93, утвержденным постановлением Госстандарта России от 28 июня 1993 г. № 163. </w:t>
      </w:r>
      <w:r w:rsidRPr="00705BC8">
        <w:rPr>
          <w:spacing w:val="0"/>
        </w:rPr>
        <w:br/>
        <w:t xml:space="preserve">Таким образом, предпринимательская деятельность по осуществлению услуг ксерокопирования (019726 ОКУН), ремонта бытовой техники (013000 ОКУН), проката (019400 ОКУН), фотоателье (018000 ОКУН) подпадает под налогообложение ЕНВД. </w:t>
      </w:r>
      <w:r w:rsidRPr="00705BC8">
        <w:rPr>
          <w:spacing w:val="0"/>
        </w:rPr>
        <w:br/>
        <w:t xml:space="preserve">При этом, согласно пункту 3 статьи 346.29 НК РФ, при исчислении суммы ЕНВД для предпринимательской деятельности по оказанию бытовых услуг населению используется физический показатель «количество работников, включая индивидуального предпринимателя». </w:t>
      </w:r>
      <w:r w:rsidRPr="00705BC8">
        <w:rPr>
          <w:spacing w:val="0"/>
        </w:rPr>
        <w:br/>
        <w:t xml:space="preserve">Статьей 346.27 НК РФ установлено, что под количеством работников понимается среднесписочная (средняя) за каждый календарный месяц налогового периода численность работающих с учетом всех работников, в том числе работающих по совместительству, договорам подряда и другим договорам гражданско– правового характера. </w:t>
      </w:r>
      <w:r w:rsidRPr="00705BC8">
        <w:rPr>
          <w:spacing w:val="0"/>
        </w:rPr>
        <w:br/>
        <w:t xml:space="preserve">При определении указанной среднесписочной численности работников необходимо руководствоваться Порядком заполнения и представления унифицированных форм федерального государственного статистического наблюдения: № П-1 «Сведения о производстве и отгрузке товаров и услуг», № П-2 «Сведения об инвестициях», № П-3 «Сведения о финансовом состоянии организации», № П-4 «Сведения о численности, заработной плате и движении работников», № П-5 (М) «Основные сведения о деятельности организации», утвержденным постановлением Росстата от 03 ноября 2004 г. № 50 (с изменениями и дополнениями). </w:t>
      </w:r>
      <w:r w:rsidRPr="00705BC8">
        <w:rPr>
          <w:spacing w:val="0"/>
        </w:rPr>
        <w:br/>
        <w:t xml:space="preserve">Согласно указанному Порядку, среднесписочная численность работников за месяц исчисляется в соответствии с пунктами 83 - 90 раздела I «Численность и начисленная заработная плата работников» формы № П-4 «Сведения о численности, заработной плате и движении работников». При этом в списочной численности работников за каждый календарный день учитываются как фактически работающие, так и отсутствующие на работе по каким-либо причинам. </w:t>
      </w:r>
      <w:r w:rsidRPr="00705BC8">
        <w:rPr>
          <w:spacing w:val="0"/>
        </w:rPr>
        <w:br/>
        <w:t xml:space="preserve">НК РФ предусмотрено применение системы налогообложения в виде ЕНВД по отдельным видам деятельности, то есть статьей 346.26 НК РФ определены физический показатель, базовая доходность в месяц для исчисления суммы данного налога. Таким образом, применение указанной системы налогообложения не предусмотрено для подвидов предпринимательской деятельности в сфере оказания бытовых услуг. </w:t>
      </w:r>
      <w:r w:rsidRPr="00705BC8">
        <w:rPr>
          <w:spacing w:val="0"/>
        </w:rPr>
        <w:br/>
        <w:t xml:space="preserve">При определении физического показателя «количество работников, включая индивидуального предпринимателя» учитывается численность всех работников, занятых в ксерокопировании, фотографировании, ремонте бытовой техники, прокате, включая индивидуального предпринимателя. </w:t>
      </w:r>
      <w:r w:rsidRPr="00705BC8">
        <w:rPr>
          <w:spacing w:val="0"/>
        </w:rPr>
        <w:br/>
        <w:t xml:space="preserve">В соответствии с пунктом 6 статьи 346.29 НК РФ корректировка значения коэффициента К2, утвержденного нормативными правовыми актами (законами) представительных (законодательных) органов муниципальных районов, городских округов, законами городов федерального значения Москвы и Санкт-Петербурга, в зависимости от фактического периода времени осуществления предпринимательской деятельности осуществляется налогоплательщиком самостоятельно. </w:t>
      </w:r>
      <w:r w:rsidRPr="00705BC8">
        <w:rPr>
          <w:spacing w:val="0"/>
        </w:rPr>
        <w:br/>
      </w:r>
      <w:r w:rsidRPr="00705BC8">
        <w:rPr>
          <w:spacing w:val="0"/>
        </w:rPr>
        <w:br/>
        <w:t xml:space="preserve">Безвозмездная передача имущества учредителем </w:t>
      </w:r>
      <w:r w:rsidRPr="00705BC8">
        <w:rPr>
          <w:spacing w:val="0"/>
        </w:rPr>
        <w:br/>
        <w:t xml:space="preserve">Далее рассмотрим ситуацию, когда организация, применяющая ЕНВД, получила по договору безвозмездного пользования от учредителя – физического лица какое– либо имущество. </w:t>
      </w:r>
      <w:r w:rsidRPr="00705BC8">
        <w:rPr>
          <w:spacing w:val="0"/>
        </w:rPr>
        <w:br/>
        <w:t xml:space="preserve">В соответствии со статьей 689 ГК РФ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 </w:t>
      </w:r>
      <w:r w:rsidRPr="00705BC8">
        <w:rPr>
          <w:spacing w:val="0"/>
        </w:rPr>
        <w:br/>
        <w:t xml:space="preserve">К договору безвозмездного пользования соответственно применяются правила, предусмотренные статьей 607 ГК РФ, пунктом 1 и абзацем 1 пункта 2 статьи 610 ГК РФ, пунктами 1 и 3 статьи 615 ГК РФ, пунктом 2 статьи 621 ГК РФ, пунктами 1 и 3 статьи 623 ГК РФ. </w:t>
      </w:r>
      <w:r w:rsidRPr="00705BC8">
        <w:rPr>
          <w:spacing w:val="0"/>
        </w:rPr>
        <w:br/>
        <w:t xml:space="preserve">Согласно рекомендациям, выработанным Президиумом Высшего Арбитражного Суда Российской Федерации по обзору практики разрешения арбитражными судами дел, связанных с применением отдельных положением главы 25 НК РФ (пункт 2 Информационного письма от 22 декабря 2005 г. № 98), для оценки размера дохода при безвозмездном пользовании имуществом применимой нормой в рассматриваемом соответствующей кассационной инстанцией случае является пункт 8 статьи 250 НК РФ. При этом указано, что в силу этой нормы доход в виде безвозмездно полученного имущества (работ, услуг) или имущественных прав признается в качестве внереализационного дохода. Применение пункта 8 статьи 250 НК РФ не ограничено только имущественными правами, представляющими собой требования к третьим лицам. Установленный указанной нормой принцип определения дохода при безвозмездном получении имущества, заключающийся в его оценке исходя из рыночных цен, определяемых с учетом положений статьи 40 НК РФ, подлежит применению и при оценке дохода, возникающего при безвозмездном получении имущественного права, в том числе права пользования вещью. </w:t>
      </w:r>
      <w:r w:rsidRPr="00705BC8">
        <w:rPr>
          <w:spacing w:val="0"/>
        </w:rPr>
        <w:br/>
        <w:t xml:space="preserve">Положения пункта 8 статьи 250 НК РФ о получении налогоплательщиком внереализационных доходов в виде безвозмездно полученного имущества (работ, услуг) или имущественных прав следует применять с учетом подпункта 11 пункта 1 статьи 251 НК РФ. Из положений статьи 251 НК РФ следует, что к доходам, не учитываемым при определении налоговой базы, относятся доходы в виде имущества, полученного российской организацией безвозмездно от физического лица, если уставный (складочный) капитал (фонд) получающей стороны более чем на 50% состоит из вклада (доли) этого физического лица. </w:t>
      </w:r>
      <w:r w:rsidRPr="00705BC8">
        <w:rPr>
          <w:spacing w:val="0"/>
        </w:rPr>
        <w:br/>
        <w:t xml:space="preserve">При этом полученное имущество не признается доходом для целей налогообложения только в том случае, если в течение одного года со дня его получения указанное имущество (за исключением денежных средств) не передается третьим лицам. </w:t>
      </w:r>
      <w:r w:rsidRPr="00705BC8">
        <w:rPr>
          <w:spacing w:val="0"/>
        </w:rPr>
        <w:br/>
        <w:t xml:space="preserve">Следовательно, при соблюдении указанных условий экономическая выгода организации в виде имущества, полученного безвозмездно от учредителя – физического лица, налогообложению не подлежит (Письмо Минфина России от 26 марта 2007 г. № 03– 11– 04/3/88). </w:t>
      </w:r>
      <w:r w:rsidRPr="00705BC8">
        <w:rPr>
          <w:spacing w:val="0"/>
        </w:rPr>
        <w:br/>
        <w:t xml:space="preserve">Передача в аренду площадей под торговлю, осуществляемая управляющей компанией </w:t>
      </w:r>
      <w:r w:rsidRPr="00705BC8">
        <w:rPr>
          <w:spacing w:val="0"/>
        </w:rPr>
        <w:br/>
        <w:t xml:space="preserve">О том, подпадает ли передача в аренду площадей под торговлю, которую осуществляет управляющая компания, под деятельность, подлежащую уплате ЕНВД и из каких источников управляющая компания должна уплачивать ЕНВД сказано в Письме Минфина России от 02 апреля 2007 г. № 03-11-04/3/100. </w:t>
      </w:r>
      <w:r w:rsidRPr="00705BC8">
        <w:rPr>
          <w:spacing w:val="0"/>
        </w:rPr>
        <w:br/>
        <w:t xml:space="preserve">Так, в соответствии с подпунктом 13 пункта 2 статьи 346.26 НК РФ, на систему налогообложения в виде ЕНВД может переводиться деятельность в сфере оказания услуг по передаче во временное владение и (или) пользование стационарных торговых мест, расположенных на рынках и в других местах торговли, не имеющих залов обслуживания посетителей. </w:t>
      </w:r>
      <w:r w:rsidRPr="00705BC8">
        <w:rPr>
          <w:spacing w:val="0"/>
        </w:rPr>
        <w:br/>
        <w:t xml:space="preserve">Для целей применения указанной статьи НК РФ под стационарным торговым местом следует понимать торговое место, используемое для совершения сделок купли– продажи, которое расположено в стационарной торговой сети, не имеющей торговых залов (залов обслуживания посетителей), то есть торговой сети, расположенной в предназначенных для ведения торговли зданиях, строениях и сооружениях (их частях), используемых для заключения договоров розничной купли– продажи, а также для проведения торгов. </w:t>
      </w:r>
      <w:r w:rsidRPr="00705BC8">
        <w:rPr>
          <w:spacing w:val="0"/>
        </w:rPr>
        <w:br/>
        <w:t xml:space="preserve">К данной категории торговых объектов относятся крытые рынки (ярмарки), торговые комплексы, киоски и другие аналогичные объекты, в том числе обособленные объекты организации розничной торговли, размещенные на земельных участках и не подлежащие перемещению в течение всего периода времени, предусмотренного договорами на их размещение (установку) и (или) договорами их аренды или субаренды (палатки, ларьки, контейнеры, боксы и т.д.). Соответственно, предпринимательская деятельность по передаче в аренду (субаренду) стационарных торговых мест, не имеющих залов обслуживания посетителей, в указанных объектах организации торговли может переводиться на уплату ЕНВД. </w:t>
      </w:r>
      <w:r w:rsidRPr="00705BC8">
        <w:rPr>
          <w:spacing w:val="0"/>
        </w:rPr>
        <w:br/>
        <w:t xml:space="preserve">В случае если предпринимательская деятельность по передаче в аренду площадей под торговлю (стационарных торговых мест) осуществляется в рамках договора доверительного управления имуществом, то необходимо учитывать следующее. </w:t>
      </w:r>
      <w:r w:rsidRPr="00705BC8">
        <w:rPr>
          <w:spacing w:val="0"/>
        </w:rPr>
        <w:br/>
        <w:t xml:space="preserve">Согласно пункту 1 статьи 1012 ГК РФ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 </w:t>
      </w:r>
      <w:r w:rsidRPr="00705BC8">
        <w:rPr>
          <w:spacing w:val="0"/>
        </w:rPr>
        <w:br/>
        <w:t xml:space="preserve">Передача имущества в доверительное управление не влечет перехода права собственности на него к доверительному управляющему. </w:t>
      </w:r>
      <w:r w:rsidRPr="00705BC8">
        <w:rPr>
          <w:spacing w:val="0"/>
        </w:rPr>
        <w:br/>
        <w:t xml:space="preserve">При этом в соответствии с пунктом 3 статьи 1012 ГК РФ доверительный управляющий осуществляет сделки с полученным в доверительное управление имуществом от своего имени, указывая при этом, что он действует в качестве такого управляющего. </w:t>
      </w:r>
      <w:r w:rsidRPr="00705BC8">
        <w:rPr>
          <w:spacing w:val="0"/>
        </w:rPr>
        <w:br/>
        <w:t xml:space="preserve">Поэтому, налогоплательщиком ЕНВД в отношении предпринимательской деятельности по передаче в аренду площадей под торговлю (стационарных торговых мест), осуществляемой доверительным управляющим, признается доверительный управляющий, который обязан уплачивать указанный налог по месту осуществления предпринимательской деятельности, облагаемой данным налогом. </w:t>
      </w:r>
      <w:r w:rsidRPr="00705BC8">
        <w:rPr>
          <w:spacing w:val="0"/>
        </w:rPr>
        <w:br/>
        <w:t xml:space="preserve">Уплата ЕНВД должна осуществляться за счет прибыли, полученной доверительным управляющим. </w:t>
      </w:r>
      <w:r w:rsidRPr="00705BC8">
        <w:rPr>
          <w:spacing w:val="0"/>
        </w:rPr>
        <w:br/>
      </w:r>
      <w:r w:rsidRPr="00705BC8">
        <w:rPr>
          <w:spacing w:val="0"/>
        </w:rPr>
        <w:br/>
        <w:t xml:space="preserve">Если в вашей местности введена система налогообложения в виде ЕНВД, и вы осуществляете один из видов деятельности, подлежащих переводу на ЕНВД, то вы обязаны уплачивать именно этот налог. Однако пункт 2.1 ст. 346.26 НК РФ предусматривает несколько случаев, когда при соблюдении вышеуказанных условий, ЕНВД не применяется. </w:t>
      </w:r>
      <w:r w:rsidRPr="00705BC8">
        <w:rPr>
          <w:spacing w:val="0"/>
        </w:rPr>
        <w:br/>
        <w:t xml:space="preserve">Согласно внесенным в п. 2.1 ст. 346.26 НК РФ дополнениям единый налог на вмененный доход не применяется в отношении общеустановленных (для перехода на ЕНВД) видов предпринимательской деятельности, в случае осуществления их налогоплательщиками, отнесенными к категории крупнейших. Данный вопрос определяется в соответствии со ст.83 НК РФ. </w:t>
      </w:r>
      <w:r w:rsidRPr="00705BC8">
        <w:rPr>
          <w:spacing w:val="0"/>
        </w:rPr>
        <w:br/>
        <w:t xml:space="preserve">Критерии отнесения российских организаций к крупнейшим налогоплательщикам утверждены приказом ФНС России от 16.05.2007 № ММ-3-06/308@, а особенности постановки на учет крупнейших налогоплательщиков утверждены приказом Минфина России от 11.07.2005 № 85н. </w:t>
      </w:r>
      <w:r w:rsidRPr="00705BC8">
        <w:rPr>
          <w:spacing w:val="0"/>
        </w:rPr>
        <w:br/>
      </w:r>
      <w:r w:rsidRPr="00705BC8">
        <w:rPr>
          <w:spacing w:val="0"/>
        </w:rPr>
        <w:br/>
        <w:t xml:space="preserve">Уплата единого налога предусматривает освобождение от обязанности по уплате следующих налогов: </w:t>
      </w:r>
      <w:r w:rsidRPr="00705BC8">
        <w:rPr>
          <w:spacing w:val="0"/>
        </w:rPr>
        <w:br/>
        <w:t xml:space="preserve">для организаций: налога на прибыль организаций (в отношении прибыли, полученной от предпринимательской деятельности, облагаемой единым налогом), налога на добавленную стоимость, налога на имущество организаций (в отношении имущества, используемого для ведения предпринимательской деятельности, облагаемой единым налогом) и единого социального налога (только с сумм, выплачиваемых работникам в связи с ведением деятельности, облагаемой единым налогом). </w:t>
      </w:r>
      <w:r w:rsidRPr="00705BC8">
        <w:rPr>
          <w:spacing w:val="0"/>
        </w:rPr>
        <w:br/>
        <w:t xml:space="preserve">для индивидуальных предпринимателей: налога на доходы физических лиц (в отношении доходов, полученных от деятельности, облагаемой единым налогом), налога на добавленную стоимость, налога на имущество физических лиц (в отношении имущества, используемого для осуществления предпринимательской деятельности, облагаемой единым налогом) и единого социального налога с полученных доходов и сумм, выплачиваемых своим работникам в связи с ведением деятельности, облагаемой единым налогом. </w:t>
      </w:r>
      <w:r w:rsidRPr="00705BC8">
        <w:rPr>
          <w:spacing w:val="0"/>
        </w:rPr>
        <w:br/>
        <w:t xml:space="preserve">Таким образом, налогоплательщики освобождаются от уплаты перечисленных в статье налогов, только в части тех операций или активов, которые относятся к деятельности, облагаемой единым налогом. </w:t>
      </w:r>
      <w:r w:rsidRPr="00705BC8">
        <w:rPr>
          <w:spacing w:val="0"/>
        </w:rPr>
        <w:br/>
      </w:r>
      <w:r w:rsidRPr="00705BC8">
        <w:rPr>
          <w:spacing w:val="0"/>
        </w:rPr>
        <w:br/>
        <w:t xml:space="preserve">Организации и индивидуальные предприниматели, являющиеся налогоплательщиками единого налога, уплачивают страховые взносы на обязательное пенсионное страхование в соответствии с законодательством Российской Федерации. </w:t>
      </w:r>
      <w:r w:rsidRPr="00705BC8">
        <w:rPr>
          <w:spacing w:val="0"/>
        </w:rPr>
        <w:br/>
        <w:t xml:space="preserve">Кроме того, переход на уплату единого налога не освобождает организации от уплаты государственной пошлины, таможенных пошлин, платежей за пользование природными ресурсами (платежей за пользование объектами животного мира и водными биологическими ресурсами, водного налога), транспортного налога. </w:t>
      </w:r>
      <w:r w:rsidRPr="00705BC8">
        <w:rPr>
          <w:spacing w:val="0"/>
        </w:rPr>
        <w:br/>
      </w:r>
      <w:r w:rsidRPr="00705BC8">
        <w:rPr>
          <w:spacing w:val="0"/>
        </w:rPr>
        <w:br/>
        <w:t xml:space="preserve">Объектом налогообложения для применения единого налога признается вмененный доход налогоплательщика. Вмененный доход рассчитывается как потенциально возможный доход налогоплательщика единого налога, рассчитываемый с учетом совокупности факторов, непосредственно влияющих на получение указанного дохода, и используемый для расчета величины единого налога по установленной ставке. В настоящее время установлен единый для всех регионов порядок расчета вмененного дохода. </w:t>
      </w:r>
      <w:r w:rsidRPr="00705BC8">
        <w:rPr>
          <w:spacing w:val="0"/>
        </w:rPr>
        <w:br/>
      </w:r>
      <w:r w:rsidRPr="00705BC8">
        <w:rPr>
          <w:spacing w:val="0"/>
        </w:rPr>
        <w:br/>
        <w:t xml:space="preserve">Справедливость выбора вмененного дохода в качестве объекта обложения единым налогом обосновывается следующими аргументами. Во-первых, именно с целью извлечения дохода осуществляется предпринимательская деятельность. Поэтому обложение налогом получаемого дохода, безусловно, целесообразно. Во-вторых, полученный доход является реальным источником уплаты единого налога. В-третьих, предприятия не уплачивают других налогов с дохода (физические лица платят налог с полученных ими доходов). В-четвертых, налог на вмененный доход широко используется в практике налогообложения многих стран (США, Испания, Франция и т. д.). </w:t>
      </w:r>
      <w:r w:rsidRPr="00705BC8">
        <w:rPr>
          <w:spacing w:val="0"/>
        </w:rPr>
        <w:br/>
        <w:t xml:space="preserve">Налоговой базой 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 Приведем новые физические показатели, характеризующие определенный вид предпринимательской деятельности, и базовую доходность в месяц, которой необходимо будет руководствоваться с 1 января 2008 г. </w:t>
      </w:r>
      <w:hyperlink r:id="rId19" w:history="1">
        <w:r w:rsidRPr="00705BC8">
          <w:rPr>
            <w:rStyle w:val="a3"/>
            <w:color w:val="auto"/>
            <w:spacing w:val="0"/>
          </w:rPr>
          <w:t>(табл. 1):</w:t>
        </w:r>
      </w:hyperlink>
      <w:r w:rsidRPr="00705BC8">
        <w:rPr>
          <w:spacing w:val="0"/>
        </w:rPr>
        <w:t xml:space="preserve"> </w:t>
      </w:r>
      <w:r w:rsidRPr="00705BC8">
        <w:rPr>
          <w:spacing w:val="0"/>
        </w:rPr>
        <w:br/>
        <w:t xml:space="preserve">При исчислении налоговой базы используется следующая формула расчета: </w:t>
      </w:r>
      <w:r w:rsidRPr="00705BC8">
        <w:rPr>
          <w:spacing w:val="0"/>
        </w:rPr>
        <w:br/>
      </w:r>
      <w:r w:rsidRPr="0066114E">
        <w:rPr>
          <w:b/>
          <w:spacing w:val="0"/>
        </w:rPr>
        <w:t>ВД = (БД x (N1 + N2 + N3) x К1 x К2 x К3)</w:t>
      </w:r>
      <w:r w:rsidRPr="00705BC8">
        <w:rPr>
          <w:spacing w:val="0"/>
        </w:rPr>
        <w:t xml:space="preserve">, где </w:t>
      </w:r>
      <w:r w:rsidRPr="00705BC8">
        <w:rPr>
          <w:spacing w:val="0"/>
        </w:rPr>
        <w:br/>
        <w:t xml:space="preserve">ВД - величина вмененного дохода, </w:t>
      </w:r>
      <w:r w:rsidRPr="00705BC8">
        <w:rPr>
          <w:spacing w:val="0"/>
        </w:rPr>
        <w:br/>
        <w:t xml:space="preserve">БД - значение базовой доходности в месяц по определенному виду предпринимательской деятельности, </w:t>
      </w:r>
      <w:r w:rsidRPr="00705BC8">
        <w:rPr>
          <w:spacing w:val="0"/>
        </w:rPr>
        <w:br/>
        <w:t xml:space="preserve">N1, N2, N3 - физические показатели, характеризующие данный вид деятельности, в каждом месяце налогового периода, </w:t>
      </w:r>
      <w:r w:rsidRPr="00705BC8">
        <w:rPr>
          <w:spacing w:val="0"/>
        </w:rPr>
        <w:br/>
        <w:t xml:space="preserve">К1, К2, К3 - корректирующие коэффициенты базовой доходности. </w:t>
      </w:r>
      <w:r w:rsidRPr="00705BC8">
        <w:rPr>
          <w:spacing w:val="0"/>
        </w:rPr>
        <w:br/>
      </w:r>
      <w:r w:rsidRPr="0066114E">
        <w:rPr>
          <w:b/>
          <w:spacing w:val="0"/>
        </w:rPr>
        <w:t xml:space="preserve">К1 </w:t>
      </w:r>
      <w:r w:rsidRPr="00705BC8">
        <w:rPr>
          <w:spacing w:val="0"/>
        </w:rPr>
        <w:t xml:space="preserve">- корректирующий коэффициент базовой доходности, учитывающий совокупность особенностей ведения предпринимательской деятельности в различных муниципальных образованиях, особенностей населенного пункта или места расположения, а также места расположения внутри населенного пункта, определяется как отношение значения кадастровой стоимости земли по месту осуществления деятельности налогоплательщиком к максимальной кадастровой стоимости земли, установленной Государственным земельным кадастром для данного вида деятельности. Сведения о кадастровой стоимости земли, используемые при исчислении суммы единого налога на вмененный доход для отдельных видов деятельности, доводятся до налогоплательщиков территориальными органами Росземкадастра в субъектах Российской Федерации через соответствующие официальные источники информации не позднее 30 ноября текущего календарного года (Распоряжение Правительства Российской Федерации от 13.11.2002 г. №1590-р). 2003-2005 гг. этот коэффициент не применялся (ст. 7.1 Федерального закона от 24.07.2002 г. № 104-ФЗ) С 2006 г. данный коэффициент отменен. </w:t>
      </w:r>
      <w:r w:rsidRPr="00705BC8">
        <w:rPr>
          <w:spacing w:val="0"/>
        </w:rPr>
        <w:br/>
      </w:r>
      <w:r w:rsidRPr="0066114E">
        <w:rPr>
          <w:b/>
          <w:spacing w:val="0"/>
        </w:rPr>
        <w:t>К2</w:t>
      </w:r>
      <w:r w:rsidRPr="00705BC8">
        <w:rPr>
          <w:spacing w:val="0"/>
        </w:rPr>
        <w:t xml:space="preserve">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время работы, величину доходов, особенности места ведения предпринимательской деятельности и иные особенности. Его значения определяются для всех категорий налогоплательщиков субъектами Российской Федерации на календарный год и могут быть установлены в пределах от 0,005 до 1 включительно; </w:t>
      </w:r>
      <w:r w:rsidRPr="00705BC8">
        <w:rPr>
          <w:spacing w:val="0"/>
        </w:rPr>
        <w:br/>
      </w:r>
      <w:r w:rsidRPr="0066114E">
        <w:rPr>
          <w:b/>
          <w:spacing w:val="0"/>
        </w:rPr>
        <w:t>К3</w:t>
      </w:r>
      <w:r w:rsidRPr="00705BC8">
        <w:rPr>
          <w:spacing w:val="0"/>
        </w:rPr>
        <w:t xml:space="preserve"> - коэффициент - дефлятор, соответствующий индексу изменения потребительских цен на товары (работы, услуги) в Российской Федерации. Коэффициент - дефлятор публикуется в порядке, установленном Правительством Российской Федерации (распоряжение Правительства Российской Федерации от 25.12.2002 г. № 1834-р) В 2003 г. он был равен единице (ст. 7.1 Федерального закона от 24.07.2002 г. № 104-ФЗ). В 2004 г. он составлял 1,133 (Приказ Минэкономразвития и торговли РФ от 11.11.2003. № 337 «Об установлении коэффициента-дефлятора на 2004 год»). В 2005 г. он был равен 1,104 (Приказ Минэкономразвития и торговли РФ от 09.11.2004 г. № 298 «Об установлении коэффициента-дефлятора на 2005 год»). </w:t>
      </w:r>
      <w:r w:rsidRPr="00705BC8">
        <w:rPr>
          <w:spacing w:val="0"/>
        </w:rPr>
        <w:br/>
      </w:r>
      <w:r w:rsidR="0066114E">
        <w:rPr>
          <w:spacing w:val="0"/>
        </w:rPr>
        <w:t>Отмети</w:t>
      </w:r>
      <w:r w:rsidRPr="00705BC8">
        <w:rPr>
          <w:spacing w:val="0"/>
        </w:rPr>
        <w:t xml:space="preserve">м, что если нормативный правовой акт представительного органа муниципального района, городского округа, законы городов федерального значения Москвы и Санкт-Петербурга о внесении изменений в действующие значения корректирующего коэффициента К2 не приняты до начала следующего календарного года и (или) не вступили в силу в установленном НК РФ порядке с начала следующего календарного года, то в следующем календарном году продолжают действовать значения корректирующего коэффициента К2, действовавшие в предыдущем календарном году. </w:t>
      </w:r>
      <w:r w:rsidRPr="00705BC8">
        <w:rPr>
          <w:spacing w:val="0"/>
        </w:rPr>
        <w:br/>
        <w:t xml:space="preserve">При расчете суммы ЕНВД в 2007 г. следует использовать значение коэффициента – дефлятора К1, установленное приказом Минэкономразвития России от 3 ноября 2006 г. № 359 «Об установлении коэффициента – дефлятора K1 на 2007 год» в размере 1,096. </w:t>
      </w:r>
      <w:r w:rsidRPr="00705BC8">
        <w:rPr>
          <w:spacing w:val="0"/>
        </w:rPr>
        <w:br/>
        <w:t>Об этом указывается в письме Минфина России от 29 мая 2007 г. № 03-11-02/151, направленном в адрес ФНС России, в котором сообщается, что письмо Ми</w:t>
      </w:r>
      <w:r w:rsidR="0066114E">
        <w:rPr>
          <w:spacing w:val="0"/>
        </w:rPr>
        <w:t xml:space="preserve">нфина России от 02 марта 2007 г. </w:t>
      </w:r>
      <w:r w:rsidRPr="00705BC8">
        <w:rPr>
          <w:spacing w:val="0"/>
        </w:rPr>
        <w:t xml:space="preserve">№ 03-11-02/62 не подлежит применению. Другими словами, налогоплательщикам не следует использовать для расчета ЕНВД коэффициент 1,241, полученный путем перемножения коэффициента К 1, установленного на 2006 г. в размере 1,132 и коэффициента К 1, установленного на 2007 г. в размере 1,096 (Письмо Минфина России от 01 июня 2007 г. № 03-11-04/3/199). </w:t>
      </w:r>
      <w:r w:rsidRPr="00705BC8">
        <w:rPr>
          <w:spacing w:val="0"/>
        </w:rPr>
        <w:br/>
        <w:t xml:space="preserve">Для целей исчисления ЕНВД установлен на 2008 год коэффициент-дефлятор К 1, равный 1,081. Приказ Минэкономразвития РФ от 19.11.2007 N 401. </w:t>
      </w:r>
      <w:r w:rsidRPr="00705BC8">
        <w:rPr>
          <w:spacing w:val="0"/>
        </w:rPr>
        <w:br/>
      </w:r>
      <w:r w:rsidRPr="00705BC8">
        <w:rPr>
          <w:spacing w:val="0"/>
        </w:rPr>
        <w:br/>
        <w:t xml:space="preserve">Вновь зарегистрированные налогоплательщики исчисляют налоговую базу за налоговый период исходя из полных месяцев начиная с месяца, следующего за месяцем их государственной регистрации. </w:t>
      </w:r>
      <w:r w:rsidRPr="00705BC8">
        <w:rPr>
          <w:spacing w:val="0"/>
        </w:rPr>
        <w:br/>
      </w:r>
      <w:r w:rsidRPr="00705BC8">
        <w:rPr>
          <w:spacing w:val="0"/>
        </w:rPr>
        <w:br/>
        <w:t xml:space="preserve">В случае изменения в течение налогового периода величины физического показателя налогоплательщик при исчислении налоговой базы учитывает такое изменение с начала того месяца, в котором это изменение имело место. При этом не имеет значения, что изменение может произойти, например, в последний день месяца. </w:t>
      </w:r>
      <w:r w:rsidRPr="00705BC8">
        <w:rPr>
          <w:spacing w:val="0"/>
        </w:rPr>
        <w:br/>
      </w:r>
      <w:r w:rsidRPr="00705BC8">
        <w:rPr>
          <w:spacing w:val="0"/>
        </w:rPr>
        <w:br/>
      </w:r>
      <w:r w:rsidRPr="005B62DE">
        <w:rPr>
          <w:b/>
          <w:spacing w:val="0"/>
          <w:u w:val="single"/>
        </w:rPr>
        <w:t>Налоговый период</w:t>
      </w:r>
      <w:r w:rsidRPr="00705BC8">
        <w:rPr>
          <w:spacing w:val="0"/>
        </w:rPr>
        <w:t xml:space="preserve"> по единому налогу на вмененный доход устанавливается в один квартал. Целесообразнее было бы установить его сроком один месяц, поскольку это позволило бы избежать неясностей, возникающих из-за того, что объектом налогообложения признаётся вмененный доход на месяц. Отчётные периоды по единому налогу на вменённый доход не установлены. </w:t>
      </w:r>
      <w:r w:rsidRPr="00705BC8">
        <w:rPr>
          <w:spacing w:val="0"/>
        </w:rPr>
        <w:br/>
      </w:r>
      <w:r w:rsidRPr="00705BC8">
        <w:rPr>
          <w:spacing w:val="0"/>
        </w:rPr>
        <w:br/>
      </w:r>
      <w:r w:rsidRPr="005B62DE">
        <w:rPr>
          <w:b/>
          <w:spacing w:val="0"/>
          <w:u w:val="single"/>
        </w:rPr>
        <w:t>Налоговая ставка</w:t>
      </w:r>
      <w:r w:rsidRPr="00705BC8">
        <w:rPr>
          <w:spacing w:val="0"/>
        </w:rPr>
        <w:t xml:space="preserve"> по единому налогу определена в размере 15% от вменённого дохода. </w:t>
      </w:r>
      <w:r w:rsidRPr="00705BC8">
        <w:rPr>
          <w:spacing w:val="0"/>
        </w:rPr>
        <w:br/>
        <w:t xml:space="preserve">Порядок и сроки уплаты единого налога. Организации и индивидуальные предприниматели определяют сумму единого налога, подлежащую уплате в бюджет по итогам налогового периода, самостоятельно. Форма налоговой декларации и порядок ее заполнения утверждаются Министерством финансов Российской Федерации. Налоговые декларации по итогам налогового периода представляются налогоплательщиками в налоговые органы не позднее 20-го числа первого месяца следующего налогового периода. </w:t>
      </w:r>
      <w:r w:rsidRPr="00705BC8">
        <w:rPr>
          <w:spacing w:val="0"/>
        </w:rPr>
        <w:br/>
      </w:r>
      <w:r w:rsidRPr="0066114E">
        <w:rPr>
          <w:spacing w:val="0"/>
          <w:u w:val="single"/>
        </w:rPr>
        <w:t xml:space="preserve">Налог рассчитывается исходя из величины налоговой базы и налоговой ставки. </w:t>
      </w:r>
      <w:r w:rsidRPr="0066114E">
        <w:rPr>
          <w:spacing w:val="0"/>
          <w:u w:val="single"/>
        </w:rPr>
        <w:br/>
      </w:r>
      <w:r w:rsidRPr="0066114E">
        <w:rPr>
          <w:spacing w:val="0"/>
          <w:u w:val="single"/>
        </w:rPr>
        <w:br/>
      </w:r>
      <w:r w:rsidRPr="00705BC8">
        <w:rPr>
          <w:spacing w:val="0"/>
        </w:rPr>
        <w:t xml:space="preserve">Право на налоговый вычет имеют и индивидуальные предприниматели. Они могут уменьшить сумму единого налога на величину страховых взносов на обязательное пенсионное страхование в виде фиксированных взносов, уплаченных на себя. </w:t>
      </w:r>
      <w:r w:rsidRPr="00705BC8">
        <w:rPr>
          <w:spacing w:val="0"/>
        </w:rPr>
        <w:br/>
      </w:r>
      <w:r w:rsidRPr="0066114E">
        <w:rPr>
          <w:spacing w:val="0"/>
          <w:u w:val="single"/>
        </w:rPr>
        <w:t>Уплата единого налога</w:t>
      </w:r>
      <w:r w:rsidRPr="00705BC8">
        <w:rPr>
          <w:spacing w:val="0"/>
        </w:rPr>
        <w:t xml:space="preserve"> производится налогоплательщиком по итогам налогового периода не позднее 25-го числа первого месяца следующего налогового периода. Суммы единого налога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Российской Федерации. </w:t>
      </w:r>
      <w:r w:rsidR="00D5413B" w:rsidRPr="00705BC8">
        <w:rPr>
          <w:spacing w:val="0"/>
        </w:rPr>
        <w:br w:type="page"/>
      </w:r>
      <w:r w:rsidR="00D5413B" w:rsidRPr="00705BC8">
        <w:rPr>
          <w:b/>
          <w:spacing w:val="0"/>
        </w:rPr>
        <w:t>2.Порядок уплаты государственной пошлины.</w:t>
      </w:r>
    </w:p>
    <w:p w:rsidR="00D5413B" w:rsidRPr="00705BC8" w:rsidRDefault="00D5413B" w:rsidP="00D5413B">
      <w:pPr>
        <w:pStyle w:val="2"/>
        <w:jc w:val="both"/>
        <w:rPr>
          <w:sz w:val="28"/>
          <w:szCs w:val="28"/>
        </w:rPr>
      </w:pPr>
      <w:r w:rsidRPr="00705BC8">
        <w:rPr>
          <w:sz w:val="28"/>
          <w:szCs w:val="28"/>
        </w:rPr>
        <w:t>Налоговый кодекс Российской Федерации (часть вторая) от 05.08.2000 N 117-ФЗ (ред. от 05.04.2010).</w:t>
      </w:r>
    </w:p>
    <w:p w:rsidR="00D5413B" w:rsidRPr="00705BC8" w:rsidRDefault="00D5413B" w:rsidP="00D5413B">
      <w:pPr>
        <w:pStyle w:val="3"/>
        <w:jc w:val="both"/>
        <w:rPr>
          <w:rFonts w:ascii="Times New Roman" w:hAnsi="Times New Roman" w:cs="Times New Roman"/>
          <w:spacing w:val="0"/>
          <w:sz w:val="28"/>
          <w:szCs w:val="28"/>
        </w:rPr>
      </w:pPr>
      <w:r w:rsidRPr="00705BC8">
        <w:rPr>
          <w:rFonts w:ascii="Times New Roman" w:hAnsi="Times New Roman" w:cs="Times New Roman"/>
          <w:spacing w:val="0"/>
          <w:sz w:val="28"/>
          <w:szCs w:val="28"/>
        </w:rPr>
        <w:t>Порядок уплаты госпошлины.</w:t>
      </w:r>
    </w:p>
    <w:p w:rsidR="00D5413B" w:rsidRPr="00705BC8" w:rsidRDefault="00D5413B" w:rsidP="00D5413B">
      <w:pPr>
        <w:ind w:firstLine="709"/>
        <w:jc w:val="both"/>
        <w:rPr>
          <w:spacing w:val="0"/>
        </w:rPr>
      </w:pPr>
      <w:r w:rsidRPr="00705BC8">
        <w:rPr>
          <w:spacing w:val="0"/>
        </w:rPr>
        <w:t>В соответствии с положениями пунктов 1, 2 и 5 статьи 45, статьи 333.17 Налогового кодекса Российской Федерации плательщик государственной пошлины обязан самостоятельно, то есть от своего имени, уплатить ее в бюджет, если иное не установлено законодательством о налогах и сборах. Уплата государственной пошлины иным лицом за истца (заявителя) законодательством не предусмотрена.</w:t>
      </w:r>
    </w:p>
    <w:p w:rsidR="00D5413B" w:rsidRPr="00705BC8" w:rsidRDefault="00D5413B" w:rsidP="00D5413B">
      <w:pPr>
        <w:ind w:firstLine="709"/>
        <w:jc w:val="both"/>
        <w:rPr>
          <w:spacing w:val="0"/>
        </w:rPr>
      </w:pPr>
      <w:r w:rsidRPr="00705BC8">
        <w:rPr>
          <w:spacing w:val="0"/>
        </w:rPr>
        <w:t>Согласно пункту 3 статьи 333.18 Налогового кодекса Российской Федерации (далее – НК РФ) факт уплаты государственной пошлины в безналичной форме подтверждается платежным поручением плательщика с отметкой банка о его исполнении или соответствующего территориального органа Федерального казначейства (иного органа, осуществляющего открытие и ведение счетов), в том числе производящего расчеты в электронной форме. Доказательством уплаты государственной пошлины в безналичной форме является платежное поручение, на котором проставлены в поле "Списано со счета плательщика" - дата списания денежных средств со счета плательщика (при частичной оплате - дата последнего платежа), в поле "Отметки банка" - штамп банка и подпись ответственного исполнителя.</w:t>
      </w:r>
    </w:p>
    <w:p w:rsidR="00D5413B" w:rsidRPr="00705BC8" w:rsidRDefault="00D5413B" w:rsidP="00D5413B">
      <w:pPr>
        <w:ind w:firstLine="709"/>
        <w:jc w:val="both"/>
        <w:rPr>
          <w:spacing w:val="0"/>
        </w:rPr>
      </w:pPr>
      <w:r w:rsidRPr="00705BC8">
        <w:rPr>
          <w:spacing w:val="0"/>
        </w:rPr>
        <w:t>Факт уплаты государственной пошлины плательщиком в наличной форме подтверждается либо квитанцией установленной формы, выдаваемой плательщику банком, либо квитанцией, выдаваемой плательщику должностным лицом или кассой органа, в который производилась оплата.</w:t>
      </w:r>
    </w:p>
    <w:p w:rsidR="00D5413B" w:rsidRPr="00705BC8" w:rsidRDefault="00D5413B" w:rsidP="00D5413B">
      <w:pPr>
        <w:ind w:firstLine="709"/>
        <w:jc w:val="both"/>
        <w:rPr>
          <w:spacing w:val="0"/>
        </w:rPr>
      </w:pPr>
      <w:r w:rsidRPr="00705BC8">
        <w:rPr>
          <w:spacing w:val="0"/>
        </w:rPr>
        <w:t> </w:t>
      </w:r>
    </w:p>
    <w:p w:rsidR="00D5413B" w:rsidRPr="00705BC8" w:rsidRDefault="00D5413B" w:rsidP="00D5413B">
      <w:pPr>
        <w:ind w:firstLine="709"/>
        <w:jc w:val="both"/>
        <w:rPr>
          <w:spacing w:val="0"/>
        </w:rPr>
      </w:pPr>
      <w:r w:rsidRPr="00705BC8">
        <w:rPr>
          <w:spacing w:val="0"/>
        </w:rPr>
        <w:t>По делам, рассматриваемым в арбитражных судах, государственная пошлина уплачивается в следующих размерах:</w:t>
      </w:r>
    </w:p>
    <w:p w:rsidR="00D5413B" w:rsidRPr="00705BC8" w:rsidRDefault="00D5413B" w:rsidP="00D5413B">
      <w:pPr>
        <w:tabs>
          <w:tab w:val="num" w:pos="1066"/>
        </w:tabs>
        <w:ind w:firstLine="709"/>
        <w:jc w:val="both"/>
        <w:rPr>
          <w:spacing w:val="0"/>
        </w:rPr>
      </w:pPr>
      <w:r w:rsidRPr="00705BC8">
        <w:rPr>
          <w:spacing w:val="0"/>
        </w:rPr>
        <w:t>1.      при подаче искового заявления имущественного характера, подлежащего оценке, при цене иска:</w:t>
      </w:r>
    </w:p>
    <w:p w:rsidR="00D5413B" w:rsidRPr="00705BC8" w:rsidRDefault="00D5413B" w:rsidP="00D5413B">
      <w:pPr>
        <w:adjustRightInd w:val="0"/>
        <w:ind w:firstLine="540"/>
        <w:jc w:val="both"/>
        <w:rPr>
          <w:spacing w:val="0"/>
        </w:rPr>
      </w:pPr>
      <w:r w:rsidRPr="00705BC8">
        <w:rPr>
          <w:spacing w:val="0"/>
        </w:rPr>
        <w:t>до 100 000 рублей - 4 процента цены иска, но не менее 2 000 рублей;</w:t>
      </w:r>
    </w:p>
    <w:p w:rsidR="00D5413B" w:rsidRPr="00705BC8" w:rsidRDefault="00D5413B" w:rsidP="00D5413B">
      <w:pPr>
        <w:adjustRightInd w:val="0"/>
        <w:ind w:firstLine="540"/>
        <w:jc w:val="both"/>
        <w:rPr>
          <w:spacing w:val="0"/>
        </w:rPr>
      </w:pPr>
      <w:r w:rsidRPr="00705BC8">
        <w:rPr>
          <w:spacing w:val="0"/>
        </w:rPr>
        <w:t>от 100 001 рубля до 200 000 рублей - 4 000 рублей плюс 3 процента суммы, превышающей 100 000 рублей;</w:t>
      </w:r>
    </w:p>
    <w:p w:rsidR="00D5413B" w:rsidRPr="00705BC8" w:rsidRDefault="00D5413B" w:rsidP="00D5413B">
      <w:pPr>
        <w:adjustRightInd w:val="0"/>
        <w:ind w:firstLine="540"/>
        <w:jc w:val="both"/>
        <w:rPr>
          <w:spacing w:val="0"/>
        </w:rPr>
      </w:pPr>
      <w:r w:rsidRPr="00705BC8">
        <w:rPr>
          <w:spacing w:val="0"/>
        </w:rPr>
        <w:t>от 200 001 рубля до 1 000 000 рублей - 7 000 рублей плюс 2 процента суммы, превышающей 200 000 рублей;</w:t>
      </w:r>
    </w:p>
    <w:p w:rsidR="00D5413B" w:rsidRPr="00705BC8" w:rsidRDefault="00D5413B" w:rsidP="00D5413B">
      <w:pPr>
        <w:adjustRightInd w:val="0"/>
        <w:ind w:firstLine="540"/>
        <w:jc w:val="both"/>
        <w:rPr>
          <w:spacing w:val="0"/>
        </w:rPr>
      </w:pPr>
      <w:r w:rsidRPr="00705BC8">
        <w:rPr>
          <w:spacing w:val="0"/>
        </w:rPr>
        <w:t>от 1 000 001 рубля до 2 000 000 рублей - 23 000 рублей плюс 1 процент суммы, превышающей 1 000 000 рублей;</w:t>
      </w:r>
    </w:p>
    <w:p w:rsidR="00D5413B" w:rsidRPr="00705BC8" w:rsidRDefault="00D5413B" w:rsidP="00D5413B">
      <w:pPr>
        <w:adjustRightInd w:val="0"/>
        <w:ind w:firstLine="540"/>
        <w:jc w:val="both"/>
        <w:rPr>
          <w:spacing w:val="0"/>
        </w:rPr>
      </w:pPr>
      <w:r w:rsidRPr="00705BC8">
        <w:rPr>
          <w:spacing w:val="0"/>
        </w:rPr>
        <w:t>свыше 2 000 000 рублей - 33 000 рублей плюс 0,5 процента суммы, превышающей 2 000 000 рублей, но не более 200 000 рублей;</w:t>
      </w:r>
    </w:p>
    <w:p w:rsidR="00D5413B" w:rsidRPr="00705BC8" w:rsidRDefault="00D5413B" w:rsidP="00D5413B">
      <w:pPr>
        <w:tabs>
          <w:tab w:val="num" w:pos="1066"/>
        </w:tabs>
        <w:adjustRightInd w:val="0"/>
        <w:ind w:firstLine="709"/>
        <w:jc w:val="both"/>
        <w:rPr>
          <w:spacing w:val="0"/>
        </w:rPr>
      </w:pPr>
      <w:r w:rsidRPr="00705BC8">
        <w:rPr>
          <w:spacing w:val="0"/>
        </w:rPr>
        <w:t>2.      при подаче искового заявления по спорам, возникающим при заключении, изменении или расторжении договоров, а также по спорам о признании сделок недействительными - 4 000 рублей;</w:t>
      </w:r>
    </w:p>
    <w:p w:rsidR="00D5413B" w:rsidRPr="00705BC8" w:rsidRDefault="00D5413B" w:rsidP="00D5413B">
      <w:pPr>
        <w:tabs>
          <w:tab w:val="num" w:pos="1066"/>
        </w:tabs>
        <w:adjustRightInd w:val="0"/>
        <w:ind w:firstLine="709"/>
        <w:jc w:val="both"/>
        <w:rPr>
          <w:spacing w:val="0"/>
        </w:rPr>
      </w:pPr>
      <w:r w:rsidRPr="00705BC8">
        <w:rPr>
          <w:spacing w:val="0"/>
        </w:rPr>
        <w:t>3.      при подаче заявлений о признании нормативного правового акта недействующим, о признании ненормативного правового акта недействительным и о признании решений и действий (бездействия) государственных органов, органов местного самоуправления, иных органов, должностных лиц незаконными:</w:t>
      </w:r>
    </w:p>
    <w:p w:rsidR="00D5413B" w:rsidRPr="00705BC8" w:rsidRDefault="00D5413B" w:rsidP="00D5413B">
      <w:pPr>
        <w:adjustRightInd w:val="0"/>
        <w:ind w:firstLine="540"/>
        <w:jc w:val="both"/>
        <w:rPr>
          <w:spacing w:val="0"/>
        </w:rPr>
      </w:pPr>
      <w:r w:rsidRPr="00705BC8">
        <w:rPr>
          <w:spacing w:val="0"/>
        </w:rPr>
        <w:t>для физических лиц - 200 рублей;</w:t>
      </w:r>
    </w:p>
    <w:p w:rsidR="00D5413B" w:rsidRPr="00705BC8" w:rsidRDefault="00D5413B" w:rsidP="00D5413B">
      <w:pPr>
        <w:adjustRightInd w:val="0"/>
        <w:ind w:firstLine="540"/>
        <w:jc w:val="both"/>
        <w:rPr>
          <w:spacing w:val="0"/>
        </w:rPr>
      </w:pPr>
      <w:r w:rsidRPr="00705BC8">
        <w:rPr>
          <w:spacing w:val="0"/>
        </w:rPr>
        <w:t>для организаций - 2 000 рублей;</w:t>
      </w:r>
    </w:p>
    <w:p w:rsidR="00D5413B" w:rsidRPr="00705BC8" w:rsidRDefault="00D5413B" w:rsidP="00D5413B">
      <w:pPr>
        <w:tabs>
          <w:tab w:val="num" w:pos="1066"/>
        </w:tabs>
        <w:adjustRightInd w:val="0"/>
        <w:ind w:firstLine="709"/>
        <w:jc w:val="both"/>
        <w:rPr>
          <w:spacing w:val="0"/>
        </w:rPr>
      </w:pPr>
      <w:r w:rsidRPr="00705BC8">
        <w:rPr>
          <w:spacing w:val="0"/>
        </w:rPr>
        <w:t>4.      при подаче иных исковых заявлений неимущественного характера, в том числе заявления о признании права, заявления о присуждении к исполнению обязанности в натуре, - 4 000 рублей;</w:t>
      </w:r>
    </w:p>
    <w:p w:rsidR="00D5413B" w:rsidRPr="00705BC8" w:rsidRDefault="00D5413B" w:rsidP="00D5413B">
      <w:pPr>
        <w:tabs>
          <w:tab w:val="num" w:pos="1066"/>
        </w:tabs>
        <w:adjustRightInd w:val="0"/>
        <w:ind w:firstLine="709"/>
        <w:jc w:val="both"/>
        <w:rPr>
          <w:spacing w:val="0"/>
        </w:rPr>
      </w:pPr>
      <w:r w:rsidRPr="00705BC8">
        <w:rPr>
          <w:spacing w:val="0"/>
        </w:rPr>
        <w:t>5.      при подаче заявления о признании должника несостоятельным (банкротом) - 4 000 рублей;</w:t>
      </w:r>
    </w:p>
    <w:p w:rsidR="00D5413B" w:rsidRPr="00705BC8" w:rsidRDefault="00D5413B" w:rsidP="00D5413B">
      <w:pPr>
        <w:tabs>
          <w:tab w:val="num" w:pos="1066"/>
        </w:tabs>
        <w:adjustRightInd w:val="0"/>
        <w:ind w:firstLine="709"/>
        <w:jc w:val="both"/>
        <w:rPr>
          <w:spacing w:val="0"/>
        </w:rPr>
      </w:pPr>
      <w:r w:rsidRPr="00705BC8">
        <w:rPr>
          <w:spacing w:val="0"/>
        </w:rPr>
        <w:t>6.      при подаче заявления об установлении фактов, имеющих юридическое значение, - 2 000 рублей;</w:t>
      </w:r>
    </w:p>
    <w:p w:rsidR="00D5413B" w:rsidRPr="00705BC8" w:rsidRDefault="00D5413B" w:rsidP="00D5413B">
      <w:pPr>
        <w:tabs>
          <w:tab w:val="num" w:pos="1066"/>
        </w:tabs>
        <w:adjustRightInd w:val="0"/>
        <w:ind w:firstLine="709"/>
        <w:jc w:val="both"/>
        <w:rPr>
          <w:spacing w:val="0"/>
        </w:rPr>
      </w:pPr>
      <w:r w:rsidRPr="00705BC8">
        <w:rPr>
          <w:spacing w:val="0"/>
        </w:rPr>
        <w:t>7.      при подаче заявления о вступлении в дело третьих лиц, заявляющих самостоятельные требования относительно предмета спора:</w:t>
      </w:r>
    </w:p>
    <w:p w:rsidR="00D5413B" w:rsidRPr="00705BC8" w:rsidRDefault="00D5413B" w:rsidP="00D5413B">
      <w:pPr>
        <w:adjustRightInd w:val="0"/>
        <w:jc w:val="both"/>
        <w:rPr>
          <w:spacing w:val="0"/>
        </w:rPr>
      </w:pPr>
      <w:r w:rsidRPr="00705BC8">
        <w:rPr>
          <w:spacing w:val="0"/>
        </w:rPr>
        <w:tab/>
        <w:t>по спорам имущественного характера, если иск не подлежит оценке, а также по спорам неимущественного характера - в размере государственной пошлины, уплачиваемой при подаче искового заявления неимущественного характера;</w:t>
      </w:r>
    </w:p>
    <w:p w:rsidR="00D5413B" w:rsidRPr="00705BC8" w:rsidRDefault="00D5413B" w:rsidP="00D5413B">
      <w:pPr>
        <w:adjustRightInd w:val="0"/>
        <w:jc w:val="both"/>
        <w:rPr>
          <w:spacing w:val="0"/>
        </w:rPr>
      </w:pPr>
      <w:r w:rsidRPr="00705BC8">
        <w:rPr>
          <w:spacing w:val="0"/>
        </w:rPr>
        <w:tab/>
        <w:t>по спорам имущественного характера - в размере государственной пошлины, уплачиваемой исходя из оспариваемой третьим лицом суммы;</w:t>
      </w:r>
    </w:p>
    <w:p w:rsidR="00D5413B" w:rsidRPr="00705BC8" w:rsidRDefault="00D5413B" w:rsidP="00D5413B">
      <w:pPr>
        <w:tabs>
          <w:tab w:val="num" w:pos="1066"/>
        </w:tabs>
        <w:adjustRightInd w:val="0"/>
        <w:ind w:firstLine="709"/>
        <w:jc w:val="both"/>
        <w:rPr>
          <w:spacing w:val="0"/>
        </w:rPr>
      </w:pPr>
      <w:r w:rsidRPr="00705BC8">
        <w:rPr>
          <w:spacing w:val="0"/>
        </w:rPr>
        <w:t>8.      при подаче заявления о выдаче исполнительных листов на принудительное исполнение решения третейского суда - 2 000 рублей;</w:t>
      </w:r>
    </w:p>
    <w:p w:rsidR="00D5413B" w:rsidRPr="00705BC8" w:rsidRDefault="00D5413B" w:rsidP="00D5413B">
      <w:pPr>
        <w:tabs>
          <w:tab w:val="num" w:pos="1066"/>
        </w:tabs>
        <w:adjustRightInd w:val="0"/>
        <w:ind w:firstLine="709"/>
        <w:jc w:val="both"/>
        <w:rPr>
          <w:spacing w:val="0"/>
        </w:rPr>
      </w:pPr>
      <w:r w:rsidRPr="00705BC8">
        <w:rPr>
          <w:spacing w:val="0"/>
        </w:rPr>
        <w:t>9.      при подаче заявления об обеспечении иска - 2 000 рублей;</w:t>
      </w:r>
    </w:p>
    <w:p w:rsidR="00D5413B" w:rsidRPr="00705BC8" w:rsidRDefault="00D5413B" w:rsidP="00D5413B">
      <w:pPr>
        <w:tabs>
          <w:tab w:val="num" w:pos="1066"/>
        </w:tabs>
        <w:adjustRightInd w:val="0"/>
        <w:ind w:firstLine="709"/>
        <w:jc w:val="both"/>
        <w:rPr>
          <w:spacing w:val="0"/>
        </w:rPr>
      </w:pPr>
      <w:r w:rsidRPr="00705BC8">
        <w:rPr>
          <w:spacing w:val="0"/>
        </w:rPr>
        <w:t>10.  при подаче заявления об отмене решения третейского суда - 2 000 рублей;</w:t>
      </w:r>
    </w:p>
    <w:p w:rsidR="00D5413B" w:rsidRPr="00705BC8" w:rsidRDefault="00D5413B" w:rsidP="00D5413B">
      <w:pPr>
        <w:tabs>
          <w:tab w:val="num" w:pos="1066"/>
        </w:tabs>
        <w:adjustRightInd w:val="0"/>
        <w:ind w:firstLine="709"/>
        <w:jc w:val="both"/>
        <w:rPr>
          <w:spacing w:val="0"/>
        </w:rPr>
      </w:pPr>
      <w:r w:rsidRPr="00705BC8">
        <w:rPr>
          <w:spacing w:val="0"/>
        </w:rPr>
        <w:t>11.  при подаче заявления о признании и приведении в исполнение решения иностранного суда, иностранного арбитражного решения - 2 000 рублей;</w:t>
      </w:r>
    </w:p>
    <w:p w:rsidR="00D5413B" w:rsidRPr="00705BC8" w:rsidRDefault="00D5413B" w:rsidP="00D5413B">
      <w:pPr>
        <w:tabs>
          <w:tab w:val="num" w:pos="1066"/>
        </w:tabs>
        <w:adjustRightInd w:val="0"/>
        <w:ind w:firstLine="709"/>
        <w:jc w:val="both"/>
        <w:rPr>
          <w:spacing w:val="0"/>
        </w:rPr>
      </w:pPr>
      <w:r w:rsidRPr="00705BC8">
        <w:rPr>
          <w:spacing w:val="0"/>
        </w:rPr>
        <w:t>12.  при подаче апелляционной жалобы и (или) кассационной, надзорной жалобы на решения и (или) постановления арбитражного суда, а также на определения суда о прекращении производства по делу, об оставлении искового заявления без рассмотрения, о выдаче исполнительных листов на принудительное исполнение решений третейского суда, об отказе в выдаче исполнительных листов - 50 процентов размера государственной пошлины, подлежащей уплате при подаче искового заявления неимущественного характера;</w:t>
      </w:r>
    </w:p>
    <w:p w:rsidR="00D5413B" w:rsidRPr="00705BC8" w:rsidRDefault="00D5413B" w:rsidP="00D5413B">
      <w:pPr>
        <w:adjustRightInd w:val="0"/>
        <w:jc w:val="both"/>
        <w:rPr>
          <w:spacing w:val="0"/>
        </w:rPr>
      </w:pPr>
      <w:r w:rsidRPr="00705BC8">
        <w:rPr>
          <w:spacing w:val="0"/>
        </w:rPr>
        <w:tab/>
        <w:t>Положения подпункта 13 пункта 1 статьи 333.21 применяются до 1 января 2013 года.</w:t>
      </w:r>
    </w:p>
    <w:p w:rsidR="005B62DE" w:rsidRDefault="00D5413B" w:rsidP="00D5413B">
      <w:pPr>
        <w:tabs>
          <w:tab w:val="num" w:pos="1066"/>
        </w:tabs>
        <w:adjustRightInd w:val="0"/>
        <w:ind w:firstLine="709"/>
        <w:jc w:val="both"/>
        <w:rPr>
          <w:spacing w:val="0"/>
        </w:rPr>
      </w:pPr>
      <w:r w:rsidRPr="00705BC8">
        <w:rPr>
          <w:spacing w:val="0"/>
        </w:rPr>
        <w:t>13.  при подаче заявления о повторной выдаче копий решений, определений, постановлений суда, копий других документов из дела, выдаваемых арбитражным судом, а также при подаче заявления о выдаче дубликата исполнительного листа (в том числе копий протоколов судебного заседания) - 4 рубля за одну страницу документа, но не менее 40 рублей.</w:t>
      </w:r>
    </w:p>
    <w:p w:rsidR="005B62DE" w:rsidRDefault="005B62DE" w:rsidP="005B62DE">
      <w:pPr>
        <w:tabs>
          <w:tab w:val="num" w:pos="1066"/>
        </w:tabs>
        <w:adjustRightInd w:val="0"/>
        <w:ind w:firstLine="709"/>
        <w:jc w:val="center"/>
        <w:rPr>
          <w:b/>
          <w:spacing w:val="0"/>
        </w:rPr>
      </w:pPr>
      <w:r>
        <w:rPr>
          <w:spacing w:val="0"/>
        </w:rPr>
        <w:br w:type="page"/>
      </w:r>
      <w:r w:rsidRPr="005B62DE">
        <w:rPr>
          <w:b/>
          <w:spacing w:val="0"/>
        </w:rPr>
        <w:t>3.Задача</w:t>
      </w:r>
    </w:p>
    <w:p w:rsidR="005B62DE" w:rsidRDefault="005B62DE" w:rsidP="005B62DE">
      <w:pPr>
        <w:tabs>
          <w:tab w:val="num" w:pos="1066"/>
        </w:tabs>
        <w:adjustRightInd w:val="0"/>
        <w:ind w:firstLine="709"/>
        <w:jc w:val="center"/>
        <w:rPr>
          <w:b/>
          <w:spacing w:val="0"/>
        </w:rPr>
      </w:pPr>
      <w:r>
        <w:rPr>
          <w:b/>
          <w:spacing w:val="0"/>
        </w:rPr>
        <w:br w:type="page"/>
        <w:t>4.Тест</w:t>
      </w:r>
    </w:p>
    <w:p w:rsidR="005B62DE" w:rsidRDefault="005B62DE" w:rsidP="005B62DE">
      <w:pPr>
        <w:tabs>
          <w:tab w:val="num" w:pos="1066"/>
        </w:tabs>
        <w:adjustRightInd w:val="0"/>
        <w:rPr>
          <w:spacing w:val="0"/>
        </w:rPr>
      </w:pPr>
      <w:r>
        <w:rPr>
          <w:spacing w:val="0"/>
        </w:rPr>
        <w:t>Налоговым вычетам подлежат суммы акциза:</w:t>
      </w:r>
    </w:p>
    <w:p w:rsidR="005B62DE" w:rsidRPr="005B62DE" w:rsidRDefault="005B62DE" w:rsidP="005B62DE">
      <w:pPr>
        <w:numPr>
          <w:ilvl w:val="0"/>
          <w:numId w:val="5"/>
        </w:numPr>
        <w:adjustRightInd w:val="0"/>
        <w:rPr>
          <w:b/>
          <w:spacing w:val="0"/>
        </w:rPr>
      </w:pPr>
      <w:r>
        <w:rPr>
          <w:spacing w:val="0"/>
        </w:rPr>
        <w:t>Фактически уплаченные продавцом при приобретении подакцизных товаров либо фактически уплаченные при ввозе подакцизных товаров, выпущенных в свободное обращение, на таможенную территорию РФ;</w:t>
      </w:r>
    </w:p>
    <w:p w:rsidR="005B62DE" w:rsidRPr="00E1712C" w:rsidRDefault="005B62DE" w:rsidP="005B62DE">
      <w:pPr>
        <w:numPr>
          <w:ilvl w:val="0"/>
          <w:numId w:val="5"/>
        </w:numPr>
        <w:adjustRightInd w:val="0"/>
        <w:rPr>
          <w:b/>
          <w:spacing w:val="0"/>
        </w:rPr>
      </w:pPr>
      <w:r>
        <w:rPr>
          <w:spacing w:val="0"/>
        </w:rPr>
        <w:t>Фактически уплаченные продавцам при приобретении</w:t>
      </w:r>
      <w:r w:rsidR="00E1712C">
        <w:rPr>
          <w:spacing w:val="0"/>
        </w:rPr>
        <w:t xml:space="preserve"> подакцизных товаров;</w:t>
      </w:r>
    </w:p>
    <w:p w:rsidR="00E1712C" w:rsidRPr="005B62DE" w:rsidRDefault="00E1712C" w:rsidP="005B62DE">
      <w:pPr>
        <w:numPr>
          <w:ilvl w:val="0"/>
          <w:numId w:val="5"/>
        </w:numPr>
        <w:adjustRightInd w:val="0"/>
        <w:rPr>
          <w:b/>
          <w:spacing w:val="0"/>
        </w:rPr>
      </w:pPr>
      <w:r>
        <w:rPr>
          <w:spacing w:val="0"/>
        </w:rPr>
        <w:t>Фактически уплаченные при ввозе подакцизных товаров, выпущенных в свободное обращение, на таможенную территорию РФ.</w:t>
      </w:r>
    </w:p>
    <w:p w:rsidR="005B62DE" w:rsidRPr="005B62DE" w:rsidRDefault="005B62DE" w:rsidP="005B62DE">
      <w:pPr>
        <w:tabs>
          <w:tab w:val="num" w:pos="1066"/>
        </w:tabs>
        <w:adjustRightInd w:val="0"/>
        <w:ind w:firstLine="709"/>
        <w:rPr>
          <w:spacing w:val="0"/>
        </w:rPr>
      </w:pPr>
      <w:bookmarkStart w:id="0" w:name="_GoBack"/>
      <w:bookmarkEnd w:id="0"/>
    </w:p>
    <w:sectPr w:rsidR="005B62DE" w:rsidRPr="005B62DE" w:rsidSect="002B3B8D">
      <w:footerReference w:type="even" r:id="rId20"/>
      <w:footerReference w:type="default" r:id="rId2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185" w:rsidRDefault="00C12185">
      <w:r>
        <w:separator/>
      </w:r>
    </w:p>
  </w:endnote>
  <w:endnote w:type="continuationSeparator" w:id="0">
    <w:p w:rsidR="00C12185" w:rsidRDefault="00C1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B8D" w:rsidRDefault="002B3B8D" w:rsidP="0075776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B3B8D" w:rsidRDefault="002B3B8D" w:rsidP="002B3B8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B8D" w:rsidRDefault="002B3B8D" w:rsidP="0075776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05864">
      <w:rPr>
        <w:rStyle w:val="a6"/>
        <w:noProof/>
      </w:rPr>
      <w:t>3</w:t>
    </w:r>
    <w:r>
      <w:rPr>
        <w:rStyle w:val="a6"/>
      </w:rPr>
      <w:fldChar w:fldCharType="end"/>
    </w:r>
  </w:p>
  <w:p w:rsidR="002B3B8D" w:rsidRDefault="002B3B8D" w:rsidP="002B3B8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185" w:rsidRDefault="00C12185">
      <w:r>
        <w:separator/>
      </w:r>
    </w:p>
  </w:footnote>
  <w:footnote w:type="continuationSeparator" w:id="0">
    <w:p w:rsidR="00C12185" w:rsidRDefault="00C12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B2C2D"/>
    <w:multiLevelType w:val="multilevel"/>
    <w:tmpl w:val="D838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235106"/>
    <w:multiLevelType w:val="multilevel"/>
    <w:tmpl w:val="3EC8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104AF7"/>
    <w:multiLevelType w:val="hybridMultilevel"/>
    <w:tmpl w:val="47141F6A"/>
    <w:lvl w:ilvl="0" w:tplc="9E92B87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0C177AB"/>
    <w:multiLevelType w:val="multilevel"/>
    <w:tmpl w:val="53988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B52C8B"/>
    <w:multiLevelType w:val="multilevel"/>
    <w:tmpl w:val="F5A0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0E8"/>
    <w:rsid w:val="002B3B8D"/>
    <w:rsid w:val="00305864"/>
    <w:rsid w:val="004C2CD3"/>
    <w:rsid w:val="005B62DE"/>
    <w:rsid w:val="0066114E"/>
    <w:rsid w:val="00705BC8"/>
    <w:rsid w:val="00757763"/>
    <w:rsid w:val="009457B1"/>
    <w:rsid w:val="00975C7C"/>
    <w:rsid w:val="00C12185"/>
    <w:rsid w:val="00C230E8"/>
    <w:rsid w:val="00D5413B"/>
    <w:rsid w:val="00E1712C"/>
    <w:rsid w:val="00E66399"/>
    <w:rsid w:val="00F87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EC47FB-AF8E-4DC0-87E4-A79DDBA7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22"/>
      <w:sz w:val="28"/>
      <w:szCs w:val="28"/>
    </w:rPr>
  </w:style>
  <w:style w:type="paragraph" w:styleId="2">
    <w:name w:val="heading 2"/>
    <w:basedOn w:val="a"/>
    <w:qFormat/>
    <w:rsid w:val="00C230E8"/>
    <w:pPr>
      <w:spacing w:before="100" w:beforeAutospacing="1" w:after="100" w:afterAutospacing="1"/>
      <w:outlineLvl w:val="1"/>
    </w:pPr>
    <w:rPr>
      <w:b/>
      <w:bCs/>
      <w:spacing w:val="0"/>
      <w:sz w:val="36"/>
      <w:szCs w:val="36"/>
    </w:rPr>
  </w:style>
  <w:style w:type="paragraph" w:styleId="3">
    <w:name w:val="heading 3"/>
    <w:basedOn w:val="a"/>
    <w:next w:val="a"/>
    <w:qFormat/>
    <w:rsid w:val="00D5413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30E8"/>
    <w:rPr>
      <w:color w:val="0000FF"/>
      <w:u w:val="single"/>
    </w:rPr>
  </w:style>
  <w:style w:type="paragraph" w:styleId="a4">
    <w:name w:val="Normal (Web)"/>
    <w:basedOn w:val="a"/>
    <w:rsid w:val="00C230E8"/>
    <w:pPr>
      <w:spacing w:before="100" w:beforeAutospacing="1" w:after="100" w:afterAutospacing="1"/>
    </w:pPr>
    <w:rPr>
      <w:spacing w:val="0"/>
      <w:sz w:val="24"/>
      <w:szCs w:val="24"/>
    </w:rPr>
  </w:style>
  <w:style w:type="character" w:customStyle="1" w:styleId="toctoggle">
    <w:name w:val="toctoggle"/>
    <w:basedOn w:val="a0"/>
    <w:rsid w:val="00C230E8"/>
  </w:style>
  <w:style w:type="character" w:customStyle="1" w:styleId="tocnumber2">
    <w:name w:val="tocnumber2"/>
    <w:basedOn w:val="a0"/>
    <w:rsid w:val="00C230E8"/>
  </w:style>
  <w:style w:type="character" w:customStyle="1" w:styleId="toctext">
    <w:name w:val="toctext"/>
    <w:basedOn w:val="a0"/>
    <w:rsid w:val="00C230E8"/>
  </w:style>
  <w:style w:type="character" w:customStyle="1" w:styleId="editsection">
    <w:name w:val="editsection"/>
    <w:basedOn w:val="a0"/>
    <w:rsid w:val="00C230E8"/>
  </w:style>
  <w:style w:type="character" w:customStyle="1" w:styleId="mw-headline">
    <w:name w:val="mw-headline"/>
    <w:basedOn w:val="a0"/>
    <w:rsid w:val="00C230E8"/>
  </w:style>
  <w:style w:type="paragraph" w:styleId="a5">
    <w:name w:val="footer"/>
    <w:basedOn w:val="a"/>
    <w:rsid w:val="002B3B8D"/>
    <w:pPr>
      <w:tabs>
        <w:tab w:val="center" w:pos="4677"/>
        <w:tab w:val="right" w:pos="9355"/>
      </w:tabs>
    </w:pPr>
  </w:style>
  <w:style w:type="character" w:styleId="a6">
    <w:name w:val="page number"/>
    <w:basedOn w:val="a0"/>
    <w:rsid w:val="002B3B8D"/>
  </w:style>
  <w:style w:type="character" w:styleId="a7">
    <w:name w:val="Strong"/>
    <w:basedOn w:val="a0"/>
    <w:qFormat/>
    <w:rsid w:val="006611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2024">
      <w:bodyDiv w:val="1"/>
      <w:marLeft w:val="0"/>
      <w:marRight w:val="0"/>
      <w:marTop w:val="0"/>
      <w:marBottom w:val="0"/>
      <w:divBdr>
        <w:top w:val="none" w:sz="0" w:space="0" w:color="auto"/>
        <w:left w:val="none" w:sz="0" w:space="0" w:color="auto"/>
        <w:bottom w:val="none" w:sz="0" w:space="0" w:color="auto"/>
        <w:right w:val="none" w:sz="0" w:space="0" w:color="auto"/>
      </w:divBdr>
      <w:divsChild>
        <w:div w:id="244416164">
          <w:marLeft w:val="0"/>
          <w:marRight w:val="0"/>
          <w:marTop w:val="0"/>
          <w:marBottom w:val="0"/>
          <w:divBdr>
            <w:top w:val="none" w:sz="0" w:space="0" w:color="auto"/>
            <w:left w:val="none" w:sz="0" w:space="0" w:color="auto"/>
            <w:bottom w:val="none" w:sz="0" w:space="0" w:color="auto"/>
            <w:right w:val="none" w:sz="0" w:space="0" w:color="auto"/>
          </w:divBdr>
          <w:divsChild>
            <w:div w:id="2137915779">
              <w:marLeft w:val="0"/>
              <w:marRight w:val="0"/>
              <w:marTop w:val="0"/>
              <w:marBottom w:val="0"/>
              <w:divBdr>
                <w:top w:val="none" w:sz="0" w:space="0" w:color="auto"/>
                <w:left w:val="none" w:sz="0" w:space="0" w:color="auto"/>
                <w:bottom w:val="none" w:sz="0" w:space="0" w:color="auto"/>
                <w:right w:val="none" w:sz="0" w:space="0" w:color="auto"/>
              </w:divBdr>
              <w:divsChild>
                <w:div w:id="1589266537">
                  <w:marLeft w:val="0"/>
                  <w:marRight w:val="0"/>
                  <w:marTop w:val="0"/>
                  <w:marBottom w:val="0"/>
                  <w:divBdr>
                    <w:top w:val="none" w:sz="0" w:space="0" w:color="auto"/>
                    <w:left w:val="none" w:sz="0" w:space="0" w:color="auto"/>
                    <w:bottom w:val="none" w:sz="0" w:space="0" w:color="auto"/>
                    <w:right w:val="none" w:sz="0" w:space="0" w:color="auto"/>
                  </w:divBdr>
                  <w:divsChild>
                    <w:div w:id="872302699">
                      <w:marLeft w:val="0"/>
                      <w:marRight w:val="0"/>
                      <w:marTop w:val="0"/>
                      <w:marBottom w:val="240"/>
                      <w:divBdr>
                        <w:top w:val="none" w:sz="0" w:space="0" w:color="auto"/>
                        <w:left w:val="none" w:sz="0" w:space="0" w:color="auto"/>
                        <w:bottom w:val="none" w:sz="0" w:space="0" w:color="auto"/>
                        <w:right w:val="none" w:sz="0" w:space="0" w:color="auto"/>
                      </w:divBdr>
                      <w:divsChild>
                        <w:div w:id="4159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2874">
      <w:bodyDiv w:val="1"/>
      <w:marLeft w:val="0"/>
      <w:marRight w:val="0"/>
      <w:marTop w:val="0"/>
      <w:marBottom w:val="0"/>
      <w:divBdr>
        <w:top w:val="none" w:sz="0" w:space="0" w:color="auto"/>
        <w:left w:val="none" w:sz="0" w:space="0" w:color="auto"/>
        <w:bottom w:val="none" w:sz="0" w:space="0" w:color="auto"/>
        <w:right w:val="none" w:sz="0" w:space="0" w:color="auto"/>
      </w:divBdr>
    </w:div>
    <w:div w:id="1007633150">
      <w:bodyDiv w:val="1"/>
      <w:marLeft w:val="0"/>
      <w:marRight w:val="0"/>
      <w:marTop w:val="0"/>
      <w:marBottom w:val="0"/>
      <w:divBdr>
        <w:top w:val="none" w:sz="0" w:space="0" w:color="auto"/>
        <w:left w:val="none" w:sz="0" w:space="0" w:color="auto"/>
        <w:bottom w:val="none" w:sz="0" w:space="0" w:color="auto"/>
        <w:right w:val="none" w:sz="0" w:space="0" w:color="auto"/>
      </w:divBdr>
      <w:divsChild>
        <w:div w:id="1532571189">
          <w:marLeft w:val="0"/>
          <w:marRight w:val="0"/>
          <w:marTop w:val="0"/>
          <w:marBottom w:val="0"/>
          <w:divBdr>
            <w:top w:val="none" w:sz="0" w:space="0" w:color="auto"/>
            <w:left w:val="none" w:sz="0" w:space="0" w:color="auto"/>
            <w:bottom w:val="none" w:sz="0" w:space="0" w:color="auto"/>
            <w:right w:val="none" w:sz="0" w:space="0" w:color="auto"/>
          </w:divBdr>
          <w:divsChild>
            <w:div w:id="1756316042">
              <w:marLeft w:val="0"/>
              <w:marRight w:val="0"/>
              <w:marTop w:val="0"/>
              <w:marBottom w:val="0"/>
              <w:divBdr>
                <w:top w:val="none" w:sz="0" w:space="0" w:color="auto"/>
                <w:left w:val="none" w:sz="0" w:space="0" w:color="auto"/>
                <w:bottom w:val="none" w:sz="0" w:space="0" w:color="auto"/>
                <w:right w:val="none" w:sz="0" w:space="0" w:color="auto"/>
              </w:divBdr>
              <w:divsChild>
                <w:div w:id="260647665">
                  <w:marLeft w:val="0"/>
                  <w:marRight w:val="0"/>
                  <w:marTop w:val="0"/>
                  <w:marBottom w:val="0"/>
                  <w:divBdr>
                    <w:top w:val="none" w:sz="0" w:space="0" w:color="auto"/>
                    <w:left w:val="none" w:sz="0" w:space="0" w:color="auto"/>
                    <w:bottom w:val="none" w:sz="0" w:space="0" w:color="auto"/>
                    <w:right w:val="none" w:sz="0" w:space="0" w:color="auto"/>
                  </w:divBdr>
                  <w:divsChild>
                    <w:div w:id="2080666539">
                      <w:marLeft w:val="0"/>
                      <w:marRight w:val="0"/>
                      <w:marTop w:val="0"/>
                      <w:marBottom w:val="240"/>
                      <w:divBdr>
                        <w:top w:val="none" w:sz="0" w:space="0" w:color="auto"/>
                        <w:left w:val="none" w:sz="0" w:space="0" w:color="auto"/>
                        <w:bottom w:val="none" w:sz="0" w:space="0" w:color="auto"/>
                        <w:right w:val="none" w:sz="0" w:space="0" w:color="auto"/>
                      </w:divBdr>
                      <w:divsChild>
                        <w:div w:id="20592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61934">
      <w:bodyDiv w:val="1"/>
      <w:marLeft w:val="0"/>
      <w:marRight w:val="0"/>
      <w:marTop w:val="0"/>
      <w:marBottom w:val="0"/>
      <w:divBdr>
        <w:top w:val="none" w:sz="0" w:space="0" w:color="auto"/>
        <w:left w:val="none" w:sz="0" w:space="0" w:color="auto"/>
        <w:bottom w:val="none" w:sz="0" w:space="0" w:color="auto"/>
        <w:right w:val="none" w:sz="0" w:space="0" w:color="auto"/>
      </w:divBdr>
      <w:divsChild>
        <w:div w:id="1478648304">
          <w:marLeft w:val="0"/>
          <w:marRight w:val="0"/>
          <w:marTop w:val="0"/>
          <w:marBottom w:val="0"/>
          <w:divBdr>
            <w:top w:val="none" w:sz="0" w:space="0" w:color="auto"/>
            <w:left w:val="none" w:sz="0" w:space="0" w:color="auto"/>
            <w:bottom w:val="none" w:sz="0" w:space="0" w:color="auto"/>
            <w:right w:val="none" w:sz="0" w:space="0" w:color="auto"/>
          </w:divBdr>
          <w:divsChild>
            <w:div w:id="1678771039">
              <w:marLeft w:val="0"/>
              <w:marRight w:val="0"/>
              <w:marTop w:val="0"/>
              <w:marBottom w:val="120"/>
              <w:divBdr>
                <w:top w:val="none" w:sz="0" w:space="0" w:color="auto"/>
                <w:left w:val="none" w:sz="0" w:space="0" w:color="auto"/>
                <w:bottom w:val="none" w:sz="0" w:space="0" w:color="auto"/>
                <w:right w:val="none" w:sz="0" w:space="0" w:color="auto"/>
              </w:divBdr>
              <w:divsChild>
                <w:div w:id="840464578">
                  <w:marLeft w:val="0"/>
                  <w:marRight w:val="0"/>
                  <w:marTop w:val="0"/>
                  <w:marBottom w:val="0"/>
                  <w:divBdr>
                    <w:top w:val="none" w:sz="0" w:space="0" w:color="auto"/>
                    <w:left w:val="none" w:sz="0" w:space="0" w:color="auto"/>
                    <w:bottom w:val="none" w:sz="0" w:space="0" w:color="auto"/>
                    <w:right w:val="none" w:sz="0" w:space="0" w:color="auto"/>
                  </w:divBdr>
                  <w:divsChild>
                    <w:div w:id="15310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337618">
      <w:bodyDiv w:val="1"/>
      <w:marLeft w:val="0"/>
      <w:marRight w:val="0"/>
      <w:marTop w:val="0"/>
      <w:marBottom w:val="0"/>
      <w:divBdr>
        <w:top w:val="none" w:sz="0" w:space="0" w:color="auto"/>
        <w:left w:val="none" w:sz="0" w:space="0" w:color="auto"/>
        <w:bottom w:val="none" w:sz="0" w:space="0" w:color="auto"/>
        <w:right w:val="none" w:sz="0" w:space="0" w:color="auto"/>
      </w:divBdr>
      <w:divsChild>
        <w:div w:id="46222774">
          <w:marLeft w:val="0"/>
          <w:marRight w:val="0"/>
          <w:marTop w:val="0"/>
          <w:marBottom w:val="0"/>
          <w:divBdr>
            <w:top w:val="none" w:sz="0" w:space="0" w:color="auto"/>
            <w:left w:val="none" w:sz="0" w:space="0" w:color="auto"/>
            <w:bottom w:val="none" w:sz="0" w:space="0" w:color="auto"/>
            <w:right w:val="none" w:sz="0" w:space="0" w:color="auto"/>
          </w:divBdr>
          <w:divsChild>
            <w:div w:id="1342708451">
              <w:marLeft w:val="0"/>
              <w:marRight w:val="0"/>
              <w:marTop w:val="0"/>
              <w:marBottom w:val="0"/>
              <w:divBdr>
                <w:top w:val="none" w:sz="0" w:space="0" w:color="auto"/>
                <w:left w:val="none" w:sz="0" w:space="0" w:color="auto"/>
                <w:bottom w:val="none" w:sz="0" w:space="0" w:color="auto"/>
                <w:right w:val="none" w:sz="0" w:space="0" w:color="auto"/>
              </w:divBdr>
              <w:divsChild>
                <w:div w:id="949966859">
                  <w:marLeft w:val="0"/>
                  <w:marRight w:val="0"/>
                  <w:marTop w:val="0"/>
                  <w:marBottom w:val="0"/>
                  <w:divBdr>
                    <w:top w:val="none" w:sz="0" w:space="0" w:color="auto"/>
                    <w:left w:val="none" w:sz="0" w:space="0" w:color="auto"/>
                    <w:bottom w:val="none" w:sz="0" w:space="0" w:color="auto"/>
                    <w:right w:val="none" w:sz="0" w:space="0" w:color="auto"/>
                  </w:divBdr>
                  <w:divsChild>
                    <w:div w:id="1393697586">
                      <w:marLeft w:val="0"/>
                      <w:marRight w:val="0"/>
                      <w:marTop w:val="0"/>
                      <w:marBottom w:val="240"/>
                      <w:divBdr>
                        <w:top w:val="none" w:sz="0" w:space="0" w:color="auto"/>
                        <w:left w:val="none" w:sz="0" w:space="0" w:color="auto"/>
                        <w:bottom w:val="none" w:sz="0" w:space="0" w:color="auto"/>
                        <w:right w:val="none" w:sz="0" w:space="0" w:color="auto"/>
                      </w:divBdr>
                      <w:divsChild>
                        <w:div w:id="19926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95820">
      <w:bodyDiv w:val="1"/>
      <w:marLeft w:val="0"/>
      <w:marRight w:val="0"/>
      <w:marTop w:val="0"/>
      <w:marBottom w:val="0"/>
      <w:divBdr>
        <w:top w:val="none" w:sz="0" w:space="0" w:color="auto"/>
        <w:left w:val="none" w:sz="0" w:space="0" w:color="auto"/>
        <w:bottom w:val="none" w:sz="0" w:space="0" w:color="auto"/>
        <w:right w:val="none" w:sz="0" w:space="0" w:color="auto"/>
      </w:divBdr>
      <w:divsChild>
        <w:div w:id="1857054">
          <w:marLeft w:val="0"/>
          <w:marRight w:val="0"/>
          <w:marTop w:val="0"/>
          <w:marBottom w:val="0"/>
          <w:divBdr>
            <w:top w:val="none" w:sz="0" w:space="0" w:color="auto"/>
            <w:left w:val="none" w:sz="0" w:space="0" w:color="auto"/>
            <w:bottom w:val="none" w:sz="0" w:space="0" w:color="auto"/>
            <w:right w:val="none" w:sz="0" w:space="0" w:color="auto"/>
          </w:divBdr>
          <w:divsChild>
            <w:div w:id="767701315">
              <w:marLeft w:val="0"/>
              <w:marRight w:val="0"/>
              <w:marTop w:val="0"/>
              <w:marBottom w:val="0"/>
              <w:divBdr>
                <w:top w:val="none" w:sz="0" w:space="0" w:color="auto"/>
                <w:left w:val="none" w:sz="0" w:space="0" w:color="auto"/>
                <w:bottom w:val="none" w:sz="0" w:space="0" w:color="auto"/>
                <w:right w:val="none" w:sz="0" w:space="0" w:color="auto"/>
              </w:divBdr>
              <w:divsChild>
                <w:div w:id="10820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59197">
      <w:bodyDiv w:val="1"/>
      <w:marLeft w:val="0"/>
      <w:marRight w:val="0"/>
      <w:marTop w:val="0"/>
      <w:marBottom w:val="0"/>
      <w:divBdr>
        <w:top w:val="none" w:sz="0" w:space="0" w:color="auto"/>
        <w:left w:val="none" w:sz="0" w:space="0" w:color="auto"/>
        <w:bottom w:val="none" w:sz="0" w:space="0" w:color="auto"/>
        <w:right w:val="none" w:sz="0" w:space="0" w:color="auto"/>
      </w:divBdr>
      <w:divsChild>
        <w:div w:id="356469745">
          <w:marLeft w:val="0"/>
          <w:marRight w:val="0"/>
          <w:marTop w:val="0"/>
          <w:marBottom w:val="0"/>
          <w:divBdr>
            <w:top w:val="none" w:sz="0" w:space="0" w:color="auto"/>
            <w:left w:val="none" w:sz="0" w:space="0" w:color="auto"/>
            <w:bottom w:val="none" w:sz="0" w:space="0" w:color="auto"/>
            <w:right w:val="none" w:sz="0" w:space="0" w:color="auto"/>
          </w:divBdr>
          <w:divsChild>
            <w:div w:id="1089541292">
              <w:marLeft w:val="0"/>
              <w:marRight w:val="0"/>
              <w:marTop w:val="0"/>
              <w:marBottom w:val="0"/>
              <w:divBdr>
                <w:top w:val="none" w:sz="0" w:space="0" w:color="auto"/>
                <w:left w:val="none" w:sz="0" w:space="0" w:color="auto"/>
                <w:bottom w:val="none" w:sz="0" w:space="0" w:color="auto"/>
                <w:right w:val="none" w:sz="0" w:space="0" w:color="auto"/>
              </w:divBdr>
              <w:divsChild>
                <w:div w:id="1153565264">
                  <w:marLeft w:val="0"/>
                  <w:marRight w:val="0"/>
                  <w:marTop w:val="0"/>
                  <w:marBottom w:val="0"/>
                  <w:divBdr>
                    <w:top w:val="none" w:sz="0" w:space="0" w:color="auto"/>
                    <w:left w:val="none" w:sz="0" w:space="0" w:color="auto"/>
                    <w:bottom w:val="none" w:sz="0" w:space="0" w:color="auto"/>
                    <w:right w:val="none" w:sz="0" w:space="0" w:color="auto"/>
                  </w:divBdr>
                  <w:divsChild>
                    <w:div w:id="208097851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0%B0%D0%BB%D1%8B%D0%B9_%D0%B1%D0%B8%D0%B7%D0%BD%D0%B5%D1%81" TargetMode="External"/><Relationship Id="rId13" Type="http://schemas.openxmlformats.org/officeDocument/2006/relationships/hyperlink" Target="http://ru.wikipedia.org/wiki/%D0%9C%D0%A0%D0%9E%D0%A2" TargetMode="External"/><Relationship Id="rId18" Type="http://schemas.openxmlformats.org/officeDocument/2006/relationships/hyperlink" Target="http://clck.yandex.ru/redir/9DEUh+sTOd8gKu7D3y1S52TDWoux5kjlq9v6P1LfKQma0fcrrDueSK/3ToCeUIvtl/6zi455Cw2w2uHNYUWyulXLhWJ1yqxiHfZIJm6Ahz3im2wf6Hwo1w==data=40tq3YuTlmOsR1xTDdvCto81EP9KN1BOA2oj8DMehWC3%2FF8FaWgldMer%2BfudppSwkfQSEJDJDFpEUfmoqWqGL4CNigc2hQHFNxB0QZHLvR8IBLzCSA9qUOaNdwXe23sJls0bxTVJ5ilN3s6wksNnLoPkeSOptKE8w5v8VAUk0T5dD%2Fsm8ucZUdMj31CMOD6E8ues4tMDkEnoOV7OVzwOUuTAGijW9zeuBskX3xZhOfLjDbvCmi7OY1Q6Q0ddZy5joJiLlD7YMaLf9BlpvzMZZvceWdc04cYfBRcUbTD6gmCTebHRPbhHBIRktzmqpfa2m7%2BJrFve5Gq%2FcsiB%2FOyhaFEJ9p943N7ocDcr5Afja4jAfLzRbECUXtM%2BCc8A7Bon2MY0BUEGHdHS5wHL8oE6%2FX0zFVqbJPgKGktm0udXFxHIOLcR1YjVaCQA8FRICLeDeta1UNtKAU8R9lMBEmi%2Fe6VZnD3tU%2B%2Bj4Yag%2FgT7yDGCUlbg9rUCWQ%3D%3D&amp;b64e=1&amp;sign=32d4051aba21099354e6917ddf6e651e&amp;keyno=4"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ru.wikipedia.org/wiki/%D0%9D%D0%B0%D0%BB%D0%BE%D0%B3" TargetMode="External"/><Relationship Id="rId12" Type="http://schemas.openxmlformats.org/officeDocument/2006/relationships/hyperlink" Target="http://ru.wikipedia.org/wiki/%C5%E4%E8%ED%FB%E9_%ED%E0%EB%EE%E3_%ED%E0_%E2%EC%E5%ED%B8%ED%ED%FB%E9_%E4%EE%F5%EE%E4" TargetMode="External"/><Relationship Id="rId17" Type="http://schemas.openxmlformats.org/officeDocument/2006/relationships/hyperlink" Target="http://ru.wikipedia.org/wiki/%D0%9C%D0%A0%D0%9E%D0%A2" TargetMode="External"/><Relationship Id="rId2" Type="http://schemas.openxmlformats.org/officeDocument/2006/relationships/styles" Target="styles.xml"/><Relationship Id="rId16" Type="http://schemas.openxmlformats.org/officeDocument/2006/relationships/hyperlink" Target="http://ru.wikipedia.org/wiki/%D0%9C%D0%A0%D0%9E%D0%A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D%D0%B0%D0%BB%D0%BE%D0%B3%D0%BE%D0%B2%D1%8B%D0%B9_%D0%BF%D0%B5%D1%80%D0%B8%D0%BE%D0%B4" TargetMode="External"/><Relationship Id="rId5" Type="http://schemas.openxmlformats.org/officeDocument/2006/relationships/footnotes" Target="footnotes.xml"/><Relationship Id="rId15" Type="http://schemas.openxmlformats.org/officeDocument/2006/relationships/hyperlink" Target="http://ru.wikipedia.org/wiki/%C5%E4%E8%ED%FB%E9_%ED%E0%EB%EE%E3_%ED%E0_%E2%EC%E5%ED%B8%ED%ED%FB%E9_%E4%EE%F5%EE%E4" TargetMode="External"/><Relationship Id="rId23" Type="http://schemas.openxmlformats.org/officeDocument/2006/relationships/theme" Target="theme/theme1.xml"/><Relationship Id="rId10" Type="http://schemas.openxmlformats.org/officeDocument/2006/relationships/hyperlink" Target="http://ru.wikipedia.org/wiki/%D0%9D%D0%B0%D0%BB%D0%BE%D0%B3%D0%BE%D0%B2%D0%B0%D1%8F_%D1%81%D1%82%D0%B0%D0%B2%D0%BA%D0%B0" TargetMode="External"/><Relationship Id="rId19" Type="http://schemas.openxmlformats.org/officeDocument/2006/relationships/hyperlink" Target="http://nalfin.narod.ru/Nalog_1.5.doc" TargetMode="External"/><Relationship Id="rId4" Type="http://schemas.openxmlformats.org/officeDocument/2006/relationships/webSettings" Target="webSettings.xml"/><Relationship Id="rId9" Type="http://schemas.openxmlformats.org/officeDocument/2006/relationships/hyperlink" Target="http://ru.wikipedia.org/wiki/%D0%9E%D0%B1%D1%8A%D0%B5%D0%BA%D1%82_%D0%BD%D0%B0%D0%BB%D0%BE%D0%B3%D0%BE%D0%BE%D0%B1%D0%BB%D0%BE%D0%B6%D0%B5%D0%BD%D0%B8%D1%8F" TargetMode="External"/><Relationship Id="rId14" Type="http://schemas.openxmlformats.org/officeDocument/2006/relationships/hyperlink" Target="http://ru.wikipedia.org/wiki/%D0%9F%D0%B5%D0%BD%D1%81%D0%B8%D0%BE%D0%BD%D0%BD%D0%B0%D1%8F_%D1%80%D0%B5%D1%84%D0%BE%D1%80%D0%BC%D0%B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7827</Words>
  <Characters>44614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52337</CharactersWithSpaces>
  <SharedDoc>false</SharedDoc>
  <HLinks>
    <vt:vector size="78" baseType="variant">
      <vt:variant>
        <vt:i4>6094971</vt:i4>
      </vt:variant>
      <vt:variant>
        <vt:i4>36</vt:i4>
      </vt:variant>
      <vt:variant>
        <vt:i4>0</vt:i4>
      </vt:variant>
      <vt:variant>
        <vt:i4>5</vt:i4>
      </vt:variant>
      <vt:variant>
        <vt:lpwstr>http://nalfin.narod.ru/Nalog_1.5.doc</vt:lpwstr>
      </vt:variant>
      <vt:variant>
        <vt:lpwstr/>
      </vt:variant>
      <vt:variant>
        <vt:i4>7340146</vt:i4>
      </vt:variant>
      <vt:variant>
        <vt:i4>33</vt:i4>
      </vt:variant>
      <vt:variant>
        <vt:i4>0</vt:i4>
      </vt:variant>
      <vt:variant>
        <vt:i4>5</vt:i4>
      </vt:variant>
      <vt:variant>
        <vt:lpwstr>http://clck.yandex.ru/redir/9DEUh+sTOd8gKu7D3y1S52TDWoux5kjlq9v6P1LfKQma0fcrrDueSK/3ToCeUIvtl/6zi455Cw2w2uHNYUWyulXLhWJ1yqxiHfZIJm6Ahz3im2wf6Hwo1w==data=40tq3YuTlmOsR1xTDdvCto81EP9KN1BOA2oj8DMehWC3%2FF8FaWgldMer%2BfudppSwkfQSEJDJDFpEUfmoqWqGL4CNigc2hQHFNxB0QZHLvR8IBLzCSA9qUOaNdwXe23sJls0bxTVJ5ilN3s6wksNnLoPkeSOptKE8w5v8VAUk0T5dD%2Fsm8ucZUdMj31CMOD6E8ues4tMDkEnoOV7OVzwOUuTAGijW9zeuBskX3xZhOfLjDbvCmi7OY1Q6Q0ddZy5joJiLlD7YMaLf9BlpvzMZZvceWdc04cYfBRcUbTD6gmCTebHRPbhHBIRktzmqpfa2m7%2BJrFve5Gq%2FcsiB%2FOyhaFEJ9p943</vt:lpwstr>
      </vt:variant>
      <vt:variant>
        <vt:lpwstr/>
      </vt:variant>
      <vt:variant>
        <vt:i4>524312</vt:i4>
      </vt:variant>
      <vt:variant>
        <vt:i4>30</vt:i4>
      </vt:variant>
      <vt:variant>
        <vt:i4>0</vt:i4>
      </vt:variant>
      <vt:variant>
        <vt:i4>5</vt:i4>
      </vt:variant>
      <vt:variant>
        <vt:lpwstr>http://ru.wikipedia.org/wiki/%D0%9C%D0%A0%D0%9E%D0%A2</vt:lpwstr>
      </vt:variant>
      <vt:variant>
        <vt:lpwstr/>
      </vt:variant>
      <vt:variant>
        <vt:i4>524312</vt:i4>
      </vt:variant>
      <vt:variant>
        <vt:i4>27</vt:i4>
      </vt:variant>
      <vt:variant>
        <vt:i4>0</vt:i4>
      </vt:variant>
      <vt:variant>
        <vt:i4>5</vt:i4>
      </vt:variant>
      <vt:variant>
        <vt:lpwstr>http://ru.wikipedia.org/wiki/%D0%9C%D0%A0%D0%9E%D0%A2</vt:lpwstr>
      </vt:variant>
      <vt:variant>
        <vt:lpwstr/>
      </vt:variant>
      <vt:variant>
        <vt:i4>1048576</vt:i4>
      </vt:variant>
      <vt:variant>
        <vt:i4>24</vt:i4>
      </vt:variant>
      <vt:variant>
        <vt:i4>0</vt:i4>
      </vt:variant>
      <vt:variant>
        <vt:i4>5</vt:i4>
      </vt:variant>
      <vt:variant>
        <vt:lpwstr>http://ru.wikipedia.org/wiki/%C5%E4%E8%ED%FB%E9_%ED%E0%EB%EE%E3_%ED%E0_%E2%EC%E5%ED%B8%ED%ED%FB%E9_%E4%EE%F5%EE%E4</vt:lpwstr>
      </vt:variant>
      <vt:variant>
        <vt:lpwstr>cite_note-3#cite_note-3</vt:lpwstr>
      </vt:variant>
      <vt:variant>
        <vt:i4>7995407</vt:i4>
      </vt:variant>
      <vt:variant>
        <vt:i4>21</vt:i4>
      </vt:variant>
      <vt:variant>
        <vt:i4>0</vt:i4>
      </vt:variant>
      <vt:variant>
        <vt:i4>5</vt:i4>
      </vt:variant>
      <vt:variant>
        <vt:lpwstr>http://ru.wikipedia.org/wiki/%D0%9F%D0%B5%D0%BD%D1%81%D0%B8%D0%BE%D0%BD%D0%BD%D0%B0%D1%8F_%D1%80%D0%B5%D1%84%D0%BE%D1%80%D0%BC%D0%B0</vt:lpwstr>
      </vt:variant>
      <vt:variant>
        <vt:lpwstr/>
      </vt:variant>
      <vt:variant>
        <vt:i4>524312</vt:i4>
      </vt:variant>
      <vt:variant>
        <vt:i4>18</vt:i4>
      </vt:variant>
      <vt:variant>
        <vt:i4>0</vt:i4>
      </vt:variant>
      <vt:variant>
        <vt:i4>5</vt:i4>
      </vt:variant>
      <vt:variant>
        <vt:lpwstr>http://ru.wikipedia.org/wiki/%D0%9C%D0%A0%D0%9E%D0%A2</vt:lpwstr>
      </vt:variant>
      <vt:variant>
        <vt:lpwstr/>
      </vt:variant>
      <vt:variant>
        <vt:i4>1048577</vt:i4>
      </vt:variant>
      <vt:variant>
        <vt:i4>15</vt:i4>
      </vt:variant>
      <vt:variant>
        <vt:i4>0</vt:i4>
      </vt:variant>
      <vt:variant>
        <vt:i4>5</vt:i4>
      </vt:variant>
      <vt:variant>
        <vt:lpwstr>http://ru.wikipedia.org/wiki/%C5%E4%E8%ED%FB%E9_%ED%E0%EB%EE%E3_%ED%E0_%E2%EC%E5%ED%B8%ED%ED%FB%E9_%E4%EE%F5%EE%E4</vt:lpwstr>
      </vt:variant>
      <vt:variant>
        <vt:lpwstr>cite_note-2#cite_note-2</vt:lpwstr>
      </vt:variant>
      <vt:variant>
        <vt:i4>2752600</vt:i4>
      </vt:variant>
      <vt:variant>
        <vt:i4>12</vt:i4>
      </vt:variant>
      <vt:variant>
        <vt:i4>0</vt:i4>
      </vt:variant>
      <vt:variant>
        <vt:i4>5</vt:i4>
      </vt:variant>
      <vt:variant>
        <vt:lpwstr>http://ru.wikipedia.org/wiki/%D0%9D%D0%B0%D0%BB%D0%BE%D0%B3%D0%BE%D0%B2%D1%8B%D0%B9_%D0%BF%D0%B5%D1%80%D0%B8%D0%BE%D0%B4</vt:lpwstr>
      </vt:variant>
      <vt:variant>
        <vt:lpwstr/>
      </vt:variant>
      <vt:variant>
        <vt:i4>7340046</vt:i4>
      </vt:variant>
      <vt:variant>
        <vt:i4>9</vt:i4>
      </vt:variant>
      <vt:variant>
        <vt:i4>0</vt:i4>
      </vt:variant>
      <vt:variant>
        <vt:i4>5</vt:i4>
      </vt:variant>
      <vt:variant>
        <vt:lpwstr>http://ru.wikipedia.org/wiki/%D0%9D%D0%B0%D0%BB%D0%BE%D0%B3%D0%BE%D0%B2%D0%B0%D1%8F_%D1%81%D1%82%D0%B0%D0%B2%D0%BA%D0%B0</vt:lpwstr>
      </vt:variant>
      <vt:variant>
        <vt:lpwstr/>
      </vt:variant>
      <vt:variant>
        <vt:i4>2228305</vt:i4>
      </vt:variant>
      <vt:variant>
        <vt:i4>6</vt:i4>
      </vt:variant>
      <vt:variant>
        <vt:i4>0</vt:i4>
      </vt:variant>
      <vt:variant>
        <vt:i4>5</vt:i4>
      </vt:variant>
      <vt:variant>
        <vt:lpwstr>http://ru.wikipedia.org/wiki/%D0%9E%D0%B1%D1%8A%D0%B5%D0%BA%D1%82_%D0%BD%D0%B0%D0%BB%D0%BE%D0%B3%D0%BE%D0%BE%D0%B1%D0%BB%D0%BE%D0%B6%D0%B5%D0%BD%D0%B8%D1%8F</vt:lpwstr>
      </vt:variant>
      <vt:variant>
        <vt:lpwstr/>
      </vt:variant>
      <vt:variant>
        <vt:i4>8257630</vt:i4>
      </vt:variant>
      <vt:variant>
        <vt:i4>3</vt:i4>
      </vt:variant>
      <vt:variant>
        <vt:i4>0</vt:i4>
      </vt:variant>
      <vt:variant>
        <vt:i4>5</vt:i4>
      </vt:variant>
      <vt:variant>
        <vt:lpwstr>http://ru.wikipedia.org/wiki/%D0%9C%D0%B0%D0%BB%D1%8B%D0%B9_%D0%B1%D0%B8%D0%B7%D0%BD%D0%B5%D1%81</vt:lpwstr>
      </vt:variant>
      <vt:variant>
        <vt:lpwstr/>
      </vt:variant>
      <vt:variant>
        <vt:i4>2359356</vt:i4>
      </vt:variant>
      <vt:variant>
        <vt:i4>0</vt:i4>
      </vt:variant>
      <vt:variant>
        <vt:i4>0</vt:i4>
      </vt:variant>
      <vt:variant>
        <vt:i4>5</vt:i4>
      </vt:variant>
      <vt:variant>
        <vt:lpwstr>http://ru.wikipedia.org/wiki/%D0%9D%D0%B0%D0%BB%D0%BE%D0%B3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L650-1F8</dc:creator>
  <cp:keywords/>
  <dc:description/>
  <cp:lastModifiedBy>admin</cp:lastModifiedBy>
  <cp:revision>2</cp:revision>
  <dcterms:created xsi:type="dcterms:W3CDTF">2014-04-09T01:45:00Z</dcterms:created>
  <dcterms:modified xsi:type="dcterms:W3CDTF">2014-04-09T01:45:00Z</dcterms:modified>
</cp:coreProperties>
</file>