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0E9" w:rsidRDefault="002460E9" w:rsidP="00E05F56">
      <w:pPr>
        <w:jc w:val="center"/>
        <w:rPr>
          <w:rFonts w:ascii="Times New Roman" w:hAnsi="Times New Roman"/>
          <w:b/>
        </w:rPr>
      </w:pPr>
    </w:p>
    <w:p w:rsidR="00A423B2" w:rsidRPr="00E05F56" w:rsidRDefault="00A423B2" w:rsidP="00E05F56">
      <w:pPr>
        <w:jc w:val="center"/>
        <w:rPr>
          <w:rFonts w:ascii="Times New Roman" w:hAnsi="Times New Roman"/>
          <w:b/>
        </w:rPr>
      </w:pPr>
      <w:r w:rsidRPr="00E05F56">
        <w:rPr>
          <w:rFonts w:ascii="Times New Roman" w:hAnsi="Times New Roman"/>
          <w:b/>
        </w:rPr>
        <w:t>Анализ мировых рынков</w:t>
      </w:r>
    </w:p>
    <w:p w:rsidR="00A423B2" w:rsidRDefault="00A423B2" w:rsidP="00E05F56">
      <w:pPr>
        <w:spacing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начале 2009 г. почти во  всех регионах мира наблюдалось резкое ухудшение экономической ситуации и усиление нестабильности финансовых индикаторов. Кризис вышел за  рамки финансового сектора, все глубже проникая в реальную экономику. Окончательно развеялись надежды на то, что странам с формирующимся рынками удастся минимизировать  влияние негативных тенденций в экономике развитых стран  и сохранять на высоком уровне темпы своего экономического развития. </w:t>
      </w:r>
    </w:p>
    <w:p w:rsidR="00A423B2" w:rsidRDefault="00A423B2" w:rsidP="00D02CB7">
      <w:pPr>
        <w:spacing w:line="240" w:lineRule="auto"/>
        <w:ind w:firstLine="284"/>
        <w:jc w:val="center"/>
        <w:rPr>
          <w:rFonts w:ascii="Times New Roman" w:hAnsi="Times New Roman"/>
          <w:b/>
          <w:i/>
        </w:rPr>
      </w:pPr>
      <w:r w:rsidRPr="00D02CB7">
        <w:rPr>
          <w:rFonts w:ascii="Times New Roman" w:hAnsi="Times New Roman"/>
          <w:b/>
          <w:i/>
        </w:rPr>
        <w:t>Обзор ключевых событий минувших месяцев 2009-го года и новый прогноз финансовых рынков на 2010-й год</w:t>
      </w:r>
    </w:p>
    <w:p w:rsidR="00A423B2" w:rsidRDefault="00A423B2" w:rsidP="00D02CB7">
      <w:pPr>
        <w:spacing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D02CB7">
        <w:rPr>
          <w:rFonts w:ascii="Times New Roman" w:hAnsi="Times New Roman"/>
        </w:rPr>
        <w:t xml:space="preserve"> I квартале 2009 года доллар укреплялся к основным конкурентам на остаточном страхе и недоверии мировых финансовых институтов к собственным контрагентам, </w:t>
      </w:r>
      <w:r>
        <w:rPr>
          <w:rFonts w:ascii="Times New Roman" w:hAnsi="Times New Roman"/>
        </w:rPr>
        <w:t>но</w:t>
      </w:r>
      <w:r w:rsidRPr="00D02CB7">
        <w:rPr>
          <w:rFonts w:ascii="Times New Roman" w:hAnsi="Times New Roman"/>
        </w:rPr>
        <w:t xml:space="preserve"> в последующие месяцы спекулянты с лихвой отыгрались на </w:t>
      </w:r>
      <w:r>
        <w:rPr>
          <w:rFonts w:ascii="Times New Roman" w:hAnsi="Times New Roman"/>
        </w:rPr>
        <w:t>нем.</w:t>
      </w:r>
    </w:p>
    <w:p w:rsidR="00A423B2" w:rsidRDefault="007172F2" w:rsidP="00D02CB7">
      <w:pPr>
        <w:spacing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86.5pt;height:151.5pt;visibility:visible">
            <v:imagedata r:id="rId4" o:title=""/>
          </v:shape>
        </w:pict>
      </w:r>
    </w:p>
    <w:p w:rsidR="00A423B2" w:rsidRDefault="00A423B2" w:rsidP="00D02CB7">
      <w:pPr>
        <w:spacing w:line="240" w:lineRule="auto"/>
        <w:ind w:firstLine="284"/>
        <w:jc w:val="both"/>
        <w:rPr>
          <w:rFonts w:ascii="Times New Roman" w:hAnsi="Times New Roman"/>
        </w:rPr>
      </w:pPr>
      <w:r w:rsidRPr="004A1CE1">
        <w:rPr>
          <w:rFonts w:ascii="Times New Roman" w:hAnsi="Times New Roman"/>
        </w:rPr>
        <w:t xml:space="preserve">Во многом динамику на валютном рынке с марта месяца предопределила ФРС США. </w:t>
      </w:r>
      <w:r>
        <w:rPr>
          <w:rFonts w:ascii="Times New Roman" w:hAnsi="Times New Roman"/>
        </w:rPr>
        <w:t>Б</w:t>
      </w:r>
      <w:r w:rsidRPr="004A1CE1">
        <w:rPr>
          <w:rFonts w:ascii="Times New Roman" w:hAnsi="Times New Roman"/>
        </w:rPr>
        <w:t>ыло принято решение приступить к так называемым нетрадиционным мерам поддержки финансовой системы. Фактически речь шла об эмиссионном накачивании банковской системы «свеженапечатанными» долларами. На своем мартовском заседании Федрезерв принял решение о начале выкупа казначейских облигаций на сумму в $300 млрд.. Прибавив к этому $1,25 трлн., в рамках программы по приобретению облигаций, обеспеченных ипотечными займами, а также $175 млрд. на покупку агентских бондов.</w:t>
      </w:r>
    </w:p>
    <w:p w:rsidR="00A423B2" w:rsidRDefault="007172F2" w:rsidP="00D02CB7">
      <w:pPr>
        <w:spacing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shape id="Рисунок 2" o:spid="_x0000_i1026" type="#_x0000_t75" style="width:276pt;height:162.75pt;visibility:visible">
            <v:imagedata r:id="rId5" o:title=""/>
          </v:shape>
        </w:pict>
      </w:r>
    </w:p>
    <w:p w:rsidR="00A423B2" w:rsidRDefault="00A423B2" w:rsidP="00D02CB7">
      <w:pPr>
        <w:spacing w:line="240" w:lineRule="auto"/>
        <w:ind w:firstLine="284"/>
        <w:jc w:val="both"/>
        <w:rPr>
          <w:rFonts w:ascii="Times New Roman" w:hAnsi="Times New Roman"/>
        </w:rPr>
      </w:pPr>
      <w:r w:rsidRPr="004A1CE1">
        <w:rPr>
          <w:rFonts w:ascii="Times New Roman" w:hAnsi="Times New Roman"/>
        </w:rPr>
        <w:t>Но сколько бы Федрезерв ни накачивал финансовую систему ликвидностью, убедить банки кредитовать реальный сектор практически не получается. Финансовые организации предпочитают аккумулировать щедро предоставленные средства со стороны ФРС на ее же балансе. В итоге объем избыточных резервов американских банков достиг рекордных уровней, превысив отметку в триллион долларов.</w:t>
      </w:r>
    </w:p>
    <w:p w:rsidR="00A423B2" w:rsidRDefault="007172F2" w:rsidP="00D02CB7">
      <w:pPr>
        <w:spacing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shape id="Рисунок 3" o:spid="_x0000_i1027" type="#_x0000_t75" style="width:260.25pt;height:149.25pt;visibility:visible">
            <v:imagedata r:id="rId6" o:title=""/>
          </v:shape>
        </w:pict>
      </w:r>
    </w:p>
    <w:p w:rsidR="00A423B2" w:rsidRPr="004A1CE1" w:rsidRDefault="00A423B2" w:rsidP="004A1CE1">
      <w:pPr>
        <w:spacing w:line="240" w:lineRule="auto"/>
        <w:ind w:firstLine="284"/>
        <w:jc w:val="both"/>
        <w:rPr>
          <w:rFonts w:ascii="Times New Roman" w:hAnsi="Times New Roman"/>
        </w:rPr>
      </w:pPr>
      <w:r w:rsidRPr="004A1CE1">
        <w:rPr>
          <w:rFonts w:ascii="Times New Roman" w:hAnsi="Times New Roman"/>
        </w:rPr>
        <w:t xml:space="preserve">Интерес к валютно-процентному арбитражу будет сохраняться до тех пор, пока Федеральная Резервная Система Соединенных Штатов не отключит печатный станок. Ускорить процесс отказа от долларового арбитража может, конечно, крайне слабая макроэкономическая статистика. </w:t>
      </w:r>
    </w:p>
    <w:p w:rsidR="00A423B2" w:rsidRDefault="00A423B2" w:rsidP="001C2985">
      <w:pPr>
        <w:spacing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концу</w:t>
      </w:r>
      <w:r w:rsidRPr="004A1CE1">
        <w:rPr>
          <w:rFonts w:ascii="Times New Roman" w:hAnsi="Times New Roman"/>
        </w:rPr>
        <w:t xml:space="preserve"> 2010 году, </w:t>
      </w:r>
      <w:r>
        <w:rPr>
          <w:rFonts w:ascii="Times New Roman" w:hAnsi="Times New Roman"/>
        </w:rPr>
        <w:t>ожидается</w:t>
      </w:r>
      <w:r w:rsidRPr="004A1CE1">
        <w:rPr>
          <w:rFonts w:ascii="Times New Roman" w:hAnsi="Times New Roman"/>
        </w:rPr>
        <w:t xml:space="preserve"> дальнейше</w:t>
      </w:r>
      <w:r>
        <w:rPr>
          <w:rFonts w:ascii="Times New Roman" w:hAnsi="Times New Roman"/>
        </w:rPr>
        <w:t>е</w:t>
      </w:r>
      <w:r w:rsidRPr="004A1CE1">
        <w:rPr>
          <w:rFonts w:ascii="Times New Roman" w:hAnsi="Times New Roman"/>
        </w:rPr>
        <w:t xml:space="preserve"> планомерно</w:t>
      </w:r>
      <w:r>
        <w:rPr>
          <w:rFonts w:ascii="Times New Roman" w:hAnsi="Times New Roman"/>
        </w:rPr>
        <w:t>е</w:t>
      </w:r>
      <w:r w:rsidRPr="004A1CE1">
        <w:rPr>
          <w:rFonts w:ascii="Times New Roman" w:hAnsi="Times New Roman"/>
        </w:rPr>
        <w:t xml:space="preserve"> ослаблени</w:t>
      </w:r>
      <w:r>
        <w:rPr>
          <w:rFonts w:ascii="Times New Roman" w:hAnsi="Times New Roman"/>
        </w:rPr>
        <w:t>е</w:t>
      </w:r>
      <w:r w:rsidRPr="004A1CE1">
        <w:rPr>
          <w:rFonts w:ascii="Times New Roman" w:hAnsi="Times New Roman"/>
        </w:rPr>
        <w:t xml:space="preserve"> доллара к основным конкурентам в первом полугодии. В рамках данного прогноза разные валюты в условиях неоднородной ситуации в национальных экономиках будут вести себя неодинаково. И если «товарные валюты» (австралийский доллар, норвежская крона и др.) могут достаточно стремительно укрепляться против доллара в начале года, то темпы роста традиционных европейских валют (евро, фунт, франк) будут значительно скромнее. Подобная дифференциация обусловлена различными темпами восстановления экономик и сроками сворачивания монетарных стимулов. Так, ЦБ Австралии, Норвегии и некоторых других государств уже предпринимают активные меры по ужесточению денежно-кредитной политики, в то время как ЕЦБ или Банк Англии о повышении ставок пока даже «не заикаются». </w:t>
      </w:r>
    </w:p>
    <w:p w:rsidR="00A423B2" w:rsidRDefault="00A423B2" w:rsidP="001C2985">
      <w:pPr>
        <w:spacing w:line="240" w:lineRule="auto"/>
        <w:ind w:firstLine="284"/>
        <w:jc w:val="both"/>
        <w:rPr>
          <w:rFonts w:ascii="Times New Roman" w:hAnsi="Times New Roman"/>
        </w:rPr>
      </w:pPr>
      <w:r w:rsidRPr="0085347C">
        <w:rPr>
          <w:rFonts w:ascii="Times New Roman" w:hAnsi="Times New Roman"/>
        </w:rPr>
        <w:t>Рассмотрим детальнее перспективы движения основных валютных пар на 2010 год.</w:t>
      </w:r>
    </w:p>
    <w:p w:rsidR="00A423B2" w:rsidRDefault="00A423B2" w:rsidP="0012301B">
      <w:pPr>
        <w:spacing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r w:rsidRPr="0085347C">
        <w:t xml:space="preserve"> </w:t>
      </w:r>
      <w:r w:rsidRPr="0085347C">
        <w:rPr>
          <w:rFonts w:ascii="Times New Roman" w:hAnsi="Times New Roman"/>
        </w:rPr>
        <w:t>Летний кризис 2009-го года сильно пошатнул состояние экономики и раскачал чаши весов на валютном рынке. Временное закрытие банков, создание новых администраций, масса обманутых вкладчиков, лишь немногим из которых повезло по причине размещения средств в банках, спасенных государством.</w:t>
      </w:r>
      <w:r>
        <w:rPr>
          <w:rFonts w:ascii="Times New Roman" w:hAnsi="Times New Roman"/>
        </w:rPr>
        <w:t xml:space="preserve"> </w:t>
      </w:r>
      <w:r w:rsidRPr="0012301B">
        <w:rPr>
          <w:rFonts w:ascii="Times New Roman" w:hAnsi="Times New Roman"/>
        </w:rPr>
        <w:t>По многим мнениям, прогноз курса евро 2010 год ожидается стабильным, хотя наиболее подходящей валютой для инвестиционных вкладов останется доллар. Валюты многих стран привязаны к доллару, а новую мировую валюту пока не может дать ни одно государство. Прогноз курса евро на 2010 таков, что его цена по отношению к доллару по-прежнему будет составлять разницу в 1, 5 в пользу евро, балансируя с непродолжительной разницей. На сегодняшний день стоимость евро остается стабильной, а состояние доллара резко пошатнулось, существенно увеличив разрыв в отношении между валютами.</w:t>
      </w:r>
    </w:p>
    <w:p w:rsidR="00A423B2" w:rsidRDefault="007172F2" w:rsidP="00E05F56">
      <w:pPr>
        <w:spacing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shape id="Рисунок 4" o:spid="_x0000_i1028" type="#_x0000_t75" style="width:310.5pt;height:161.25pt;visibility:visible">
            <v:imagedata r:id="rId7" o:title=""/>
          </v:shape>
        </w:pict>
      </w:r>
    </w:p>
    <w:p w:rsidR="00A423B2" w:rsidRPr="001C31ED" w:rsidRDefault="00A423B2" w:rsidP="001C31ED">
      <w:pPr>
        <w:spacing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 w:rsidRPr="001C31ED">
        <w:t xml:space="preserve"> </w:t>
      </w:r>
      <w:r>
        <w:t xml:space="preserve">2009 </w:t>
      </w:r>
      <w:r w:rsidRPr="001C31ED">
        <w:rPr>
          <w:rFonts w:ascii="Times New Roman" w:hAnsi="Times New Roman"/>
        </w:rPr>
        <w:t xml:space="preserve">год выдался крайне волатильным и для британской валюты. После снижения в начале года к многолетним минимумам </w:t>
      </w:r>
      <w:r>
        <w:rPr>
          <w:rFonts w:ascii="Times New Roman" w:hAnsi="Times New Roman"/>
        </w:rPr>
        <w:t>,</w:t>
      </w:r>
      <w:r w:rsidRPr="001C31ED">
        <w:rPr>
          <w:rFonts w:ascii="Times New Roman" w:hAnsi="Times New Roman"/>
        </w:rPr>
        <w:t xml:space="preserve"> в конце первого квартала начался планомерный рост. В итоге за последние 12 месяцев стоимость фунта стерлингов выросла на 12%. </w:t>
      </w:r>
    </w:p>
    <w:p w:rsidR="00A423B2" w:rsidRPr="001C31ED" w:rsidRDefault="00A423B2" w:rsidP="001C31ED">
      <w:pPr>
        <w:spacing w:line="240" w:lineRule="auto"/>
        <w:ind w:firstLine="284"/>
        <w:jc w:val="both"/>
        <w:rPr>
          <w:rFonts w:ascii="Times New Roman" w:hAnsi="Times New Roman"/>
        </w:rPr>
      </w:pPr>
    </w:p>
    <w:p w:rsidR="00A423B2" w:rsidRPr="001C31ED" w:rsidRDefault="00A423B2" w:rsidP="001C31ED">
      <w:pPr>
        <w:spacing w:line="240" w:lineRule="auto"/>
        <w:ind w:firstLine="284"/>
        <w:jc w:val="both"/>
        <w:rPr>
          <w:rFonts w:ascii="Times New Roman" w:hAnsi="Times New Roman"/>
        </w:rPr>
      </w:pPr>
      <w:r w:rsidRPr="001C31ED">
        <w:rPr>
          <w:rFonts w:ascii="Times New Roman" w:hAnsi="Times New Roman"/>
        </w:rPr>
        <w:t xml:space="preserve">Каких-либо фундаментальных преимуществ у британской экономики и её валюты против американского конкурента нет. Нет существенных различий у двух государств и в денежно-кредитной политике. Ключевая ставка в Соединенном Королевстве в настоящий момент находится на уровне 0,5%. При этом, согласно отчету британского Центра экономических и деловых исследований, Банк Англии не станет повышать текущее значение ставки вплоть до 2011 года. И даже к 2014 г. стоимость рефинансирования в ЦБ, по мнению экспертов Центра, не превысит 2,0%. </w:t>
      </w:r>
    </w:p>
    <w:p w:rsidR="00A423B2" w:rsidRDefault="007172F2" w:rsidP="001C31ED">
      <w:pPr>
        <w:spacing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shape id="Рисунок 5" o:spid="_x0000_i1029" type="#_x0000_t75" style="width:269.25pt;height:140.25pt;visibility:visible">
            <v:imagedata r:id="rId8" o:title=""/>
          </v:shape>
        </w:pict>
      </w:r>
    </w:p>
    <w:p w:rsidR="00A423B2" w:rsidRDefault="00A423B2" w:rsidP="001C31ED">
      <w:pPr>
        <w:spacing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</w:t>
      </w:r>
      <w:r w:rsidRPr="001C31ED">
        <w:t xml:space="preserve"> </w:t>
      </w:r>
      <w:r w:rsidRPr="001C31ED">
        <w:rPr>
          <w:rFonts w:ascii="Times New Roman" w:hAnsi="Times New Roman"/>
        </w:rPr>
        <w:t xml:space="preserve">Ожидаемый еще в начале 2009 года паритет швейцарского франка и американского доллара был достигнут лишь в конце ноября. За это время национальная валюта Швейцарии укрепилась к доллару на 6,5%, рост мог быть и более значительным, если бы не активное </w:t>
      </w:r>
      <w:r>
        <w:rPr>
          <w:rFonts w:ascii="Times New Roman" w:hAnsi="Times New Roman"/>
        </w:rPr>
        <w:t>сопротивление швейцарского ЦБ. У</w:t>
      </w:r>
      <w:r w:rsidRPr="001C31ED">
        <w:rPr>
          <w:rFonts w:ascii="Times New Roman" w:hAnsi="Times New Roman"/>
        </w:rPr>
        <w:t>креплению швейцарской валюты способствует не столько активность международных игроков, сколько действия местных банков, направленные на репатриацию капитала в швейцарских франках. За время кризиса банки, некогда имевшие статус самых надежных в мире, существенно пострадали, и теперь для пополнения капитальной базы вынуждены выводить средства из иностранных активов</w:t>
      </w:r>
      <w:r>
        <w:rPr>
          <w:rFonts w:ascii="Times New Roman" w:hAnsi="Times New Roman"/>
        </w:rPr>
        <w:t>.</w:t>
      </w:r>
    </w:p>
    <w:p w:rsidR="00A423B2" w:rsidRDefault="007172F2" w:rsidP="001C31ED">
      <w:pPr>
        <w:spacing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shape id="Рисунок 6" o:spid="_x0000_i1030" type="#_x0000_t75" style="width:274.5pt;height:142.5pt;visibility:visible">
            <v:imagedata r:id="rId9" o:title=""/>
          </v:shape>
        </w:pict>
      </w:r>
    </w:p>
    <w:p w:rsidR="00A423B2" w:rsidRDefault="00A423B2" w:rsidP="00FA6E91">
      <w:pPr>
        <w:spacing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</w:t>
      </w:r>
      <w:r w:rsidRPr="001C31ED">
        <w:t xml:space="preserve"> </w:t>
      </w:r>
      <w:r>
        <w:rPr>
          <w:rFonts w:ascii="Times New Roman" w:hAnsi="Times New Roman"/>
        </w:rPr>
        <w:t>Бо</w:t>
      </w:r>
      <w:r w:rsidRPr="001C31ED">
        <w:rPr>
          <w:rFonts w:ascii="Times New Roman" w:hAnsi="Times New Roman"/>
        </w:rPr>
        <w:t>льшую часть года против доллара укреплялась и иена. С лета 2009 года занимать в долларах стало дешевле, чем в иенах (сроком до 6 мес.). И это, несмотря на активные действия японского регулятора по накачиванию экономики ликвидностью. В итоге к концу ноября доллар опустился до минимальных значений за последние четырнад</w:t>
      </w:r>
      <w:r>
        <w:rPr>
          <w:rFonts w:ascii="Times New Roman" w:hAnsi="Times New Roman"/>
        </w:rPr>
        <w:t>цать лет - ниже уровня 85 иен.</w:t>
      </w:r>
      <w:r w:rsidRPr="001C31ED">
        <w:rPr>
          <w:rFonts w:ascii="Times New Roman" w:hAnsi="Times New Roman"/>
        </w:rPr>
        <w:t xml:space="preserve">На фоне нарастающих репатриационных потоков капитала курс японской валюты в ближайшие два квартала продолжит, по прогнозам, преимущественно укрепляться к «американцу». </w:t>
      </w:r>
    </w:p>
    <w:p w:rsidR="00A423B2" w:rsidRDefault="007172F2" w:rsidP="00FA6E91">
      <w:pPr>
        <w:spacing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shape id="Рисунок 7" o:spid="_x0000_i1031" type="#_x0000_t75" style="width:228.75pt;height:119.25pt;visibility:visible">
            <v:imagedata r:id="rId10" o:title=""/>
          </v:shape>
        </w:pict>
      </w:r>
    </w:p>
    <w:p w:rsidR="00A423B2" w:rsidRDefault="00A423B2" w:rsidP="00FA6E91">
      <w:pPr>
        <w:spacing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</w:t>
      </w:r>
      <w:r w:rsidRPr="00FA6E91">
        <w:t xml:space="preserve"> </w:t>
      </w:r>
      <w:r w:rsidRPr="00FA6E91">
        <w:rPr>
          <w:rFonts w:ascii="Times New Roman" w:hAnsi="Times New Roman"/>
        </w:rPr>
        <w:t>Отдельного внимания заслуживает динамика российской валюты. После «управляемой» девальвации, к концу которой курс доллара превышал отметку в 36 руб., началось плавное ук</w:t>
      </w:r>
      <w:r>
        <w:rPr>
          <w:rFonts w:ascii="Times New Roman" w:hAnsi="Times New Roman"/>
        </w:rPr>
        <w:t xml:space="preserve">репление отечественной валюты. </w:t>
      </w:r>
      <w:r w:rsidRPr="00FA6E91">
        <w:rPr>
          <w:rFonts w:ascii="Times New Roman" w:hAnsi="Times New Roman"/>
        </w:rPr>
        <w:t>На этом фоне с весны Банк России уже вынужден был скупать валюту с рынка, сдерживая стремительное укрепление рубля. Но приток средств по текущему и финансовому счетам ПБ, а также спекулятивная игра со стороны основных операторов рынка на «повышение курса рубля» сделали своё дело.</w:t>
      </w:r>
    </w:p>
    <w:p w:rsidR="00A423B2" w:rsidRPr="00FA6E91" w:rsidRDefault="007172F2" w:rsidP="00FA6E91">
      <w:pPr>
        <w:spacing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shape id="Рисунок 8" o:spid="_x0000_i1032" type="#_x0000_t75" style="width:269.25pt;height:139.5pt;visibility:visible">
            <v:imagedata r:id="rId11" o:title=""/>
          </v:shape>
        </w:pict>
      </w:r>
    </w:p>
    <w:p w:rsidR="00A423B2" w:rsidRPr="00FA6E91" w:rsidRDefault="00A423B2" w:rsidP="00FA6E91">
      <w:pPr>
        <w:spacing w:line="240" w:lineRule="auto"/>
        <w:ind w:firstLine="284"/>
        <w:jc w:val="both"/>
        <w:rPr>
          <w:rFonts w:ascii="Times New Roman" w:hAnsi="Times New Roman"/>
          <w:i/>
        </w:rPr>
      </w:pPr>
      <w:r w:rsidRPr="00FA6E91">
        <w:rPr>
          <w:rFonts w:ascii="Times New Roman" w:hAnsi="Times New Roman"/>
          <w:i/>
        </w:rPr>
        <w:t>Товарно-сырьевые рынки</w:t>
      </w:r>
    </w:p>
    <w:p w:rsidR="00A423B2" w:rsidRDefault="00A423B2" w:rsidP="00FA6E91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r w:rsidRPr="00FA6E91">
        <w:rPr>
          <w:rFonts w:ascii="Times New Roman" w:hAnsi="Times New Roman"/>
        </w:rPr>
        <w:t>В течение всего 2009 года стоимость нефти неуклонно росла, игнорируя все фундаментальные факторы, свидетельствовавшие о снижении мирового спроса на углеводороды. На сегодняшний день, по сравнению с началом года, цены нефтяных контрактов на торгах в Лондоне и Нью-Йорке выросли в два раза. Во многом данная динамика вызвана той самой ликвидностью, которую весь год Центробанки планомерно вбрасывали в финансовую систему. На фоне роста ожиданий скорого восстановления мировой экономики и интереса к арбитражным сделкам с фьючерсами разных периодов экспирации, спекулятивный интерес к черному золоту резко возрос.</w:t>
      </w:r>
    </w:p>
    <w:p w:rsidR="00A423B2" w:rsidRDefault="007172F2" w:rsidP="00FA6E91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shape id="Рисунок 10" o:spid="_x0000_i1033" type="#_x0000_t75" style="width:285pt;height:148.5pt;visibility:visible">
            <v:imagedata r:id="rId12" o:title=""/>
          </v:shape>
        </w:pict>
      </w:r>
    </w:p>
    <w:p w:rsidR="00A423B2" w:rsidRDefault="00A423B2" w:rsidP="00FA6E91">
      <w:pPr>
        <w:spacing w:line="240" w:lineRule="auto"/>
        <w:jc w:val="both"/>
        <w:rPr>
          <w:rFonts w:ascii="Times New Roman" w:hAnsi="Times New Roman"/>
        </w:rPr>
      </w:pPr>
      <w:r w:rsidRPr="00F95E35">
        <w:rPr>
          <w:rFonts w:ascii="Times New Roman" w:hAnsi="Times New Roman"/>
        </w:rPr>
        <w:t xml:space="preserve">Вряд ли и в </w:t>
      </w:r>
      <w:r>
        <w:rPr>
          <w:rFonts w:ascii="Times New Roman" w:hAnsi="Times New Roman"/>
        </w:rPr>
        <w:t>этом</w:t>
      </w:r>
      <w:r w:rsidRPr="00F95E35">
        <w:rPr>
          <w:rFonts w:ascii="Times New Roman" w:hAnsi="Times New Roman"/>
        </w:rPr>
        <w:t xml:space="preserve"> году нефтяным котировкам</w:t>
      </w:r>
      <w:r>
        <w:rPr>
          <w:rFonts w:ascii="Times New Roman" w:hAnsi="Times New Roman"/>
        </w:rPr>
        <w:t xml:space="preserve"> </w:t>
      </w:r>
      <w:r w:rsidRPr="00F95E35">
        <w:rPr>
          <w:rFonts w:ascii="Times New Roman" w:hAnsi="Times New Roman"/>
        </w:rPr>
        <w:t xml:space="preserve"> удастся уйти существенно дальше уже сформированного диапазона. Достаточно медленное восстановление экономически развитых государств, вкупе с законодательными инициативами по ограничению спекуляций на рынке углеводородов, не позволит ценам на нефть демонстрировать столь же феноменальную динамику, как в начале 2009.</w:t>
      </w:r>
    </w:p>
    <w:p w:rsidR="00A423B2" w:rsidRDefault="00A423B2" w:rsidP="00FA6E91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 w:rsidRPr="00F95E35">
        <w:t xml:space="preserve"> </w:t>
      </w:r>
      <w:r w:rsidRPr="00F95E35">
        <w:rPr>
          <w:rFonts w:ascii="Times New Roman" w:hAnsi="Times New Roman"/>
        </w:rPr>
        <w:t>В течение года золотой металл также преимущественно демонстрировал повышательную динамику.</w:t>
      </w:r>
      <w:r w:rsidRPr="00F95E35">
        <w:t xml:space="preserve"> </w:t>
      </w:r>
      <w:r w:rsidRPr="00F95E35">
        <w:rPr>
          <w:rFonts w:ascii="Times New Roman" w:hAnsi="Times New Roman"/>
        </w:rPr>
        <w:t>Всплеск активности на рынке золотого драгметалла пришелся на вторую половину года. Большую роль здесь сыграла валютная составляющая. Снижение доллара на международном рынке отчасти подрывало доверие к американским активам. Диверсифицировать свои сбережения и защититься от возможных инфляционных угроз за счет золота пытаются как частные инвестфонды, так и Центробанки</w:t>
      </w:r>
      <w:r>
        <w:rPr>
          <w:rFonts w:ascii="Times New Roman" w:hAnsi="Times New Roman"/>
        </w:rPr>
        <w:t>.</w:t>
      </w:r>
    </w:p>
    <w:p w:rsidR="00A423B2" w:rsidRDefault="007172F2" w:rsidP="00FA6E91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shape id="Рисунок 11" o:spid="_x0000_i1034" type="#_x0000_t75" style="width:254.25pt;height:132.75pt;visibility:visible">
            <v:imagedata r:id="rId13" o:title=""/>
          </v:shape>
        </w:pict>
      </w:r>
    </w:p>
    <w:p w:rsidR="00A423B2" w:rsidRDefault="00A423B2" w:rsidP="00FA6E91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</w:t>
      </w:r>
      <w:r w:rsidRPr="00F95E35">
        <w:t xml:space="preserve"> </w:t>
      </w:r>
      <w:r w:rsidRPr="00F95E35">
        <w:rPr>
          <w:rFonts w:ascii="Times New Roman" w:hAnsi="Times New Roman"/>
        </w:rPr>
        <w:t>В настоящее время ситуация с некоторыми агрокультурами напоминает конъюнктуру нефтяного рынка, а именно - частичную оторванность цен от реального соотношения спроса и предложения. В частности, из-за достаточно слабого спроса, на сегодняшний день мировые запасы зерна достигли максимальных значений за последние 8 лет.</w:t>
      </w:r>
    </w:p>
    <w:p w:rsidR="00A423B2" w:rsidRDefault="007172F2" w:rsidP="00FA6E91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shape id="Рисунок 12" o:spid="_x0000_i1035" type="#_x0000_t75" style="width:264.75pt;height:138pt;visibility:visible">
            <v:imagedata r:id="rId14" o:title=""/>
          </v:shape>
        </w:pict>
      </w:r>
      <w:r w:rsidR="00A423B2" w:rsidRPr="00F95E35">
        <w:rPr>
          <w:rFonts w:ascii="Times New Roman" w:hAnsi="Times New Roman"/>
        </w:rPr>
        <w:t xml:space="preserve"> </w:t>
      </w:r>
    </w:p>
    <w:p w:rsidR="00A423B2" w:rsidRPr="00F95E35" w:rsidRDefault="00A423B2" w:rsidP="00F95E35">
      <w:pPr>
        <w:spacing w:line="240" w:lineRule="auto"/>
        <w:jc w:val="both"/>
        <w:rPr>
          <w:rFonts w:ascii="Times New Roman" w:hAnsi="Times New Roman"/>
        </w:rPr>
      </w:pPr>
      <w:r w:rsidRPr="00F95E35">
        <w:rPr>
          <w:rFonts w:ascii="Times New Roman" w:hAnsi="Times New Roman"/>
        </w:rPr>
        <w:t xml:space="preserve">Если говорить в общих чертах, то рост котировок пшеницы может быть обусловлен следующими факторами: </w:t>
      </w:r>
    </w:p>
    <w:p w:rsidR="00A423B2" w:rsidRPr="00F95E35" w:rsidRDefault="00A423B2" w:rsidP="00F95E35">
      <w:pPr>
        <w:spacing w:line="240" w:lineRule="auto"/>
        <w:jc w:val="both"/>
        <w:rPr>
          <w:rFonts w:ascii="Times New Roman" w:hAnsi="Times New Roman"/>
        </w:rPr>
      </w:pPr>
      <w:r w:rsidRPr="00F95E35">
        <w:rPr>
          <w:rFonts w:ascii="Times New Roman" w:hAnsi="Times New Roman"/>
        </w:rPr>
        <w:t xml:space="preserve">- Ослаблением доллара на фоне сохраняющегося интереса к доходным рисковым активам. </w:t>
      </w:r>
    </w:p>
    <w:p w:rsidR="00A423B2" w:rsidRPr="00F95E35" w:rsidRDefault="00A423B2" w:rsidP="00F95E35">
      <w:pPr>
        <w:spacing w:line="240" w:lineRule="auto"/>
        <w:jc w:val="both"/>
        <w:rPr>
          <w:rFonts w:ascii="Times New Roman" w:hAnsi="Times New Roman"/>
        </w:rPr>
      </w:pPr>
      <w:r w:rsidRPr="00F95E35">
        <w:rPr>
          <w:rFonts w:ascii="Times New Roman" w:hAnsi="Times New Roman"/>
        </w:rPr>
        <w:t xml:space="preserve">- Удорожанием обслуживания фермерского хозяйства вследствие общего инфляционного фона (в т.ч. роста издержек на хранение). </w:t>
      </w:r>
    </w:p>
    <w:p w:rsidR="00A423B2" w:rsidRDefault="00A423B2" w:rsidP="00F95E35">
      <w:pPr>
        <w:spacing w:line="240" w:lineRule="auto"/>
        <w:jc w:val="both"/>
        <w:rPr>
          <w:rFonts w:ascii="Times New Roman" w:hAnsi="Times New Roman"/>
        </w:rPr>
      </w:pPr>
      <w:r w:rsidRPr="00F95E35">
        <w:rPr>
          <w:rFonts w:ascii="Times New Roman" w:hAnsi="Times New Roman"/>
        </w:rPr>
        <w:t>- Ростом цен на нефтепродукты, что повысит заинтересованность в использовании биотоплива, которое в свою очередь, изготавливается из кукурузы и пшеницы.</w:t>
      </w:r>
    </w:p>
    <w:p w:rsidR="00A423B2" w:rsidRDefault="00A423B2" w:rsidP="00F95E35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</w:t>
      </w:r>
      <w:r w:rsidRPr="00EA748F">
        <w:t xml:space="preserve"> </w:t>
      </w:r>
      <w:r w:rsidRPr="00EA748F">
        <w:rPr>
          <w:rFonts w:ascii="Times New Roman" w:hAnsi="Times New Roman"/>
        </w:rPr>
        <w:t>Прогнозируя перспективы движения цен на сахар, фактически можно констатировать, что динамика цен уже определена, и новые рекорды не заставят себя долго ждать. Так, существенный спад производства в Индии и других странах-экспортерах создал все предпосылки для мирового дефицита сахара. По данным ISO (Международная организация производителей сахара), мировое производство в 2009-2010 сократится почти на 5 миллионов тонн. Падение предложения со стороны крупнейших производителей, Бразилии и Индии, отчасти было связано с неблагоприятными погодными условиями. Таким образом, негативный прогноз урожая и повышение мирового потребления сырья (в частности, за счет его применения в альтернативных видах энергоносителей) оправдывают ожидания восходящей тенденции.</w:t>
      </w:r>
    </w:p>
    <w:p w:rsidR="00A423B2" w:rsidRDefault="007172F2" w:rsidP="00F95E35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shape id="Рисунок 13" o:spid="_x0000_i1036" type="#_x0000_t75" style="width:269.25pt;height:108.75pt;visibility:visible">
            <v:imagedata r:id="rId15" o:title=""/>
          </v:shape>
        </w:pict>
      </w:r>
    </w:p>
    <w:p w:rsidR="00A423B2" w:rsidRDefault="00A423B2" w:rsidP="00410FAD">
      <w:pPr>
        <w:spacing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области бюджетно-налоговой политики упор делается на стимулирование экономической активности посредством увеличения государственных расходов и снижения налогового бремени. </w:t>
      </w:r>
    </w:p>
    <w:p w:rsidR="00A423B2" w:rsidRDefault="00A423B2" w:rsidP="00410FAD">
      <w:pPr>
        <w:spacing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Расширение центральными банками перечня инструментов рефинансирования и масштабов проводимых проводимых операций позволило несколько улучшить ситуацию с привлечением финансирования банковскими институтами. Важную роль в этом играло представление государственных гарантий властями ведущих стран по новым в заимствованиям кредитных учреждениях, позволившее банкам увеличить сроки привлекаемых кредитов.</w:t>
      </w:r>
    </w:p>
    <w:p w:rsidR="00A423B2" w:rsidRDefault="00A423B2" w:rsidP="00410FAD">
      <w:pPr>
        <w:spacing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Новый виток усиления взаимного недоверия участников рынка  был спровоцирован предупреждением ведущих рейтинговых агентств о возможности снижения рейтинга западноевропейских банков, располагающих крупными филиальными сетями в Центральной и Восточной Европе. Согласно некоторым экспертным оценкам, потенциальный объём потерь  западноевропейских (в основном австрийских, бельгийских, а также немецких)банков в этом регионе может составить порядка 500 млрд. дол. США. Чтобы не допустить дальнейшей эскалации кризиса в восточноевропейских и других потенциально уязвимых стран, ключевые  международные финансовые организации (МВФ, региональные банки развития) поставили перед своими акционерами вопрос о необходимости существенного пополнения капитала. </w:t>
      </w:r>
    </w:p>
    <w:p w:rsidR="00A423B2" w:rsidRDefault="00A423B2" w:rsidP="00410FAD">
      <w:pPr>
        <w:spacing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мнению большинства пре5дставителей экспертного сообщества, главными рисками для мировой1 экономики в ближайшей перспективе  являются дальнейшие падения стоимости ценных бумаг, недвижимости и других активов, рост бюджетного дефицита и госдолга в большинстве стран, а также неспособность государственных институтов в полной мере компенсировать снижение частного потребления.</w:t>
      </w:r>
    </w:p>
    <w:p w:rsidR="00A423B2" w:rsidRDefault="00A423B2" w:rsidP="00410FAD">
      <w:pPr>
        <w:spacing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Таким образом, говорить о скорой стабилизации международных финансовых рынков пока преждевременно. Вполне может перечеркнуть последние надежды на выход  глобальной экономики из кризиса в текущем году. </w:t>
      </w:r>
    </w:p>
    <w:p w:rsidR="00A423B2" w:rsidRPr="001C31ED" w:rsidRDefault="00A423B2" w:rsidP="00410FAD">
      <w:pPr>
        <w:spacing w:line="240" w:lineRule="auto"/>
        <w:ind w:firstLine="426"/>
        <w:jc w:val="both"/>
        <w:rPr>
          <w:rFonts w:ascii="Times New Roman" w:hAnsi="Times New Roman"/>
        </w:rPr>
      </w:pPr>
      <w:bookmarkStart w:id="0" w:name="_GoBack"/>
      <w:bookmarkEnd w:id="0"/>
    </w:p>
    <w:sectPr w:rsidR="00A423B2" w:rsidRPr="001C31ED" w:rsidSect="00E05F5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69A9"/>
    <w:rsid w:val="000369A9"/>
    <w:rsid w:val="0012301B"/>
    <w:rsid w:val="001C2985"/>
    <w:rsid w:val="001C31ED"/>
    <w:rsid w:val="002460E9"/>
    <w:rsid w:val="003577B5"/>
    <w:rsid w:val="00410FAD"/>
    <w:rsid w:val="00457344"/>
    <w:rsid w:val="004A1CE1"/>
    <w:rsid w:val="00623C5C"/>
    <w:rsid w:val="007172F2"/>
    <w:rsid w:val="00747928"/>
    <w:rsid w:val="007C4B08"/>
    <w:rsid w:val="0085347C"/>
    <w:rsid w:val="00A423B2"/>
    <w:rsid w:val="00A4712D"/>
    <w:rsid w:val="00D02CB7"/>
    <w:rsid w:val="00D5270B"/>
    <w:rsid w:val="00D6411A"/>
    <w:rsid w:val="00D64F36"/>
    <w:rsid w:val="00E05F56"/>
    <w:rsid w:val="00EA748F"/>
    <w:rsid w:val="00F53E58"/>
    <w:rsid w:val="00F560B8"/>
    <w:rsid w:val="00F95E35"/>
    <w:rsid w:val="00FA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5:chartTrackingRefBased/>
  <w15:docId w15:val="{FA0FB89E-5ABE-4F08-AAC4-A118ED1F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11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A1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4A1CE1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1C2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мировых рынков</vt:lpstr>
    </vt:vector>
  </TitlesOfParts>
  <Company>Reanimator Extreme Edition</Company>
  <LinksUpToDate>false</LinksUpToDate>
  <CharactersWithSpaces>11084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мировых рынков</dc:title>
  <dc:subject/>
  <dc:creator>DMS</dc:creator>
  <cp:keywords/>
  <dc:description/>
  <cp:lastModifiedBy>admin</cp:lastModifiedBy>
  <cp:revision>2</cp:revision>
  <dcterms:created xsi:type="dcterms:W3CDTF">2014-04-23T02:25:00Z</dcterms:created>
  <dcterms:modified xsi:type="dcterms:W3CDTF">2014-04-23T02:25:00Z</dcterms:modified>
</cp:coreProperties>
</file>