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5E" w:rsidRPr="00AE41FA" w:rsidRDefault="008C265E" w:rsidP="008C265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41FA">
        <w:rPr>
          <w:b/>
          <w:sz w:val="28"/>
          <w:szCs w:val="28"/>
        </w:rPr>
        <w:t>МОСКОВСКИЙ СОЦИАЛЬНО-ЭКОНОМИЧЕСКИЙ ИНСТИТУТ</w:t>
      </w:r>
    </w:p>
    <w:p w:rsidR="008C265E" w:rsidRPr="00AE41FA" w:rsidRDefault="008C265E" w:rsidP="008C265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41FA">
        <w:rPr>
          <w:b/>
          <w:sz w:val="28"/>
          <w:szCs w:val="28"/>
        </w:rPr>
        <w:t>ЦДК в г. Ижевске</w:t>
      </w:r>
    </w:p>
    <w:p w:rsidR="00694727" w:rsidRPr="00AE41FA" w:rsidRDefault="00694727" w:rsidP="00630F2B">
      <w:pPr>
        <w:spacing w:line="360" w:lineRule="auto"/>
        <w:jc w:val="center"/>
        <w:rPr>
          <w:b/>
        </w:rPr>
      </w:pPr>
    </w:p>
    <w:p w:rsidR="00694727" w:rsidRPr="00AE41FA" w:rsidRDefault="00694727" w:rsidP="00630F2B">
      <w:pPr>
        <w:spacing w:line="360" w:lineRule="auto"/>
        <w:jc w:val="center"/>
        <w:rPr>
          <w:b/>
        </w:rPr>
      </w:pPr>
    </w:p>
    <w:p w:rsidR="00694727" w:rsidRPr="00AE41FA" w:rsidRDefault="00694727" w:rsidP="00630F2B">
      <w:pPr>
        <w:spacing w:line="360" w:lineRule="auto"/>
        <w:jc w:val="center"/>
        <w:rPr>
          <w:b/>
        </w:rPr>
      </w:pPr>
    </w:p>
    <w:p w:rsidR="00694727" w:rsidRPr="00AE41FA" w:rsidRDefault="00694727" w:rsidP="00630F2B">
      <w:pPr>
        <w:spacing w:line="360" w:lineRule="auto"/>
        <w:jc w:val="center"/>
        <w:rPr>
          <w:b/>
        </w:rPr>
      </w:pPr>
    </w:p>
    <w:p w:rsidR="00694727" w:rsidRPr="00AE41FA" w:rsidRDefault="00694727" w:rsidP="00630F2B">
      <w:pPr>
        <w:spacing w:line="360" w:lineRule="auto"/>
        <w:jc w:val="center"/>
        <w:rPr>
          <w:b/>
        </w:rPr>
      </w:pPr>
    </w:p>
    <w:p w:rsidR="00694727" w:rsidRPr="00AE41FA" w:rsidRDefault="00694727" w:rsidP="00630F2B">
      <w:pPr>
        <w:spacing w:line="360" w:lineRule="auto"/>
        <w:jc w:val="center"/>
        <w:rPr>
          <w:b/>
        </w:rPr>
      </w:pPr>
    </w:p>
    <w:p w:rsidR="00694727" w:rsidRPr="00AE41FA" w:rsidRDefault="00694727" w:rsidP="00630F2B">
      <w:pPr>
        <w:spacing w:line="360" w:lineRule="auto"/>
        <w:jc w:val="center"/>
        <w:rPr>
          <w:b/>
        </w:rPr>
      </w:pPr>
    </w:p>
    <w:p w:rsidR="00694727" w:rsidRPr="00AE41FA" w:rsidRDefault="00694727" w:rsidP="00630F2B">
      <w:pPr>
        <w:spacing w:line="360" w:lineRule="auto"/>
        <w:jc w:val="center"/>
        <w:rPr>
          <w:b/>
        </w:rPr>
      </w:pPr>
    </w:p>
    <w:p w:rsidR="00694727" w:rsidRPr="00AE41FA" w:rsidRDefault="00694727" w:rsidP="00630F2B">
      <w:pPr>
        <w:spacing w:line="360" w:lineRule="auto"/>
        <w:jc w:val="center"/>
        <w:rPr>
          <w:b/>
          <w:sz w:val="32"/>
          <w:szCs w:val="32"/>
        </w:rPr>
      </w:pPr>
      <w:r w:rsidRPr="00AE41FA">
        <w:rPr>
          <w:b/>
          <w:sz w:val="32"/>
          <w:szCs w:val="32"/>
        </w:rPr>
        <w:t>ЭКЗАМЕНАЦИОННАЯ РАБОТА</w:t>
      </w:r>
    </w:p>
    <w:p w:rsidR="00736B7F" w:rsidRPr="00AE41FA" w:rsidRDefault="00736B7F" w:rsidP="00630F2B">
      <w:pPr>
        <w:spacing w:line="360" w:lineRule="auto"/>
        <w:jc w:val="center"/>
      </w:pPr>
    </w:p>
    <w:p w:rsidR="00694727" w:rsidRPr="00AE41FA" w:rsidRDefault="00694727" w:rsidP="00630F2B">
      <w:pPr>
        <w:spacing w:line="360" w:lineRule="auto"/>
        <w:jc w:val="center"/>
        <w:rPr>
          <w:b/>
        </w:rPr>
      </w:pPr>
      <w:r w:rsidRPr="00AE41FA">
        <w:t>по дисциплине</w:t>
      </w:r>
      <w:r w:rsidRPr="00AE41FA">
        <w:rPr>
          <w:b/>
        </w:rPr>
        <w:t>: «</w:t>
      </w:r>
      <w:r w:rsidR="008C265E" w:rsidRPr="00AE41FA">
        <w:rPr>
          <w:b/>
        </w:rPr>
        <w:t>ОРГАНИЗАЦИЯ ТАМОЖЕННОГО КОНТРОЛЯ ТОВАРОВ И ТРАНСПОТРНЫХ СРЕДСТВ</w:t>
      </w:r>
      <w:r w:rsidRPr="00AE41FA">
        <w:rPr>
          <w:b/>
        </w:rPr>
        <w:t>»</w:t>
      </w:r>
    </w:p>
    <w:p w:rsidR="00694727" w:rsidRPr="00AE41FA" w:rsidRDefault="00694727" w:rsidP="00630F2B">
      <w:pPr>
        <w:spacing w:line="360" w:lineRule="auto"/>
        <w:jc w:val="center"/>
        <w:rPr>
          <w:b/>
        </w:rPr>
      </w:pPr>
    </w:p>
    <w:p w:rsidR="00694727" w:rsidRPr="00AE41FA" w:rsidRDefault="00694727" w:rsidP="00630F2B">
      <w:pPr>
        <w:spacing w:line="360" w:lineRule="auto"/>
        <w:jc w:val="center"/>
        <w:rPr>
          <w:b/>
        </w:rPr>
      </w:pPr>
    </w:p>
    <w:p w:rsidR="00694727" w:rsidRPr="00AE41FA" w:rsidRDefault="00694727" w:rsidP="007B64FB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 w:rsidRPr="00AE41FA">
        <w:rPr>
          <w:b/>
        </w:rPr>
        <w:t>на тему:</w:t>
      </w:r>
      <w:r w:rsidR="007B64FB" w:rsidRPr="00AE41FA">
        <w:t xml:space="preserve"> </w:t>
      </w:r>
    </w:p>
    <w:p w:rsidR="008C265E" w:rsidRPr="00AE41FA" w:rsidRDefault="008C265E" w:rsidP="007B64FB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 w:rsidRPr="00AE41FA">
        <w:t>вопрос 1: «Документы, представляемые при декларировании товаров»</w:t>
      </w:r>
    </w:p>
    <w:p w:rsidR="00736B7F" w:rsidRPr="00AE41FA" w:rsidRDefault="008C265E" w:rsidP="00736B7F">
      <w:pPr>
        <w:spacing w:line="360" w:lineRule="auto"/>
        <w:ind w:firstLine="360"/>
        <w:jc w:val="both"/>
        <w:rPr>
          <w:b/>
          <w:sz w:val="28"/>
          <w:szCs w:val="28"/>
          <w:shd w:val="clear" w:color="auto" w:fill="FFFFFF"/>
        </w:rPr>
      </w:pPr>
      <w:r w:rsidRPr="00AE41FA">
        <w:t xml:space="preserve">вопрос 2: </w:t>
      </w:r>
      <w:r w:rsidR="00736B7F" w:rsidRPr="00AE41FA">
        <w:t>«</w:t>
      </w:r>
      <w:r w:rsidR="00736B7F" w:rsidRPr="00AE41FA">
        <w:rPr>
          <w:shd w:val="clear" w:color="auto" w:fill="FFFFFF"/>
        </w:rPr>
        <w:t>Структура таможенных органов РФ, их полномочия»</w:t>
      </w:r>
    </w:p>
    <w:p w:rsidR="008C265E" w:rsidRPr="00AE41FA" w:rsidRDefault="008C265E" w:rsidP="007B64FB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</w:p>
    <w:p w:rsidR="00694727" w:rsidRPr="00AE41FA" w:rsidRDefault="00694727" w:rsidP="00630F2B">
      <w:pPr>
        <w:spacing w:line="360" w:lineRule="auto"/>
      </w:pPr>
      <w:r w:rsidRPr="00AE41FA">
        <w:t xml:space="preserve">    </w:t>
      </w:r>
    </w:p>
    <w:p w:rsidR="00694727" w:rsidRPr="00AE41FA" w:rsidRDefault="00694727" w:rsidP="00630F2B">
      <w:pPr>
        <w:spacing w:line="360" w:lineRule="auto"/>
      </w:pPr>
    </w:p>
    <w:p w:rsidR="00694727" w:rsidRPr="00AE41FA" w:rsidRDefault="00694727" w:rsidP="00630F2B">
      <w:pPr>
        <w:spacing w:line="360" w:lineRule="auto"/>
        <w:ind w:left="5400"/>
      </w:pPr>
    </w:p>
    <w:p w:rsidR="00694727" w:rsidRPr="00AE41FA" w:rsidRDefault="00694727" w:rsidP="008C265E">
      <w:pPr>
        <w:spacing w:line="360" w:lineRule="auto"/>
        <w:ind w:left="5220"/>
      </w:pPr>
      <w:r w:rsidRPr="00AE41FA">
        <w:t xml:space="preserve">Выполнила студентка </w:t>
      </w:r>
      <w:r w:rsidR="008C265E" w:rsidRPr="00AE41FA">
        <w:rPr>
          <w:lang w:val="en-US"/>
        </w:rPr>
        <w:t>V</w:t>
      </w:r>
      <w:r w:rsidRPr="00AE41FA">
        <w:t xml:space="preserve"> курса гр. №14</w:t>
      </w:r>
    </w:p>
    <w:p w:rsidR="00694727" w:rsidRPr="00AE41FA" w:rsidRDefault="00694727" w:rsidP="008C265E">
      <w:pPr>
        <w:spacing w:line="360" w:lineRule="auto"/>
        <w:ind w:left="5220"/>
      </w:pPr>
      <w:r w:rsidRPr="00AE41FA">
        <w:t>сп-ть «Таможенное дело»</w:t>
      </w:r>
    </w:p>
    <w:p w:rsidR="00694727" w:rsidRPr="00AE41FA" w:rsidRDefault="00694727" w:rsidP="008C265E">
      <w:pPr>
        <w:spacing w:line="360" w:lineRule="auto"/>
        <w:ind w:left="5220"/>
        <w:rPr>
          <w:b/>
        </w:rPr>
      </w:pPr>
      <w:r w:rsidRPr="00AE41FA">
        <w:rPr>
          <w:b/>
        </w:rPr>
        <w:t>Сальникова Ольга Ивановна</w:t>
      </w:r>
    </w:p>
    <w:p w:rsidR="00694727" w:rsidRPr="00AE41FA" w:rsidRDefault="00694727" w:rsidP="00630F2B">
      <w:pPr>
        <w:spacing w:line="360" w:lineRule="auto"/>
      </w:pPr>
    </w:p>
    <w:p w:rsidR="00694727" w:rsidRPr="00AE41FA" w:rsidRDefault="00694727" w:rsidP="00630F2B">
      <w:pPr>
        <w:spacing w:line="360" w:lineRule="auto"/>
      </w:pPr>
    </w:p>
    <w:p w:rsidR="00694727" w:rsidRPr="00AE41FA" w:rsidRDefault="00694727" w:rsidP="00630F2B">
      <w:pPr>
        <w:spacing w:line="360" w:lineRule="auto"/>
      </w:pPr>
    </w:p>
    <w:p w:rsidR="00694727" w:rsidRPr="00AE41FA" w:rsidRDefault="00694727" w:rsidP="00630F2B">
      <w:pPr>
        <w:spacing w:line="360" w:lineRule="auto"/>
      </w:pPr>
    </w:p>
    <w:p w:rsidR="00694727" w:rsidRPr="00AE41FA" w:rsidRDefault="00694727" w:rsidP="00630F2B">
      <w:pPr>
        <w:spacing w:line="360" w:lineRule="auto"/>
      </w:pPr>
    </w:p>
    <w:p w:rsidR="00694727" w:rsidRPr="00AE41FA" w:rsidRDefault="00694727" w:rsidP="00630F2B">
      <w:pPr>
        <w:spacing w:line="360" w:lineRule="auto"/>
      </w:pPr>
    </w:p>
    <w:p w:rsidR="00694727" w:rsidRPr="00AE41FA" w:rsidRDefault="00694727" w:rsidP="00630F2B">
      <w:pPr>
        <w:spacing w:line="360" w:lineRule="auto"/>
      </w:pPr>
    </w:p>
    <w:p w:rsidR="00694727" w:rsidRPr="00AE41FA" w:rsidRDefault="00694727" w:rsidP="00630F2B">
      <w:pPr>
        <w:spacing w:line="360" w:lineRule="auto"/>
        <w:jc w:val="center"/>
        <w:rPr>
          <w:lang w:val="en-US"/>
        </w:rPr>
      </w:pPr>
      <w:r w:rsidRPr="00AE41FA">
        <w:t>20</w:t>
      </w:r>
      <w:r w:rsidR="008C265E" w:rsidRPr="00AE41FA">
        <w:t>1</w:t>
      </w:r>
      <w:r w:rsidR="008C265E" w:rsidRPr="00AE41FA">
        <w:rPr>
          <w:lang w:val="en-US"/>
        </w:rPr>
        <w:t>1</w:t>
      </w:r>
      <w:r w:rsidRPr="00AE41FA">
        <w:t xml:space="preserve"> год</w:t>
      </w:r>
    </w:p>
    <w:p w:rsidR="008C265E" w:rsidRPr="00573CF8" w:rsidRDefault="008C265E" w:rsidP="00573CF8">
      <w:pPr>
        <w:spacing w:line="360" w:lineRule="auto"/>
        <w:ind w:firstLine="709"/>
        <w:jc w:val="both"/>
        <w:rPr>
          <w:b/>
        </w:rPr>
      </w:pPr>
      <w:r w:rsidRPr="00573CF8">
        <w:rPr>
          <w:b/>
        </w:rPr>
        <w:t>1. Документы, представляемые при декларировании товаров.</w:t>
      </w:r>
    </w:p>
    <w:p w:rsidR="008C265E" w:rsidRPr="00573CF8" w:rsidRDefault="008C265E" w:rsidP="00573CF8">
      <w:pPr>
        <w:spacing w:line="360" w:lineRule="auto"/>
        <w:ind w:firstLine="709"/>
        <w:jc w:val="both"/>
      </w:pPr>
    </w:p>
    <w:p w:rsidR="00E64FF0" w:rsidRPr="00573CF8" w:rsidRDefault="008C265E" w:rsidP="00573CF8">
      <w:pPr>
        <w:spacing w:line="360" w:lineRule="auto"/>
        <w:ind w:firstLine="709"/>
        <w:jc w:val="both"/>
        <w:rPr>
          <w:shd w:val="clear" w:color="auto" w:fill="FFFFFF"/>
        </w:rPr>
      </w:pPr>
      <w:r w:rsidRPr="00573CF8">
        <w:rPr>
          <w:rStyle w:val="apple-converted-space"/>
          <w:shd w:val="clear" w:color="auto" w:fill="FFFFFF"/>
        </w:rPr>
        <w:t> </w:t>
      </w:r>
      <w:r w:rsidRPr="00573CF8">
        <w:rPr>
          <w:rStyle w:val="apple-style-span"/>
          <w:shd w:val="clear" w:color="auto" w:fill="FFFFFF"/>
        </w:rPr>
        <w:t>Подача таможенной декларации должна сопровождаться представлением в таможенный орган документов, подтверждающих заявленные в таможенной декларации сведения.</w:t>
      </w:r>
    </w:p>
    <w:p w:rsidR="007617ED" w:rsidRPr="00573CF8" w:rsidRDefault="008C265E" w:rsidP="00573CF8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pple-style-span"/>
          <w:shd w:val="clear" w:color="auto" w:fill="FFFFFF"/>
        </w:rPr>
      </w:pPr>
      <w:r w:rsidRPr="00573CF8">
        <w:rPr>
          <w:rStyle w:val="apple-style-span"/>
          <w:shd w:val="clear" w:color="auto" w:fill="FFFFFF"/>
        </w:rPr>
        <w:t>При декларировании товаров представляются следующие основные документы:</w:t>
      </w:r>
    </w:p>
    <w:p w:rsidR="00E64FF0" w:rsidRPr="00573CF8" w:rsidRDefault="00E64FF0" w:rsidP="00573CF8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документы, подтверждающие полномочия лица, подающего таможенную декларацию;</w:t>
      </w:r>
    </w:p>
    <w:p w:rsidR="00E64FF0" w:rsidRPr="00573CF8" w:rsidRDefault="00E64FF0" w:rsidP="00573CF8">
      <w:pPr>
        <w:numPr>
          <w:ilvl w:val="0"/>
          <w:numId w:val="12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документы, подтверждающие совершение внешнеэкономической сделки, а в случае отсутствия внешнеэкономической сделки - иные документы, подтверждающие право владения, пользования и (или) распоряжения товарами, а также и иные коммерческие документы, имеющиеся в распоряжении декларанта;</w:t>
      </w:r>
    </w:p>
    <w:p w:rsidR="00E64FF0" w:rsidRPr="00573CF8" w:rsidRDefault="00E64FF0" w:rsidP="00573CF8">
      <w:pPr>
        <w:numPr>
          <w:ilvl w:val="0"/>
          <w:numId w:val="12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транспортные (перевозочные) документы;</w:t>
      </w:r>
    </w:p>
    <w:p w:rsidR="00E64FF0" w:rsidRPr="00573CF8" w:rsidRDefault="00E64FF0" w:rsidP="00573CF8">
      <w:pPr>
        <w:numPr>
          <w:ilvl w:val="0"/>
          <w:numId w:val="12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документы, подтверждающие соблюдение запретов и ограничений;</w:t>
      </w:r>
    </w:p>
    <w:p w:rsidR="00E64FF0" w:rsidRPr="00573CF8" w:rsidRDefault="00E64FF0" w:rsidP="00573CF8">
      <w:pPr>
        <w:numPr>
          <w:ilvl w:val="0"/>
          <w:numId w:val="12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документы, подтверждающие соблюдение ограничений в связи с применением специальных защитных, антидемпинговых и компенсационных мер;</w:t>
      </w:r>
    </w:p>
    <w:p w:rsidR="00E64FF0" w:rsidRPr="00573CF8" w:rsidRDefault="00E64FF0" w:rsidP="00573CF8">
      <w:pPr>
        <w:numPr>
          <w:ilvl w:val="0"/>
          <w:numId w:val="12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документы, подтверждающие страну происхождения товаров в случаях, предусмотренных настоящим Кодексом;</w:t>
      </w:r>
    </w:p>
    <w:p w:rsidR="00E64FF0" w:rsidRPr="00573CF8" w:rsidRDefault="00E64FF0" w:rsidP="00573CF8">
      <w:pPr>
        <w:numPr>
          <w:ilvl w:val="0"/>
          <w:numId w:val="12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документы, на основании которых был заявлен классификационный код товара по Товарной номенклатуре внешнеэкономической деятельности;</w:t>
      </w:r>
    </w:p>
    <w:p w:rsidR="00E64FF0" w:rsidRPr="00573CF8" w:rsidRDefault="00E64FF0" w:rsidP="00573CF8">
      <w:pPr>
        <w:numPr>
          <w:ilvl w:val="0"/>
          <w:numId w:val="12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документы, подтверждающие уплату и (или) обеспечение уплаты таможенных платежей;</w:t>
      </w:r>
    </w:p>
    <w:p w:rsidR="00E64FF0" w:rsidRPr="00573CF8" w:rsidRDefault="00E64FF0" w:rsidP="00573CF8">
      <w:pPr>
        <w:numPr>
          <w:ilvl w:val="0"/>
          <w:numId w:val="12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документы, подтверждающие право на льготы по уплате таможенных платежей, на применение полного или частичного освобождения от уплаты таможенных пошлин, налогов в соответствии с таможенными процедурами, установленными настоящим Кодексом, либо на уменьшение базы (налоговой базы) для исчисления таможенных пошлин, налогов;</w:t>
      </w:r>
    </w:p>
    <w:p w:rsidR="00E64FF0" w:rsidRPr="00573CF8" w:rsidRDefault="00E64FF0" w:rsidP="00573CF8">
      <w:pPr>
        <w:numPr>
          <w:ilvl w:val="0"/>
          <w:numId w:val="12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документы, подтверждающие изменение срока уплаты таможенных пошлин, налогов;</w:t>
      </w:r>
    </w:p>
    <w:p w:rsidR="00E64FF0" w:rsidRPr="00573CF8" w:rsidRDefault="007617ED" w:rsidP="00573CF8">
      <w:pPr>
        <w:numPr>
          <w:ilvl w:val="0"/>
          <w:numId w:val="12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 xml:space="preserve"> </w:t>
      </w:r>
      <w:r w:rsidR="00E64FF0" w:rsidRPr="00573CF8">
        <w:rPr>
          <w:shd w:val="clear" w:color="auto" w:fill="FFFFFF"/>
        </w:rPr>
        <w:t>документы, подтверждающие заявленную таможенную стоимость товаров и выбранный метод определения таможенной стоимости товаров;</w:t>
      </w:r>
    </w:p>
    <w:p w:rsidR="00E64FF0" w:rsidRPr="00573CF8" w:rsidRDefault="007617ED" w:rsidP="00573CF8">
      <w:pPr>
        <w:numPr>
          <w:ilvl w:val="0"/>
          <w:numId w:val="12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 xml:space="preserve"> </w:t>
      </w:r>
      <w:r w:rsidR="00E64FF0" w:rsidRPr="00573CF8">
        <w:rPr>
          <w:shd w:val="clear" w:color="auto" w:fill="FFFFFF"/>
        </w:rPr>
        <w:t>документ, подтверждающий соблюдение требований в области валютного контроля, в соответствии с валютным законодательством государств - членов таможенного союза;</w:t>
      </w:r>
    </w:p>
    <w:p w:rsidR="00E64FF0" w:rsidRPr="00573CF8" w:rsidRDefault="007617ED" w:rsidP="00573CF8">
      <w:pPr>
        <w:numPr>
          <w:ilvl w:val="0"/>
          <w:numId w:val="12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 xml:space="preserve"> </w:t>
      </w:r>
      <w:r w:rsidR="00E64FF0" w:rsidRPr="00573CF8">
        <w:rPr>
          <w:shd w:val="clear" w:color="auto" w:fill="FFFFFF"/>
        </w:rPr>
        <w:t>документ о регистрации и национальной принадлежности транспортного средства международной перевозки - в случае перевозки товаров автомобильным транспортом при их помещении под таможенную процедуру таможенного транзита.</w:t>
      </w:r>
    </w:p>
    <w:p w:rsidR="00E64FF0" w:rsidRPr="00573CF8" w:rsidRDefault="00E64FF0" w:rsidP="00573CF8">
      <w:pPr>
        <w:spacing w:line="360" w:lineRule="auto"/>
        <w:ind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При подаче декларации на товары для помещения под таможенную процедуру экспорта товаров, к которым не применяются вывозные таможенные пошлины, не требуется представления таможенному органу документов иных, чем те, что указаны в подпунктах 1), 2), 5), 8), 9) и 13) настоящего пункта, а также в подпункте 3) настоящего пункта - при наличии таких документов.</w:t>
      </w:r>
    </w:p>
    <w:p w:rsidR="00E64FF0" w:rsidRPr="00573CF8" w:rsidRDefault="00E64FF0" w:rsidP="00573CF8">
      <w:pPr>
        <w:spacing w:line="360" w:lineRule="auto"/>
        <w:ind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Если в документах, указанных в настоящем пункте, не содержатся сведения, заявленные в таможенной декларации, представляются иные документы, на основании которых заполнена таможенная декларация.</w:t>
      </w:r>
    </w:p>
    <w:p w:rsidR="00E64FF0" w:rsidRPr="00573CF8" w:rsidRDefault="008C265E" w:rsidP="00573CF8">
      <w:pPr>
        <w:spacing w:line="360" w:lineRule="auto"/>
        <w:ind w:firstLine="709"/>
        <w:jc w:val="both"/>
        <w:rPr>
          <w:rStyle w:val="apple-style-span"/>
          <w:shd w:val="clear" w:color="auto" w:fill="FFFFFF"/>
        </w:rPr>
      </w:pPr>
      <w:r w:rsidRPr="00573CF8">
        <w:rPr>
          <w:rStyle w:val="apple-style-span"/>
          <w:shd w:val="clear" w:color="auto" w:fill="FFFFFF"/>
        </w:rPr>
        <w:t>Если декларант претендует на получение льгот по уплате таможенных платежей, в том числе при заявлении таможенного режима, предусматривающего полное или частичное освобождение от уплаты таможенных пошлин, налогов, на неприменение к товарам запретов и ограничений, установленных в соответствии с законодательством Российской Федерации о государственном регулировании внешнеторговой деятельности, либо на уменьшение налоговой базы, декларант обязан представить в таможенный орган документы, подтверждающие соответствующие заявленные условия.</w:t>
      </w:r>
      <w:r w:rsidR="00E64FF0" w:rsidRPr="00573CF8">
        <w:rPr>
          <w:rStyle w:val="apple-style-span"/>
          <w:shd w:val="clear" w:color="auto" w:fill="FFFFFF"/>
        </w:rPr>
        <w:t xml:space="preserve"> </w:t>
      </w:r>
    </w:p>
    <w:p w:rsidR="00E64FF0" w:rsidRPr="00573CF8" w:rsidRDefault="008C265E" w:rsidP="00573CF8">
      <w:pPr>
        <w:spacing w:line="360" w:lineRule="auto"/>
        <w:ind w:firstLine="709"/>
        <w:jc w:val="both"/>
        <w:rPr>
          <w:shd w:val="clear" w:color="auto" w:fill="FFFFFF"/>
        </w:rPr>
      </w:pPr>
      <w:r w:rsidRPr="00573CF8">
        <w:rPr>
          <w:rStyle w:val="apple-style-span"/>
          <w:shd w:val="clear" w:color="auto" w:fill="FFFFFF"/>
        </w:rPr>
        <w:t>В целях подтверждения заявленной таможенной стоимости декларант обязан представить документы, обосновывающие заявленную таможенную стоимость и избранный им метод определения таможенной стоимости.</w:t>
      </w:r>
    </w:p>
    <w:p w:rsidR="00E64FF0" w:rsidRPr="00573CF8" w:rsidRDefault="008C265E" w:rsidP="00573CF8">
      <w:pPr>
        <w:spacing w:line="360" w:lineRule="auto"/>
        <w:ind w:firstLine="709"/>
        <w:jc w:val="both"/>
        <w:rPr>
          <w:shd w:val="clear" w:color="auto" w:fill="FFFFFF"/>
        </w:rPr>
      </w:pPr>
      <w:r w:rsidRPr="00573CF8">
        <w:rPr>
          <w:rStyle w:val="apple-style-span"/>
          <w:shd w:val="clear" w:color="auto" w:fill="FFFFFF"/>
        </w:rPr>
        <w:t>Если отдельные документы не могут быть представлены одновременно с таможенной декларацией, по мотивированному обращению декларанта в письменной форме таможенные органы в письменной форме разрешают представление таких документов в срок, необходимый для их получения, но не позднее чем в течение 45 дней после принятия таможенной декларации, если иной срок для представления отдельных документов и сведений не предусмотрен настоящим Кодексом. Декларант представляет в письменной форме обязательство о представлении документов в установленный срок.</w:t>
      </w:r>
    </w:p>
    <w:p w:rsidR="00E64FF0" w:rsidRPr="00573CF8" w:rsidRDefault="008C265E" w:rsidP="00573CF8">
      <w:pPr>
        <w:spacing w:line="360" w:lineRule="auto"/>
        <w:ind w:firstLine="709"/>
        <w:jc w:val="both"/>
        <w:rPr>
          <w:rStyle w:val="apple-converted-space"/>
          <w:shd w:val="clear" w:color="auto" w:fill="FFFFFF"/>
        </w:rPr>
      </w:pPr>
      <w:r w:rsidRPr="00573CF8">
        <w:rPr>
          <w:rStyle w:val="apple-style-span"/>
          <w:shd w:val="clear" w:color="auto" w:fill="FFFFFF"/>
        </w:rPr>
        <w:t>В случае представления в таможенный орган документов, которые могут использоваться при таможенном оформлении других товаров, по запросу декларанта таможенным органом выдается письменное подтверждение принятия таких документов по форме, устанавливаемой федеральным органом исполнительной власти, уполномоченным в области таможенного дела. Подтверждение считается действительным до внесения изменений в представленные документы или до истечения срока их действия. Указанное подтверждение может использоваться декларантом при таможенном оформлении товаров без дополнительного представления в таможенный орган принятых документов. Декларант вправе представить указанные документы до подачи таможенной декларации.</w:t>
      </w:r>
      <w:r w:rsidRPr="00573CF8">
        <w:rPr>
          <w:rStyle w:val="apple-converted-space"/>
          <w:shd w:val="clear" w:color="auto" w:fill="FFFFFF"/>
        </w:rPr>
        <w:t> </w:t>
      </w:r>
    </w:p>
    <w:p w:rsidR="00E64FF0" w:rsidRPr="00573CF8" w:rsidRDefault="00E64FF0" w:rsidP="00573CF8">
      <w:pPr>
        <w:spacing w:line="360" w:lineRule="auto"/>
        <w:ind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Если отдельные документы, на основании которых заполнена таможенная декларация, не могут быть представлены при подаче таможенной декларации, по мотивированному обращению декларанта таможенный орган разрешает представление таких документов до выпуска товаров, а в случаях, предусмотренных законодательством государств - членов таможенного союза, - после выпуска товаров.</w:t>
      </w:r>
    </w:p>
    <w:p w:rsidR="00E64FF0" w:rsidRPr="00573CF8" w:rsidRDefault="00E64FF0" w:rsidP="00573CF8">
      <w:pPr>
        <w:spacing w:line="360" w:lineRule="auto"/>
        <w:ind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При таможенном декларировании товаров представляются оригиналы документов либо их копии. Таможенный орган вправе проверить соответствие копий представленных документов их оригиналам в случаях, установленных законодательством государств - членов таможенного союза.</w:t>
      </w:r>
    </w:p>
    <w:p w:rsidR="00E64FF0" w:rsidRPr="00573CF8" w:rsidRDefault="00E64FF0" w:rsidP="00573CF8">
      <w:pPr>
        <w:spacing w:line="360" w:lineRule="auto"/>
        <w:ind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Если при таможенном декларировании товаров в таможенный орган ранее представлялись документы, которые используются при таможенном декларировании, достаточно представления копий таких документов либо указания сведений о представлении таможенному органу таких документов.</w:t>
      </w:r>
    </w:p>
    <w:p w:rsidR="00E64FF0" w:rsidRPr="00573CF8" w:rsidRDefault="00E64FF0" w:rsidP="00573CF8">
      <w:pPr>
        <w:spacing w:line="360" w:lineRule="auto"/>
        <w:ind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При таможенном декларировании товаров документы могут представляться в виде электронных документов в соответствии с настоящим Кодексом.</w:t>
      </w:r>
    </w:p>
    <w:p w:rsidR="00E64FF0" w:rsidRPr="00573CF8" w:rsidRDefault="00E64FF0" w:rsidP="00573CF8">
      <w:pPr>
        <w:spacing w:line="360" w:lineRule="auto"/>
        <w:ind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Порядок представления и использования электронных документов, определяется таможенным законодательством таможенного союза.</w:t>
      </w:r>
    </w:p>
    <w:p w:rsidR="00E64FF0" w:rsidRPr="00573CF8" w:rsidRDefault="00E64FF0" w:rsidP="00573CF8">
      <w:pPr>
        <w:spacing w:line="360" w:lineRule="auto"/>
        <w:ind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Подача таможенной декларации в электронной форме может не сопровождаться представлением таможенному органу документов, на основании которых заполнена таможенная декларация, если в таможенный орган ранее представлялись такие документы, либо они могут быть представлены впоследствии в соответствии с законодательством государства - члена таможенного союза.</w:t>
      </w:r>
    </w:p>
    <w:p w:rsidR="00E64FF0" w:rsidRPr="00573CF8" w:rsidRDefault="00E64FF0" w:rsidP="00573CF8">
      <w:pPr>
        <w:spacing w:line="360" w:lineRule="auto"/>
        <w:ind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Таможенные органы могут принимать и использовать при таможенном декларировании документы и сведения, составленные на государственных языках государств - членов таможенного союза и на иностранных языках.</w:t>
      </w:r>
    </w:p>
    <w:p w:rsidR="00E64FF0" w:rsidRPr="00573CF8" w:rsidRDefault="00E64FF0" w:rsidP="00573CF8">
      <w:pPr>
        <w:spacing w:line="360" w:lineRule="auto"/>
        <w:ind w:firstLine="709"/>
        <w:jc w:val="both"/>
        <w:rPr>
          <w:shd w:val="clear" w:color="auto" w:fill="FFFFFF"/>
        </w:rPr>
      </w:pPr>
      <w:r w:rsidRPr="00573CF8">
        <w:rPr>
          <w:shd w:val="clear" w:color="auto" w:fill="FFFFFF"/>
        </w:rPr>
        <w:t>Таможенный орган вправе потребовать перевод сведений, содержащихся в документах, составленных на языке, не являющемся государственным языком государства - члена таможенного союза, таможенному органу которого при таможенном декларировании представляются такие документы.</w:t>
      </w:r>
    </w:p>
    <w:p w:rsidR="00736B7F" w:rsidRPr="00573CF8" w:rsidRDefault="00736B7F" w:rsidP="00573CF8">
      <w:pPr>
        <w:spacing w:line="360" w:lineRule="auto"/>
        <w:ind w:firstLine="709"/>
        <w:jc w:val="both"/>
        <w:rPr>
          <w:shd w:val="clear" w:color="auto" w:fill="FFFFFF"/>
        </w:rPr>
      </w:pPr>
    </w:p>
    <w:p w:rsidR="00AE41FA" w:rsidRPr="00573CF8" w:rsidRDefault="00AE41FA" w:rsidP="00573CF8">
      <w:pPr>
        <w:spacing w:line="360" w:lineRule="auto"/>
        <w:ind w:firstLine="709"/>
        <w:jc w:val="both"/>
        <w:rPr>
          <w:shd w:val="clear" w:color="auto" w:fill="FFFFFF"/>
        </w:rPr>
      </w:pPr>
    </w:p>
    <w:p w:rsidR="00AE41FA" w:rsidRPr="00573CF8" w:rsidRDefault="00AE41FA" w:rsidP="00573CF8">
      <w:pPr>
        <w:spacing w:line="360" w:lineRule="auto"/>
        <w:ind w:firstLine="709"/>
        <w:jc w:val="both"/>
        <w:rPr>
          <w:shd w:val="clear" w:color="auto" w:fill="FFFFFF"/>
        </w:rPr>
      </w:pPr>
    </w:p>
    <w:p w:rsidR="00736B7F" w:rsidRPr="00573CF8" w:rsidRDefault="00736B7F" w:rsidP="00573CF8">
      <w:pPr>
        <w:spacing w:line="360" w:lineRule="auto"/>
        <w:ind w:firstLine="709"/>
        <w:jc w:val="both"/>
        <w:rPr>
          <w:b/>
          <w:shd w:val="clear" w:color="auto" w:fill="FFFFFF"/>
        </w:rPr>
      </w:pPr>
      <w:r w:rsidRPr="00573CF8">
        <w:rPr>
          <w:b/>
          <w:shd w:val="clear" w:color="auto" w:fill="FFFFFF"/>
        </w:rPr>
        <w:t>2. Структура таможенных органов РФ, их полномочия.</w:t>
      </w:r>
    </w:p>
    <w:p w:rsidR="00736B7F" w:rsidRPr="00573CF8" w:rsidRDefault="00736B7F" w:rsidP="00573CF8">
      <w:pPr>
        <w:spacing w:line="360" w:lineRule="auto"/>
        <w:ind w:firstLine="709"/>
        <w:jc w:val="both"/>
        <w:rPr>
          <w:shd w:val="clear" w:color="auto" w:fill="FFFFFF"/>
        </w:rPr>
      </w:pPr>
    </w:p>
    <w:p w:rsidR="00736B7F" w:rsidRPr="00573CF8" w:rsidRDefault="00736B7F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bCs/>
        </w:rPr>
        <w:t>Таможенные органы</w:t>
      </w:r>
      <w:r w:rsidRPr="00573CF8">
        <w:t xml:space="preserve"> </w:t>
      </w:r>
      <w:r w:rsidRPr="00573CF8">
        <w:rPr>
          <w:bCs/>
        </w:rPr>
        <w:t>России</w:t>
      </w:r>
      <w:r w:rsidRPr="00573CF8">
        <w:rPr>
          <w:noProof/>
        </w:rPr>
        <w:t xml:space="preserve"> —</w:t>
      </w:r>
      <w:r w:rsidRPr="00573CF8">
        <w:t xml:space="preserve"> это государственные органы, регулирующие правоотношения, возникающие, изменяющиеся и прекращающиеся в сфере таможенного дела.</w:t>
      </w:r>
    </w:p>
    <w:p w:rsidR="00736B7F" w:rsidRPr="00573CF8" w:rsidRDefault="00736B7F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bCs/>
        </w:rPr>
        <w:t>Правовой статус</w:t>
      </w:r>
      <w:r w:rsidRPr="00573CF8">
        <w:t xml:space="preserve"> таможенных органов определяется их местом и ролью в общей системе органов государственной власти Российской Федерации. Таможенные органы являются составной частью системы органов федеральной исполнительной власти Российской Федерации. Структур</w:t>
      </w:r>
      <w:r w:rsidRPr="00573CF8">
        <w:rPr>
          <w:lang w:val="en-US"/>
        </w:rPr>
        <w:t>a</w:t>
      </w:r>
      <w:r w:rsidRPr="00573CF8">
        <w:t xml:space="preserve"> федеральных органов исполнительной власти определена Указом Президента РФ от</w:t>
      </w:r>
      <w:r w:rsidRPr="00573CF8">
        <w:rPr>
          <w:noProof/>
        </w:rPr>
        <w:t xml:space="preserve"> 14</w:t>
      </w:r>
      <w:r w:rsidRPr="00573CF8">
        <w:t xml:space="preserve"> августа</w:t>
      </w:r>
      <w:r w:rsidRPr="00573CF8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573CF8">
          <w:rPr>
            <w:noProof/>
          </w:rPr>
          <w:t>1996</w:t>
        </w:r>
        <w:r w:rsidRPr="00573CF8">
          <w:t xml:space="preserve"> г</w:t>
        </w:r>
      </w:smartTag>
      <w:r w:rsidRPr="00573CF8">
        <w:t>. и утверждена в новой редакции Указом Президента РФ от</w:t>
      </w:r>
      <w:r w:rsidRPr="00573CF8">
        <w:rPr>
          <w:noProof/>
        </w:rPr>
        <w:t xml:space="preserve"> 9 </w:t>
      </w:r>
      <w:r w:rsidRPr="00573CF8">
        <w:t>июля</w:t>
      </w:r>
      <w:r w:rsidRPr="00573CF8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573CF8">
          <w:rPr>
            <w:noProof/>
          </w:rPr>
          <w:t>1997</w:t>
        </w:r>
        <w:r w:rsidRPr="00573CF8">
          <w:t xml:space="preserve"> г</w:t>
        </w:r>
      </w:smartTag>
      <w:r w:rsidRPr="00573CF8">
        <w:t>.</w:t>
      </w:r>
    </w:p>
    <w:p w:rsidR="00592029" w:rsidRPr="00573CF8" w:rsidRDefault="00592029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bCs/>
        </w:rPr>
        <w:t>Единую систему таможенных органов России</w:t>
      </w:r>
      <w:r w:rsidRPr="00573CF8">
        <w:t xml:space="preserve"> в общем виде можно определить как обусловленную функциональной общностью совокупность самостоятельных звеньев, характеризующуюся едиными целями и задачами, а также вертикальной подчиненностью нижестоящих звеньев вышестоящим. При этом каждый орган в соответствии со своим местом и положением в общей системе играет определенную роль, выполняя больший или меньший объем функций, возложенных государством на таможенные органы в целом.</w:t>
      </w:r>
    </w:p>
    <w:p w:rsidR="00592029" w:rsidRPr="00573CF8" w:rsidRDefault="00592029" w:rsidP="00573CF8">
      <w:pPr>
        <w:spacing w:line="360" w:lineRule="auto"/>
        <w:ind w:firstLine="709"/>
        <w:jc w:val="both"/>
      </w:pPr>
      <w:r w:rsidRPr="00573CF8">
        <w:t xml:space="preserve">Эта система имеет четыре звена: </w:t>
      </w:r>
    </w:p>
    <w:p w:rsidR="00592029" w:rsidRPr="00573CF8" w:rsidRDefault="00592029" w:rsidP="00573CF8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573CF8">
        <w:t>Государственный таможенный комитет РФ;</w:t>
      </w:r>
    </w:p>
    <w:p w:rsidR="00592029" w:rsidRPr="00573CF8" w:rsidRDefault="00592029" w:rsidP="00573CF8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573CF8">
        <w:t>Региональные таможенные управления РФ;</w:t>
      </w:r>
    </w:p>
    <w:p w:rsidR="00592029" w:rsidRPr="00573CF8" w:rsidRDefault="00592029" w:rsidP="00573CF8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573CF8">
        <w:t>Таможни РФ;</w:t>
      </w:r>
    </w:p>
    <w:p w:rsidR="00592029" w:rsidRPr="00573CF8" w:rsidRDefault="00592029" w:rsidP="00573CF8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573CF8">
        <w:t>Таможенные посты РФ.</w:t>
      </w:r>
    </w:p>
    <w:p w:rsidR="008C265E" w:rsidRPr="00573CF8" w:rsidRDefault="008C265E" w:rsidP="00573CF8">
      <w:pPr>
        <w:spacing w:line="360" w:lineRule="auto"/>
        <w:ind w:firstLine="709"/>
        <w:jc w:val="both"/>
      </w:pPr>
    </w:p>
    <w:p w:rsidR="00AE41FA" w:rsidRPr="00573CF8" w:rsidRDefault="00592029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i/>
        </w:rPr>
        <w:t>Государственный таможенный комитет Российской Федерации</w:t>
      </w:r>
      <w:r w:rsidRPr="00573CF8">
        <w:t xml:space="preserve"> (ГТК России) в соответствии с Таможенным кодексом РФ и утвержденным Указом Президента РФ от</w:t>
      </w:r>
      <w:r w:rsidRPr="00573CF8">
        <w:rPr>
          <w:noProof/>
        </w:rPr>
        <w:t xml:space="preserve"> 25 </w:t>
      </w:r>
      <w:r w:rsidRPr="00573CF8">
        <w:t>октября</w:t>
      </w:r>
      <w:r w:rsidRPr="00573CF8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73CF8">
          <w:rPr>
            <w:noProof/>
          </w:rPr>
          <w:t>1994</w:t>
        </w:r>
        <w:r w:rsidRPr="00573CF8">
          <w:t xml:space="preserve"> г</w:t>
        </w:r>
      </w:smartTag>
      <w:r w:rsidRPr="00573CF8">
        <w:t xml:space="preserve">. Положением о ГТК России является органом федеральной исполнительной власти, осуществляющим непосредственное руководство таможенным делом в стране. </w:t>
      </w:r>
    </w:p>
    <w:p w:rsidR="00592029" w:rsidRPr="00573CF8" w:rsidRDefault="00592029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t xml:space="preserve">В соответствии с задачами ГТК России выполняет </w:t>
      </w:r>
      <w:r w:rsidRPr="00573CF8">
        <w:rPr>
          <w:noProof/>
        </w:rPr>
        <w:t>64</w:t>
      </w:r>
      <w:r w:rsidRPr="00573CF8">
        <w:t xml:space="preserve"> функции, которые можно разделить на следующие группы:</w:t>
      </w:r>
    </w:p>
    <w:p w:rsidR="00592029" w:rsidRPr="00573CF8" w:rsidRDefault="00592029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1.</w:t>
      </w:r>
      <w:r w:rsidRPr="00573CF8">
        <w:t xml:space="preserve"> </w:t>
      </w:r>
      <w:r w:rsidRPr="00573CF8">
        <w:rPr>
          <w:bCs/>
        </w:rPr>
        <w:t>Организационные функции</w:t>
      </w:r>
      <w:r w:rsidRPr="00573CF8">
        <w:t>. К ним, в частности, относятся: подготовка предложений о совершенствовании российской таможенной политики, разработка правового, экономического и организационного механизма ее реализации и претворение ее в жизнь; подготовка проектов правовых актов о таможенном деле; в соответствии с законодательством России создание региональных таможенных управлений и таможен, таможенных лабораторий, вычислительных центров, баз материально-технической базы, полиграфических, строительно-эксплуатационных и иных предприятий и организаций, деятельность которых способствует решению задач таможенных органов России.</w:t>
      </w:r>
    </w:p>
    <w:p w:rsidR="00592029" w:rsidRPr="00573CF8" w:rsidRDefault="00592029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2.</w:t>
      </w:r>
      <w:r w:rsidRPr="00573CF8">
        <w:t xml:space="preserve"> </w:t>
      </w:r>
      <w:r w:rsidRPr="00573CF8">
        <w:rPr>
          <w:bCs/>
        </w:rPr>
        <w:t>Фискальные функции</w:t>
      </w:r>
      <w:r w:rsidRPr="00573CF8">
        <w:t>. В процессе осуществления своей деятельности ГТК России вносит в установленном порядке предложения о ставках и механизме применения таможенных и иных пошлин и налогов в отношении товаров, перемещаемых через российскую таможенную границу; участвует в разработке мер экономической политики в отношении товаров, перемещаемых через российскую таможенную границу, включая лицензирование, регулирование цен и другие нетарифные меры, осуществляет их реализацию; организует взимание таможенных пошлин и налогов и иных таможенных платежей в отношении товаров, перемещаемых через российскую таможенную границу; обеспечивает своевременное и полное внесение в федеральный бюджет таможенных пошлин и налогов; выдает или обеспечивает выдачу лицензий и квалификационных аттестатов, аннулирует или отзывает их, обеспечивает ведение реестров, утверждает размеры сборов и других платежей.</w:t>
      </w:r>
    </w:p>
    <w:p w:rsidR="00592029" w:rsidRPr="00573CF8" w:rsidRDefault="00592029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3.</w:t>
      </w:r>
      <w:r w:rsidRPr="00573CF8">
        <w:t xml:space="preserve"> </w:t>
      </w:r>
      <w:r w:rsidRPr="00573CF8">
        <w:rPr>
          <w:bCs/>
        </w:rPr>
        <w:t>Функции таможенного оформления и таможенного контроля.</w:t>
      </w:r>
      <w:r w:rsidRPr="00573CF8">
        <w:t xml:space="preserve"> К этим функциям относятся: непосредственная организация таможенного оформления товаров и транспортных средств; осуществление мер по его совершенствованию и упрощению; обеспечение как самостоятельно, так и во взаимодействии с другими правоохранительными органами контроля за соблюдением режима зоны таможенного контроля, организация системы охраны объектов таможенной инфраструктуры; организация осуществления таможенного контроля и принятие мер по его совершенствованию и упрощению без ущерба эффективности такого контроля; участие в разработке и организации соблюдения разрешительного порядка перемещения отдельных товаров и транспортных средств через таможенную границу России; участие в организации экспортного контроля, контроля за вывозом стратегических и других жизненно важных для России материалов, а также культурных ценностей.</w:t>
      </w:r>
    </w:p>
    <w:p w:rsidR="00592029" w:rsidRPr="00573CF8" w:rsidRDefault="00592029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4.</w:t>
      </w:r>
      <w:r w:rsidRPr="00573CF8">
        <w:t xml:space="preserve"> </w:t>
      </w:r>
      <w:r w:rsidRPr="00573CF8">
        <w:rPr>
          <w:bCs/>
        </w:rPr>
        <w:t>Функции валютного контроля.</w:t>
      </w:r>
      <w:r w:rsidRPr="00573CF8">
        <w:t xml:space="preserve"> К этой группе можно отнести следующие функции ГТК России: организация осуществления валютного контроля (в пределах компетенции); выполнение функций органа валютного контроля.</w:t>
      </w:r>
    </w:p>
    <w:p w:rsidR="00592029" w:rsidRPr="00573CF8" w:rsidRDefault="00592029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5.</w:t>
      </w:r>
      <w:r w:rsidRPr="00573CF8">
        <w:t xml:space="preserve"> </w:t>
      </w:r>
      <w:r w:rsidRPr="00573CF8">
        <w:rPr>
          <w:bCs/>
        </w:rPr>
        <w:t>Правоохранительные функции.</w:t>
      </w:r>
      <w:r w:rsidRPr="00573CF8">
        <w:t xml:space="preserve"> К ним относятся:</w:t>
      </w:r>
      <w:r w:rsidR="00AE41FA" w:rsidRPr="00573CF8">
        <w:t xml:space="preserve"> </w:t>
      </w:r>
      <w:r w:rsidRPr="00573CF8">
        <w:t>обеспечение участия российских таможенных органов в осуществлении мер по защите государственной безопасности, охране общественного порядка, нравственности населения, жизни и здоровья человека, животных и растений, окружающей природной среды, защите интересов российских потребителей ввозимых товаров; организация борьбы с контрабандой и иными преступлениями в сфере таможенного дела; обеспечение выполнения российскими таможенными органами в соответствии с действующим законодательством функций органов дознания по таким преступлениям и органов, осуществляющих оперативно-розыскную деятельность; организация ведения борьбы с нарушениями таможенных правил и административными правонарушениями, посягающими на нормальную деятельность российских таможенных органов; обеспечение оказания содействия российскими таможенными органами борьбе с международным терроризмом и пресечению незаконного вмешательства в аэропортах России в деятельность международной гражданской авиации; осуществление контроля за соблюдением должностными лицами российских таможенных органов законности при производстве по делам о контрабанде и об иных преступлениях в сфере таможенного дела, осуществлении оперативно-розыскной деятельности, производстве по делам о нарушении таможенных правил и их рассмотрении, производстве по делам об административных правонарушениях, посягающих на нормальную деятельность таможенных органов России.</w:t>
      </w:r>
    </w:p>
    <w:p w:rsidR="00592029" w:rsidRPr="00573CF8" w:rsidRDefault="00592029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6.</w:t>
      </w:r>
      <w:r w:rsidRPr="00573CF8">
        <w:t xml:space="preserve"> </w:t>
      </w:r>
      <w:r w:rsidRPr="00573CF8">
        <w:rPr>
          <w:bCs/>
        </w:rPr>
        <w:t>Функции по ведению таможенной статистики.</w:t>
      </w:r>
      <w:r w:rsidRPr="00573CF8">
        <w:t xml:space="preserve"> В данную группу можно включить следующие функции ГТК России: организация ведения таможенной статистики внешней торговли и специальной таможенной статистики России; представление Президенту РФ, Правительству РФ и другим федеральным органам исполнительной власти данных таможенной статистики по вопросам, отнесенных к их ведению, а также субъектам Российской Федерации в части, непосредственно к ним относящейся;</w:t>
      </w:r>
      <w:r w:rsidR="00AE41FA" w:rsidRPr="00573CF8">
        <w:t xml:space="preserve"> </w:t>
      </w:r>
      <w:r w:rsidRPr="00573CF8">
        <w:t xml:space="preserve">обеспечение информирования государственных органов, предприятий, учреждений, организаций и граждан посредством официальных публикаций данных таможенной статистики внешней торговли по </w:t>
      </w:r>
      <w:r w:rsidRPr="00573CF8">
        <w:rPr>
          <w:iCs/>
        </w:rPr>
        <w:t>формам,</w:t>
      </w:r>
      <w:r w:rsidRPr="00573CF8">
        <w:t xml:space="preserve"> принятым в международной практике; организация ведения Товарной номенклатуры внешнеэкономической деятельности, а также работы по подготовке о ее разработке, изменении и дополнении.</w:t>
      </w:r>
    </w:p>
    <w:p w:rsidR="00592029" w:rsidRPr="00573CF8" w:rsidRDefault="00592029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7</w:t>
      </w:r>
      <w:r w:rsidRPr="00573CF8">
        <w:rPr>
          <w:bCs/>
          <w:noProof/>
        </w:rPr>
        <w:t>.</w:t>
      </w:r>
      <w:r w:rsidRPr="00573CF8">
        <w:rPr>
          <w:bCs/>
        </w:rPr>
        <w:t xml:space="preserve"> Функции, направленные на защиту прав и интересов граждан, предприятий, учреждений и организаций при осуществлении ими таможенного дела.</w:t>
      </w:r>
      <w:r w:rsidRPr="00573CF8">
        <w:t xml:space="preserve"> К этой группе функций ГТК относятся: создание условий для реализации прав граждан, предприятий, учреждений и организаций на обжалование решений (в том числе нормативных актов), действий и бездействия таможенных органов России и их должностных лиц; обеспечение своевременного и полного рассмотрения жалоб и обращений; принятие мер по устранению причин, порождающих ущемление прав и интересов граждан, предприятий, учреждений и организаций; создание системы обеспечения заинтересованных лиц информацией и оказания им консультаций по таможенным вопросам в соответствии с законодательством России; обеспечение в пределах компетенции опубликования наиболее важных правовых актов по таможенному делу; проведение информационно-разъяснительной работы по состоянию и развитию таможенного дела в России с использованием различных средств массовой информации, в том числе иностранных; создание системы принятия и функционирования предварительных решений по вопросам применения законодательных актов по таможенному делу в отношении конкретного товара или хозяйственной операции.</w:t>
      </w:r>
    </w:p>
    <w:p w:rsidR="00592029" w:rsidRPr="00573CF8" w:rsidRDefault="00592029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8.</w:t>
      </w:r>
      <w:r w:rsidRPr="00573CF8">
        <w:t xml:space="preserve"> </w:t>
      </w:r>
      <w:r w:rsidRPr="00573CF8">
        <w:rPr>
          <w:bCs/>
        </w:rPr>
        <w:t>Функции по международному сотрудничеству в сфере таможенного дела.</w:t>
      </w:r>
      <w:r w:rsidRPr="00573CF8">
        <w:t xml:space="preserve"> Здесь можно выделить следующие функции ГТК: разработка проектов международных договоров России по вопросам таможенного дела, проведение в установленном порядке переговоров по их заключению, представление предложений о заключении таких договоров; участие в разработке проектов других международных договоров России в части, касающейся таможенного дела; внесение в Правительство РФ предложений о присоединении России к международным договорам по вопросам таможенного дела; участие в деятельности международных организаций, занимающихся вопросами таможенного дела; организация участия России в деятельности Совета таможенного сотрудничества; обеспечение выполнения международных обязательств России в части, касающейся таможенного дела; обеспечение сотрудничества и взаимодействия с таможенными и другими компетентными органами иностранных государств; обеспечение изучения и анализа таможенной политики иностранных государств и состояния таможенного дела в этих государствах.</w:t>
      </w:r>
    </w:p>
    <w:p w:rsidR="00592029" w:rsidRPr="00573CF8" w:rsidRDefault="00592029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9.</w:t>
      </w:r>
      <w:r w:rsidRPr="00573CF8">
        <w:t xml:space="preserve"> </w:t>
      </w:r>
      <w:r w:rsidRPr="00573CF8">
        <w:rPr>
          <w:bCs/>
        </w:rPr>
        <w:t>Функции по реализации кадровой и социальной политики в сфере таможенного дела.</w:t>
      </w:r>
      <w:r w:rsidRPr="00573CF8">
        <w:t xml:space="preserve"> К этой группе функций ГТК относятся: обеспечение подготовки, переподготовки и повышения квалификации должностных лиц таможенных органов, подготовка специалистов для работы в таможенных лабораториях, других подведомственных учреждениях, предприятиях и организациях; утверждение учебных программ для подведомственных учебных заведений; организация системы обучения специалистов в области таможенного дела для предприятий, учреждений и организаций; развитие материально-технической и социальной базы таможенных органов, таможенных лабораторий и других подведомственных предприятий, учреждений и организаций; содействие реализации мер правовой и социальной защиты должностных лиц таможенных органов, работников таможенных лабораторий и других подведомственных предприятий, учреждений и организаций.</w:t>
      </w:r>
    </w:p>
    <w:p w:rsidR="00583EA1" w:rsidRDefault="00583EA1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92029" w:rsidRPr="00573CF8" w:rsidRDefault="00592029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t xml:space="preserve">Правовой статус </w:t>
      </w:r>
      <w:r w:rsidRPr="00573CF8">
        <w:rPr>
          <w:i/>
        </w:rPr>
        <w:t>Регионального таможенного управления</w:t>
      </w:r>
      <w:r w:rsidRPr="00573CF8">
        <w:t xml:space="preserve"> (РТУ) закреплен в Общем положении о региональном таможенном управлении Российской Федерации, утвержденным Приказом ГТК России от</w:t>
      </w:r>
      <w:r w:rsidRPr="00573CF8">
        <w:rPr>
          <w:noProof/>
        </w:rPr>
        <w:t xml:space="preserve"> 10</w:t>
      </w:r>
      <w:r w:rsidRPr="00573CF8">
        <w:t xml:space="preserve"> января</w:t>
      </w:r>
      <w:r w:rsidRPr="00573CF8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573CF8">
          <w:rPr>
            <w:noProof/>
          </w:rPr>
          <w:t>1996</w:t>
        </w:r>
        <w:r w:rsidRPr="00573CF8">
          <w:t xml:space="preserve"> г</w:t>
        </w:r>
      </w:smartTag>
      <w:r w:rsidRPr="00573CF8">
        <w:t>.</w:t>
      </w:r>
      <w:r w:rsidRPr="00573CF8">
        <w:rPr>
          <w:noProof/>
        </w:rPr>
        <w:t xml:space="preserve"> № 12.</w:t>
      </w:r>
      <w:r w:rsidRPr="00573CF8">
        <w:t xml:space="preserve"> </w:t>
      </w: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bCs/>
        </w:rPr>
        <w:t>Функции</w:t>
      </w:r>
      <w:r w:rsidRPr="00573CF8">
        <w:t xml:space="preserve"> РТУ сложны и многообразны, и приводить все</w:t>
      </w:r>
      <w:r w:rsidRPr="00573CF8">
        <w:rPr>
          <w:noProof/>
        </w:rPr>
        <w:t xml:space="preserve"> 101</w:t>
      </w:r>
      <w:r w:rsidRPr="00573CF8">
        <w:t xml:space="preserve"> функцию представляется нецелесообразным. Важно подчеркнуть, что функции РТУ по аналогии с приведенными выше функциями ГТК условно можно разделить на девять </w:t>
      </w:r>
      <w:r w:rsidRPr="00573CF8">
        <w:rPr>
          <w:bCs/>
        </w:rPr>
        <w:t>основных направлений</w:t>
      </w:r>
      <w:r w:rsidRPr="00573CF8">
        <w:t>:</w:t>
      </w: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1.</w:t>
      </w:r>
      <w:r w:rsidRPr="00573CF8">
        <w:t xml:space="preserve"> функции по реализации таможенной политики Российской Федерации на территории подведомственного региона;</w:t>
      </w: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2.</w:t>
      </w:r>
      <w:r w:rsidRPr="00573CF8">
        <w:t xml:space="preserve"> функции по организации и осуществлению таможенного дела в подведомственном регионе;</w:t>
      </w: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3.</w:t>
      </w:r>
      <w:r w:rsidRPr="00573CF8">
        <w:t xml:space="preserve"> функции по организации, координации и осуществлению контроля за взиманием таможенных платежей на территории подведомственного региона;</w:t>
      </w: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4.</w:t>
      </w:r>
      <w:r w:rsidRPr="00573CF8">
        <w:t xml:space="preserve"> функции по организации, координации и контролю за осуществлением таможенного контроля нижестоящими таможенными органами;</w:t>
      </w: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5.</w:t>
      </w:r>
      <w:r w:rsidRPr="00573CF8">
        <w:t xml:space="preserve"> функции по организации, координации и контролю за деятельностью нижестоящих таможенных органов по борьбе с преступлениями и административными правонарушениями в сфере таможенного дела;</w:t>
      </w: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6.</w:t>
      </w:r>
      <w:r w:rsidRPr="00573CF8">
        <w:t xml:space="preserve"> функции по осуществлению валютного контроля в подведомственном регионе в качестве агента валютного контроля;</w:t>
      </w: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7.</w:t>
      </w:r>
      <w:r w:rsidRPr="00573CF8">
        <w:t xml:space="preserve"> функции по осуществлению контроля за соблюдением законодательства о таможенном деле в подведомственном регионе;</w:t>
      </w: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8.</w:t>
      </w:r>
      <w:r w:rsidRPr="00573CF8">
        <w:t xml:space="preserve"> функции по обеспечению развития таможенной инфраструктуры в подведомственном регионе;</w:t>
      </w: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noProof/>
        </w:rPr>
        <w:t>9.</w:t>
      </w:r>
      <w:r w:rsidRPr="00573CF8">
        <w:t xml:space="preserve"> функции по организации и осуществлению кадровой работы в таможенных органах подведомственного региона.</w:t>
      </w:r>
    </w:p>
    <w:p w:rsidR="00592029" w:rsidRPr="00573CF8" w:rsidRDefault="00592029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i/>
        </w:rPr>
        <w:t>Таможни и таможенные посты</w:t>
      </w:r>
      <w:r w:rsidRPr="00573CF8">
        <w:t>, как правило, по территориальному принципу и осуществляют свою деятельность на территории подведомственного региона. Территория подведомственного таможне региона определяется ГТК России с учетом мнения РТУ и может, как совпадать, так и не совпадать с административными границами субъектов федерации, на территории которых они создаются.</w:t>
      </w: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rPr>
          <w:bCs/>
        </w:rPr>
        <w:t>Функции таможен</w:t>
      </w:r>
      <w:r w:rsidRPr="00573CF8">
        <w:t xml:space="preserve"> (их</w:t>
      </w:r>
      <w:r w:rsidRPr="00573CF8">
        <w:rPr>
          <w:noProof/>
        </w:rPr>
        <w:t xml:space="preserve"> 65)</w:t>
      </w:r>
      <w:r w:rsidRPr="00573CF8">
        <w:t xml:space="preserve"> и таможенных постов (их всего </w:t>
      </w:r>
      <w:r w:rsidRPr="00573CF8">
        <w:rPr>
          <w:noProof/>
        </w:rPr>
        <w:t>25)</w:t>
      </w:r>
      <w:r w:rsidRPr="00573CF8">
        <w:t xml:space="preserve"> также во многом схожи и более конкретно раскрывают функции таможенных органов, изложенные в ст.</w:t>
      </w:r>
      <w:r w:rsidRPr="00573CF8">
        <w:rPr>
          <w:noProof/>
        </w:rPr>
        <w:t xml:space="preserve"> 10</w:t>
      </w:r>
      <w:r w:rsidRPr="00573CF8">
        <w:t xml:space="preserve"> ТК РФ. Условно их можно разделить на три взаимозависимых группы: экономические (фискальные), правоохранительные и организационно-аналитические функции.</w:t>
      </w: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t>Так, таможня претворяет и таможенный пост участвует в претворении в жизнь в подведомственном регионе правового, экономического и организационного механизмов реализации таможенной политики;</w:t>
      </w:r>
    </w:p>
    <w:p w:rsidR="00AE41FA" w:rsidRPr="00573CF8" w:rsidRDefault="00AE41FA" w:rsidP="00573CF8">
      <w:pPr>
        <w:pStyle w:val="21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573CF8">
        <w:t>таможня участвует в разработке и реализует, а таможенный пост участвует в реализации программ развития таможенного дела в подведомственном регионе;</w:t>
      </w:r>
    </w:p>
    <w:p w:rsidR="00AE41FA" w:rsidRPr="00573CF8" w:rsidRDefault="00AE41FA" w:rsidP="00573CF8">
      <w:pPr>
        <w:pStyle w:val="21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573CF8">
        <w:t>осуществляют контроль за соблюдением всеми юридическими и физическими лицами правил, порядка и условий таможенного дела; осуществляют таможенное оформление товаров и транспортных средств;</w:t>
      </w:r>
    </w:p>
    <w:p w:rsidR="00AE41FA" w:rsidRPr="00573CF8" w:rsidRDefault="00AE41FA" w:rsidP="00573CF8">
      <w:pPr>
        <w:pStyle w:val="21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573CF8">
        <w:t>осуществляют контроль за достоверностью и полнотой сведений, представляемых для таможенных целей;</w:t>
      </w:r>
    </w:p>
    <w:p w:rsidR="00AE41FA" w:rsidRPr="00573CF8" w:rsidRDefault="00AE41FA" w:rsidP="00573CF8">
      <w:pPr>
        <w:pStyle w:val="21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573CF8">
        <w:t>осуществляют контроль за доставкой товаров и транспортных средств, находящихся под таможенным контролем, и документов на них в места, определяемые таможенными органами;</w:t>
      </w:r>
    </w:p>
    <w:p w:rsidR="00AE41FA" w:rsidRPr="00573CF8" w:rsidRDefault="00AE41FA" w:rsidP="00573CF8">
      <w:pPr>
        <w:pStyle w:val="21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573CF8">
        <w:t>осуществляют контроль за целевым использованием условно выпущенных товаров и транспортных средств;</w:t>
      </w:r>
    </w:p>
    <w:p w:rsidR="00AE41FA" w:rsidRPr="00573CF8" w:rsidRDefault="00AE41FA" w:rsidP="00573CF8">
      <w:pPr>
        <w:pStyle w:val="21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573CF8">
        <w:t>начисляют и взимают таможенные пошлины, налоги и иные таможенные платежи; контролируют деятельность в подведомственном регионе таможенных брокеров, таможенных перевозчиков;</w:t>
      </w:r>
    </w:p>
    <w:p w:rsidR="00AE41FA" w:rsidRPr="00573CF8" w:rsidRDefault="00AE41FA" w:rsidP="00573CF8">
      <w:pPr>
        <w:pStyle w:val="21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573CF8">
        <w:t>выполняют функции агентов валютного контроля; осуществляют борьбу с контрабандой, иными преступлениями, нарушениями таможенных правил и административными правонарушениями, посягающими на нормальную деятельность таможенных органов и др.</w:t>
      </w: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  <w:r w:rsidRPr="00573CF8">
        <w:t>Вместе с тем</w:t>
      </w:r>
      <w:r w:rsidRPr="00573CF8">
        <w:rPr>
          <w:bCs/>
        </w:rPr>
        <w:t>, таможня выполняет также ряд функций, не присущих таможенным постам.</w:t>
      </w:r>
      <w:r w:rsidRPr="00573CF8">
        <w:t xml:space="preserve"> Так, таможня организует, координирует и контролирует деятельность подчиненных таможенных постов;</w:t>
      </w:r>
    </w:p>
    <w:p w:rsidR="00AE41FA" w:rsidRPr="00573CF8" w:rsidRDefault="00AE41FA" w:rsidP="00573CF8">
      <w:pPr>
        <w:pStyle w:val="21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</w:pPr>
      <w:r w:rsidRPr="00573CF8">
        <w:t>обобщает и анализирует практику применения средств таможенного регулирования экономической деятельности, правоприменительную практику;</w:t>
      </w:r>
    </w:p>
    <w:p w:rsidR="00AE41FA" w:rsidRPr="00573CF8" w:rsidRDefault="00AE41FA" w:rsidP="00573CF8">
      <w:pPr>
        <w:pStyle w:val="21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</w:pPr>
      <w:r w:rsidRPr="00573CF8">
        <w:t>осуществляет контроль за единообразным и точным исполнением законодательства структурными подразделениями таможни и нижестоящими таможенными постами; осуществляет проведение проверок финансово-хозяйственной деятельности лиц, перемещающих товары и транспортные средства;</w:t>
      </w:r>
    </w:p>
    <w:p w:rsidR="00AE41FA" w:rsidRPr="00573CF8" w:rsidRDefault="00AE41FA" w:rsidP="00573CF8">
      <w:pPr>
        <w:pStyle w:val="21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</w:pPr>
      <w:r w:rsidRPr="00573CF8">
        <w:t>осуществляет контроль за соблюдением законности должностными лицами таможни и нижестоящих таможенных постов при осуществлении дознания по таможенным преступлениям, оперативно-розыскной деятельности, производстве по делам о нарушениях таможенных правил и административных правонарушениях, посягающих на нормальную деятельность таможенных органов;</w:t>
      </w:r>
    </w:p>
    <w:p w:rsidR="00AE41FA" w:rsidRPr="00573CF8" w:rsidRDefault="00AE41FA" w:rsidP="00573CF8">
      <w:pPr>
        <w:pStyle w:val="21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</w:pPr>
      <w:r w:rsidRPr="00573CF8">
        <w:t>организует и проводит обучение специалистов в области таможенного дела для государственных органов, коммерческих и некоммерческих организаций;</w:t>
      </w:r>
    </w:p>
    <w:p w:rsidR="00AE41FA" w:rsidRPr="00573CF8" w:rsidRDefault="00AE41FA" w:rsidP="00573CF8">
      <w:pPr>
        <w:pStyle w:val="21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</w:pPr>
      <w:r w:rsidRPr="00573CF8">
        <w:t>вносит в вышестоящий таможенный орган предложения о создании, реорганизации и ликвидации в подведомственном регионе таможенных постов;</w:t>
      </w:r>
    </w:p>
    <w:p w:rsidR="00AE41FA" w:rsidRPr="00573CF8" w:rsidRDefault="00AE41FA" w:rsidP="00573CF8">
      <w:pPr>
        <w:pStyle w:val="21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</w:pPr>
      <w:r w:rsidRPr="00573CF8">
        <w:t>проводит аттестацию сотрудников таможни и нижестоящих таможенных постов, приводит их к присяге и др.</w:t>
      </w: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73CF8" w:rsidRP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73CF8" w:rsidRP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73CF8" w:rsidRP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73CF8" w:rsidRP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73CF8" w:rsidRP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73CF8" w:rsidRP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73CF8" w:rsidRP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73CF8" w:rsidRP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73CF8" w:rsidRP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73CF8" w:rsidRP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73CF8" w:rsidRP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73CF8" w:rsidRP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73CF8" w:rsidRP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73CF8" w:rsidRP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73CF8" w:rsidRP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  <w:rPr>
          <w:b/>
        </w:rPr>
      </w:pPr>
    </w:p>
    <w:p w:rsid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  <w:rPr>
          <w:b/>
        </w:rPr>
      </w:pPr>
    </w:p>
    <w:p w:rsid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  <w:rPr>
          <w:b/>
        </w:rPr>
      </w:pPr>
    </w:p>
    <w:p w:rsid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  <w:rPr>
          <w:b/>
        </w:rPr>
      </w:pPr>
    </w:p>
    <w:p w:rsid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  <w:rPr>
          <w:b/>
        </w:rPr>
      </w:pPr>
    </w:p>
    <w:p w:rsid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  <w:rPr>
          <w:b/>
        </w:rPr>
      </w:pP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  <w:rPr>
          <w:b/>
        </w:rPr>
      </w:pPr>
      <w:r w:rsidRPr="00573CF8">
        <w:rPr>
          <w:b/>
        </w:rPr>
        <w:t>Список источников:</w:t>
      </w:r>
    </w:p>
    <w:p w:rsidR="00573CF8" w:rsidRPr="00573CF8" w:rsidRDefault="00573CF8" w:rsidP="00573CF8">
      <w:pPr>
        <w:pStyle w:val="21"/>
        <w:widowControl w:val="0"/>
        <w:spacing w:after="0" w:line="360" w:lineRule="auto"/>
        <w:ind w:left="0" w:firstLine="709"/>
        <w:jc w:val="both"/>
        <w:rPr>
          <w:b/>
        </w:rPr>
      </w:pPr>
    </w:p>
    <w:p w:rsidR="00AE41FA" w:rsidRPr="00573CF8" w:rsidRDefault="00AE41FA" w:rsidP="00573CF8">
      <w:pPr>
        <w:pStyle w:val="21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</w:pPr>
      <w:r w:rsidRPr="00573CF8">
        <w:t xml:space="preserve">Таможенный кодекс РФ (от 22 мая </w:t>
      </w:r>
      <w:smartTag w:uri="urn:schemas-microsoft-com:office:smarttags" w:element="metricconverter">
        <w:smartTagPr>
          <w:attr w:name="ProductID" w:val="2007 г"/>
        </w:smartTagPr>
        <w:r w:rsidRPr="00573CF8">
          <w:t>2007 г</w:t>
        </w:r>
      </w:smartTag>
      <w:r w:rsidRPr="00573CF8">
        <w:t>.; раздел №5, глава 1; глава 2).</w:t>
      </w:r>
    </w:p>
    <w:p w:rsidR="00AE41FA" w:rsidRPr="00573CF8" w:rsidRDefault="00AE41FA" w:rsidP="00573CF8">
      <w:pPr>
        <w:pStyle w:val="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4"/>
          <w:szCs w:val="24"/>
          <w:shd w:val="clear" w:color="auto" w:fill="FFFFFF"/>
        </w:rPr>
      </w:pPr>
      <w:r w:rsidRPr="00573CF8">
        <w:rPr>
          <w:b w:val="0"/>
          <w:sz w:val="24"/>
          <w:szCs w:val="24"/>
          <w:shd w:val="clear" w:color="auto" w:fill="FFFFFF"/>
        </w:rPr>
        <w:t>Письмо ФТС РФ от 22 марта 2011 года N 06-16/12377</w:t>
      </w:r>
    </w:p>
    <w:p w:rsidR="00AE41FA" w:rsidRPr="00573CF8" w:rsidRDefault="00AE41FA" w:rsidP="00573CF8">
      <w:pPr>
        <w:pStyle w:val="2"/>
        <w:numPr>
          <w:ilvl w:val="0"/>
          <w:numId w:val="16"/>
        </w:numPr>
        <w:shd w:val="clear" w:color="auto" w:fill="E1F2EA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</w:pPr>
      <w:r w:rsidRPr="00573CF8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>Положение о Государственном Таможенном Комитете Российской Федерации (в ред. Указа Президента РФ от 16.09.99 N 1235)</w:t>
      </w:r>
    </w:p>
    <w:p w:rsidR="00AE41FA" w:rsidRPr="00573CF8" w:rsidRDefault="00AE41FA" w:rsidP="00573CF8">
      <w:pPr>
        <w:spacing w:line="360" w:lineRule="auto"/>
        <w:ind w:firstLine="709"/>
        <w:jc w:val="both"/>
      </w:pP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AE41FA" w:rsidRPr="00573CF8" w:rsidRDefault="00AE41FA" w:rsidP="00573CF8">
      <w:pPr>
        <w:pStyle w:val="21"/>
        <w:widowControl w:val="0"/>
        <w:spacing w:after="0" w:line="360" w:lineRule="auto"/>
        <w:ind w:left="0" w:firstLine="709"/>
        <w:jc w:val="both"/>
      </w:pPr>
    </w:p>
    <w:p w:rsidR="00592029" w:rsidRPr="00573CF8" w:rsidRDefault="00592029" w:rsidP="00573CF8">
      <w:pPr>
        <w:spacing w:line="360" w:lineRule="auto"/>
        <w:ind w:firstLine="709"/>
        <w:jc w:val="both"/>
      </w:pPr>
      <w:bookmarkStart w:id="0" w:name="_GoBack"/>
      <w:bookmarkEnd w:id="0"/>
    </w:p>
    <w:sectPr w:rsidR="00592029" w:rsidRPr="00573CF8" w:rsidSect="00630F2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8A7" w:rsidRDefault="001018A7">
      <w:r>
        <w:separator/>
      </w:r>
    </w:p>
  </w:endnote>
  <w:endnote w:type="continuationSeparator" w:id="0">
    <w:p w:rsidR="001018A7" w:rsidRDefault="0010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A7" w:rsidRDefault="001018A7" w:rsidP="001018A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18A7" w:rsidRDefault="001018A7" w:rsidP="001018A7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A7" w:rsidRDefault="001018A7" w:rsidP="001018A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3EA1">
      <w:rPr>
        <w:rStyle w:val="a7"/>
        <w:noProof/>
      </w:rPr>
      <w:t>12</w:t>
    </w:r>
    <w:r>
      <w:rPr>
        <w:rStyle w:val="a7"/>
      </w:rPr>
      <w:fldChar w:fldCharType="end"/>
    </w:r>
  </w:p>
  <w:p w:rsidR="001018A7" w:rsidRDefault="001018A7" w:rsidP="001018A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8A7" w:rsidRDefault="001018A7">
      <w:r>
        <w:separator/>
      </w:r>
    </w:p>
  </w:footnote>
  <w:footnote w:type="continuationSeparator" w:id="0">
    <w:p w:rsidR="001018A7" w:rsidRDefault="0010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6149"/>
    <w:multiLevelType w:val="hybridMultilevel"/>
    <w:tmpl w:val="D0340A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3E024D"/>
    <w:multiLevelType w:val="hybridMultilevel"/>
    <w:tmpl w:val="E3A618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805973"/>
    <w:multiLevelType w:val="hybridMultilevel"/>
    <w:tmpl w:val="CD46AC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C341E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048079A"/>
    <w:multiLevelType w:val="hybridMultilevel"/>
    <w:tmpl w:val="AF54B3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9C57B49"/>
    <w:multiLevelType w:val="hybridMultilevel"/>
    <w:tmpl w:val="C6FAF1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1F35C1E"/>
    <w:multiLevelType w:val="hybridMultilevel"/>
    <w:tmpl w:val="77D820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A0B5028"/>
    <w:multiLevelType w:val="hybridMultilevel"/>
    <w:tmpl w:val="8E9ED7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A684A70"/>
    <w:multiLevelType w:val="hybridMultilevel"/>
    <w:tmpl w:val="B8D8E3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1492168"/>
    <w:multiLevelType w:val="hybridMultilevel"/>
    <w:tmpl w:val="80FE2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516177"/>
    <w:multiLevelType w:val="hybridMultilevel"/>
    <w:tmpl w:val="4CE2E8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365F87"/>
    <w:multiLevelType w:val="hybridMultilevel"/>
    <w:tmpl w:val="2EDAD1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1826B82"/>
    <w:multiLevelType w:val="hybridMultilevel"/>
    <w:tmpl w:val="7188D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76483B"/>
    <w:multiLevelType w:val="hybridMultilevel"/>
    <w:tmpl w:val="095EC344"/>
    <w:lvl w:ilvl="0" w:tplc="8F88E2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D1E433F"/>
    <w:multiLevelType w:val="hybridMultilevel"/>
    <w:tmpl w:val="33F47D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EA14765"/>
    <w:multiLevelType w:val="hybridMultilevel"/>
    <w:tmpl w:val="F41ECC2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"/>
  </w:num>
  <w:num w:numId="5">
    <w:abstractNumId w:val="4"/>
  </w:num>
  <w:num w:numId="6">
    <w:abstractNumId w:val="14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27"/>
    <w:rsid w:val="00070698"/>
    <w:rsid w:val="001018A7"/>
    <w:rsid w:val="001040B2"/>
    <w:rsid w:val="001272F1"/>
    <w:rsid w:val="00334AE0"/>
    <w:rsid w:val="00340ED3"/>
    <w:rsid w:val="00343656"/>
    <w:rsid w:val="00350864"/>
    <w:rsid w:val="003D09AE"/>
    <w:rsid w:val="00496606"/>
    <w:rsid w:val="004E6078"/>
    <w:rsid w:val="00524C67"/>
    <w:rsid w:val="0054536A"/>
    <w:rsid w:val="00573CF8"/>
    <w:rsid w:val="00583EA1"/>
    <w:rsid w:val="00592029"/>
    <w:rsid w:val="005D6DA1"/>
    <w:rsid w:val="00602605"/>
    <w:rsid w:val="00630F2B"/>
    <w:rsid w:val="00641943"/>
    <w:rsid w:val="00644132"/>
    <w:rsid w:val="00694727"/>
    <w:rsid w:val="006E6549"/>
    <w:rsid w:val="00736B7F"/>
    <w:rsid w:val="00737C14"/>
    <w:rsid w:val="0075019C"/>
    <w:rsid w:val="007617ED"/>
    <w:rsid w:val="007B64FB"/>
    <w:rsid w:val="008864C4"/>
    <w:rsid w:val="008A78DD"/>
    <w:rsid w:val="008C265E"/>
    <w:rsid w:val="00A55690"/>
    <w:rsid w:val="00AC1824"/>
    <w:rsid w:val="00AC499D"/>
    <w:rsid w:val="00AE41FA"/>
    <w:rsid w:val="00BD5846"/>
    <w:rsid w:val="00C16F4D"/>
    <w:rsid w:val="00CA4C2E"/>
    <w:rsid w:val="00CC68CD"/>
    <w:rsid w:val="00D75F6E"/>
    <w:rsid w:val="00D76E29"/>
    <w:rsid w:val="00DE6F5A"/>
    <w:rsid w:val="00E02C7E"/>
    <w:rsid w:val="00E37F13"/>
    <w:rsid w:val="00E64FF0"/>
    <w:rsid w:val="00EF2C6D"/>
    <w:rsid w:val="00F37E2B"/>
    <w:rsid w:val="00F4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7A89B-0F73-4DF8-993B-831F6203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AE41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E4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E02C7E"/>
    <w:pPr>
      <w:jc w:val="center"/>
    </w:pPr>
    <w:rPr>
      <w:rFonts w:ascii="Courier New" w:hAnsi="Courier New"/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02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641943"/>
    <w:pPr>
      <w:widowControl w:val="0"/>
      <w:adjustRightInd w:val="0"/>
      <w:spacing w:after="120" w:line="480" w:lineRule="auto"/>
      <w:jc w:val="both"/>
      <w:textAlignment w:val="baseline"/>
    </w:pPr>
  </w:style>
  <w:style w:type="paragraph" w:styleId="a4">
    <w:name w:val="footnote text"/>
    <w:basedOn w:val="a"/>
    <w:rsid w:val="00524C67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styleId="a5">
    <w:name w:val="footnote reference"/>
    <w:basedOn w:val="a0"/>
    <w:rsid w:val="00524C67"/>
    <w:rPr>
      <w:vertAlign w:val="superscript"/>
    </w:rPr>
  </w:style>
  <w:style w:type="character" w:styleId="HTML">
    <w:name w:val="HTML Typewriter"/>
    <w:basedOn w:val="a0"/>
    <w:rsid w:val="00630F2B"/>
    <w:rPr>
      <w:rFonts w:ascii="Courier New" w:eastAsia="Times New Roman" w:hAnsi="Courier New" w:cs="Courier New"/>
      <w:sz w:val="20"/>
      <w:szCs w:val="20"/>
    </w:rPr>
  </w:style>
  <w:style w:type="paragraph" w:styleId="a6">
    <w:name w:val="footer"/>
    <w:basedOn w:val="a"/>
    <w:rsid w:val="00630F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30F2B"/>
  </w:style>
  <w:style w:type="paragraph" w:styleId="a8">
    <w:name w:val="Normal (Web)"/>
    <w:basedOn w:val="a"/>
    <w:rsid w:val="00644132"/>
    <w:pPr>
      <w:spacing w:before="100" w:beforeAutospacing="1" w:after="100" w:afterAutospacing="1"/>
      <w:ind w:firstLine="203"/>
    </w:pPr>
  </w:style>
  <w:style w:type="character" w:customStyle="1" w:styleId="apple-style-span">
    <w:name w:val="apple-style-span"/>
    <w:basedOn w:val="a0"/>
    <w:rsid w:val="008C265E"/>
  </w:style>
  <w:style w:type="character" w:customStyle="1" w:styleId="apple-converted-space">
    <w:name w:val="apple-converted-space"/>
    <w:basedOn w:val="a0"/>
    <w:rsid w:val="008C265E"/>
  </w:style>
  <w:style w:type="character" w:styleId="a9">
    <w:name w:val="Hyperlink"/>
    <w:basedOn w:val="a0"/>
    <w:rsid w:val="00E64FF0"/>
    <w:rPr>
      <w:color w:val="0000FF"/>
      <w:u w:val="single"/>
    </w:rPr>
  </w:style>
  <w:style w:type="paragraph" w:styleId="21">
    <w:name w:val="Body Text Indent 2"/>
    <w:basedOn w:val="a"/>
    <w:rsid w:val="00736B7F"/>
    <w:pPr>
      <w:spacing w:after="120" w:line="480" w:lineRule="auto"/>
      <w:ind w:left="283"/>
    </w:pPr>
  </w:style>
  <w:style w:type="paragraph" w:styleId="aa">
    <w:name w:val="Balloon Text"/>
    <w:basedOn w:val="a"/>
    <w:semiHidden/>
    <w:rsid w:val="00583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ВПО МОСКОВСКИЙ СОЦИАЛЬНО-ЭКОНОМИЧЕСКИЙ ИНСТИТУТ</vt:lpstr>
    </vt:vector>
  </TitlesOfParts>
  <Company>MoBIL GROUP</Company>
  <LinksUpToDate>false</LinksUpToDate>
  <CharactersWithSpaces>21790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ВПО МОСКОВСКИЙ СОЦИАЛЬНО-ЭКОНОМИЧЕСКИЙ ИНСТИТУТ</dc:title>
  <dc:subject/>
  <dc:creator>Admin</dc:creator>
  <cp:keywords/>
  <dc:description/>
  <cp:lastModifiedBy>Irina</cp:lastModifiedBy>
  <cp:revision>2</cp:revision>
  <cp:lastPrinted>2011-09-05T09:04:00Z</cp:lastPrinted>
  <dcterms:created xsi:type="dcterms:W3CDTF">2014-08-16T19:30:00Z</dcterms:created>
  <dcterms:modified xsi:type="dcterms:W3CDTF">2014-08-16T19:30:00Z</dcterms:modified>
</cp:coreProperties>
</file>