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A1A" w:rsidRDefault="00690EDB">
      <w:pPr>
        <w:pStyle w:val="a5"/>
        <w:spacing w:line="240" w:lineRule="auto"/>
        <w:jc w:val="center"/>
        <w:rPr>
          <w:rFonts w:ascii="Bookman Old Style" w:hAnsi="Bookman Old Style"/>
          <w:i/>
          <w:iCs/>
          <w:sz w:val="28"/>
        </w:rPr>
      </w:pPr>
      <w:r>
        <w:rPr>
          <w:rFonts w:ascii="Bookman Old Style" w:hAnsi="Bookman Old Style"/>
          <w:i/>
          <w:iCs/>
          <w:sz w:val="28"/>
        </w:rPr>
        <w:t>Міністерство освіти і науки України</w:t>
      </w:r>
    </w:p>
    <w:p w:rsidR="00F33A1A" w:rsidRDefault="00690EDB">
      <w:pPr>
        <w:pStyle w:val="a5"/>
        <w:spacing w:line="240" w:lineRule="auto"/>
        <w:jc w:val="center"/>
        <w:rPr>
          <w:rFonts w:ascii="Bookman Old Style" w:hAnsi="Bookman Old Style"/>
          <w:i/>
          <w:iCs/>
          <w:sz w:val="28"/>
        </w:rPr>
      </w:pPr>
      <w:r>
        <w:rPr>
          <w:rFonts w:ascii="Bookman Old Style" w:hAnsi="Bookman Old Style"/>
          <w:i/>
          <w:iCs/>
          <w:sz w:val="28"/>
        </w:rPr>
        <w:t>Рівненський Державний Технічний Університет</w:t>
      </w:r>
    </w:p>
    <w:p w:rsidR="00F33A1A" w:rsidRDefault="00690EDB">
      <w:pPr>
        <w:pStyle w:val="a5"/>
        <w:spacing w:line="240" w:lineRule="auto"/>
        <w:jc w:val="center"/>
        <w:rPr>
          <w:rFonts w:ascii="Bookman Old Style" w:hAnsi="Bookman Old Style"/>
          <w:i/>
          <w:iCs/>
          <w:sz w:val="28"/>
        </w:rPr>
      </w:pPr>
      <w:r>
        <w:rPr>
          <w:rFonts w:ascii="Bookman Old Style" w:hAnsi="Bookman Old Style"/>
          <w:i/>
          <w:iCs/>
          <w:sz w:val="28"/>
        </w:rPr>
        <w:t>Кафедра обліку і аудиту</w:t>
      </w:r>
    </w:p>
    <w:p w:rsidR="00F33A1A" w:rsidRDefault="00F33A1A">
      <w:pPr>
        <w:pStyle w:val="a5"/>
        <w:spacing w:line="240" w:lineRule="auto"/>
        <w:jc w:val="center"/>
        <w:rPr>
          <w:rFonts w:ascii="Bookman Old Style" w:hAnsi="Bookman Old Style"/>
          <w:i/>
          <w:iCs/>
          <w:sz w:val="28"/>
        </w:rPr>
      </w:pPr>
    </w:p>
    <w:p w:rsidR="00F33A1A" w:rsidRDefault="00F33A1A">
      <w:pPr>
        <w:pStyle w:val="a5"/>
        <w:spacing w:line="240" w:lineRule="auto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690EDB">
      <w:pPr>
        <w:pStyle w:val="a5"/>
        <w:spacing w:line="240" w:lineRule="auto"/>
        <w:jc w:val="center"/>
        <w:rPr>
          <w:rFonts w:ascii="Bookman Old Style" w:hAnsi="Bookman Old Style"/>
          <w:i/>
          <w:iCs/>
          <w:sz w:val="40"/>
        </w:rPr>
      </w:pPr>
      <w:r>
        <w:rPr>
          <w:rFonts w:ascii="Bookman Old Style" w:hAnsi="Bookman Old Style"/>
          <w:i/>
          <w:iCs/>
          <w:sz w:val="40"/>
        </w:rPr>
        <w:t>Самостійна робота</w:t>
      </w:r>
    </w:p>
    <w:p w:rsidR="00F33A1A" w:rsidRDefault="00690EDB">
      <w:pPr>
        <w:pStyle w:val="a5"/>
        <w:spacing w:line="240" w:lineRule="auto"/>
        <w:jc w:val="center"/>
        <w:rPr>
          <w:rFonts w:ascii="Bookman Old Style" w:hAnsi="Bookman Old Style"/>
          <w:i/>
          <w:iCs/>
          <w:sz w:val="28"/>
        </w:rPr>
      </w:pPr>
      <w:r>
        <w:rPr>
          <w:rFonts w:ascii="Bookman Old Style" w:hAnsi="Bookman Old Style"/>
          <w:i/>
          <w:iCs/>
          <w:sz w:val="28"/>
        </w:rPr>
        <w:t xml:space="preserve"> з дисципліни “Контроль і ревізія” </w:t>
      </w:r>
    </w:p>
    <w:p w:rsidR="00F33A1A" w:rsidRDefault="00690EDB">
      <w:pPr>
        <w:pStyle w:val="a5"/>
        <w:spacing w:line="240" w:lineRule="auto"/>
        <w:jc w:val="center"/>
        <w:rPr>
          <w:rFonts w:ascii="Bookman Old Style" w:hAnsi="Bookman Old Style"/>
          <w:i/>
          <w:iCs/>
          <w:sz w:val="40"/>
          <w:lang w:val="uk-UA"/>
        </w:rPr>
      </w:pPr>
      <w:r>
        <w:rPr>
          <w:rFonts w:ascii="Bookman Old Style" w:hAnsi="Bookman Old Style"/>
          <w:i/>
          <w:iCs/>
          <w:sz w:val="40"/>
        </w:rPr>
        <w:t>на тему:</w:t>
      </w:r>
    </w:p>
    <w:p w:rsidR="00F33A1A" w:rsidRDefault="00690EDB">
      <w:pPr>
        <w:pStyle w:val="a5"/>
        <w:spacing w:line="240" w:lineRule="auto"/>
        <w:jc w:val="center"/>
        <w:rPr>
          <w:rFonts w:ascii="Bookman Old Style" w:hAnsi="Bookman Old Style"/>
          <w:b/>
          <w:bCs/>
          <w:i/>
          <w:iCs/>
          <w:sz w:val="56"/>
          <w:lang w:val="uk-UA"/>
        </w:rPr>
      </w:pPr>
      <w:r>
        <w:rPr>
          <w:rFonts w:ascii="Bookman Old Style" w:hAnsi="Bookman Old Style"/>
          <w:b/>
          <w:bCs/>
          <w:i/>
          <w:iCs/>
          <w:sz w:val="56"/>
          <w:lang w:val="uk-UA"/>
        </w:rPr>
        <w:t>Узагальнення матеріалів контролю</w:t>
      </w:r>
    </w:p>
    <w:p w:rsidR="00F33A1A" w:rsidRDefault="00690EDB">
      <w:pPr>
        <w:pStyle w:val="a5"/>
        <w:tabs>
          <w:tab w:val="left" w:pos="3660"/>
        </w:tabs>
        <w:spacing w:line="240" w:lineRule="auto"/>
        <w:ind w:firstLine="709"/>
        <w:jc w:val="left"/>
        <w:rPr>
          <w:rFonts w:ascii="Bookman Old Style" w:hAnsi="Bookman Old Style"/>
          <w:i/>
          <w:iCs/>
          <w:sz w:val="28"/>
        </w:rPr>
      </w:pPr>
      <w:r>
        <w:rPr>
          <w:rFonts w:ascii="Bookman Old Style" w:hAnsi="Bookman Old Style"/>
          <w:i/>
          <w:iCs/>
          <w:sz w:val="28"/>
        </w:rPr>
        <w:tab/>
      </w:r>
    </w:p>
    <w:p w:rsidR="00F33A1A" w:rsidRDefault="00F33A1A">
      <w:pPr>
        <w:pStyle w:val="a5"/>
        <w:spacing w:line="240" w:lineRule="auto"/>
        <w:ind w:firstLine="709"/>
        <w:rPr>
          <w:rFonts w:ascii="Bookman Old Style" w:hAnsi="Bookman Old Style"/>
          <w:i/>
          <w:iCs/>
          <w:sz w:val="28"/>
        </w:rPr>
      </w:pPr>
    </w:p>
    <w:p w:rsidR="00F33A1A" w:rsidRDefault="00F33A1A">
      <w:pPr>
        <w:pStyle w:val="a5"/>
        <w:spacing w:line="240" w:lineRule="auto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690EDB">
      <w:pPr>
        <w:pStyle w:val="a5"/>
        <w:spacing w:line="240" w:lineRule="auto"/>
        <w:rPr>
          <w:rFonts w:ascii="Bookman Old Style" w:hAnsi="Bookman Old Style"/>
          <w:i/>
          <w:iCs/>
          <w:sz w:val="28"/>
        </w:rPr>
      </w:pPr>
      <w:r>
        <w:rPr>
          <w:rFonts w:ascii="Bookman Old Style" w:hAnsi="Bookman Old Style"/>
          <w:i/>
          <w:iCs/>
          <w:sz w:val="28"/>
          <w:lang w:val="uk-UA"/>
        </w:rPr>
        <w:t xml:space="preserve">                                                                    </w:t>
      </w:r>
      <w:r>
        <w:rPr>
          <w:rFonts w:ascii="Bookman Old Style" w:hAnsi="Bookman Old Style"/>
          <w:i/>
          <w:iCs/>
          <w:sz w:val="28"/>
        </w:rPr>
        <w:t>Виконала:</w:t>
      </w:r>
    </w:p>
    <w:p w:rsidR="00F33A1A" w:rsidRDefault="00690EDB">
      <w:pPr>
        <w:pStyle w:val="a5"/>
        <w:spacing w:line="240" w:lineRule="auto"/>
        <w:rPr>
          <w:rFonts w:ascii="Bookman Old Style" w:hAnsi="Bookman Old Style"/>
          <w:i/>
          <w:iCs/>
          <w:sz w:val="28"/>
        </w:rPr>
      </w:pPr>
      <w:r>
        <w:rPr>
          <w:rFonts w:ascii="Bookman Old Style" w:hAnsi="Bookman Old Style"/>
          <w:i/>
          <w:iCs/>
          <w:sz w:val="28"/>
          <w:lang w:val="uk-UA"/>
        </w:rPr>
        <w:t xml:space="preserve">                                                                    </w:t>
      </w:r>
      <w:r>
        <w:rPr>
          <w:rFonts w:ascii="Bookman Old Style" w:hAnsi="Bookman Old Style"/>
          <w:i/>
          <w:iCs/>
          <w:sz w:val="28"/>
        </w:rPr>
        <w:t xml:space="preserve">Студентка </w:t>
      </w:r>
      <w:r>
        <w:rPr>
          <w:rFonts w:ascii="Bookman Old Style" w:hAnsi="Bookman Old Style"/>
          <w:i/>
          <w:iCs/>
          <w:sz w:val="28"/>
          <w:lang w:val="en-US"/>
        </w:rPr>
        <w:t>III</w:t>
      </w:r>
      <w:r>
        <w:rPr>
          <w:rFonts w:ascii="Bookman Old Style" w:hAnsi="Bookman Old Style"/>
          <w:i/>
          <w:iCs/>
          <w:sz w:val="28"/>
        </w:rPr>
        <w:t xml:space="preserve"> курсу ФЕ</w:t>
      </w:r>
    </w:p>
    <w:p w:rsidR="00F33A1A" w:rsidRDefault="00690EDB">
      <w:pPr>
        <w:pStyle w:val="a5"/>
        <w:spacing w:line="240" w:lineRule="auto"/>
        <w:rPr>
          <w:rFonts w:ascii="Bookman Old Style" w:hAnsi="Bookman Old Style"/>
          <w:i/>
          <w:iCs/>
          <w:sz w:val="28"/>
        </w:rPr>
      </w:pPr>
      <w:r>
        <w:rPr>
          <w:rFonts w:ascii="Bookman Old Style" w:hAnsi="Bookman Old Style"/>
          <w:i/>
          <w:iCs/>
          <w:sz w:val="28"/>
          <w:lang w:val="uk-UA"/>
        </w:rPr>
        <w:t xml:space="preserve">                                                                    </w:t>
      </w:r>
      <w:r>
        <w:rPr>
          <w:rFonts w:ascii="Bookman Old Style" w:hAnsi="Bookman Old Style"/>
          <w:i/>
          <w:iCs/>
          <w:sz w:val="28"/>
        </w:rPr>
        <w:t>Спеціальності 7.050106</w:t>
      </w:r>
    </w:p>
    <w:p w:rsidR="00F33A1A" w:rsidRDefault="00690EDB">
      <w:pPr>
        <w:pStyle w:val="a5"/>
        <w:spacing w:line="240" w:lineRule="auto"/>
        <w:rPr>
          <w:rFonts w:ascii="Bookman Old Style" w:hAnsi="Bookman Old Style"/>
          <w:i/>
          <w:iCs/>
          <w:sz w:val="28"/>
        </w:rPr>
      </w:pPr>
      <w:r>
        <w:rPr>
          <w:rFonts w:ascii="Bookman Old Style" w:hAnsi="Bookman Old Style"/>
          <w:i/>
          <w:iCs/>
          <w:sz w:val="28"/>
          <w:lang w:val="uk-UA"/>
        </w:rPr>
        <w:t xml:space="preserve">                                                                    </w:t>
      </w:r>
      <w:r>
        <w:rPr>
          <w:rFonts w:ascii="Bookman Old Style" w:hAnsi="Bookman Old Style"/>
          <w:i/>
          <w:iCs/>
          <w:sz w:val="28"/>
        </w:rPr>
        <w:t>Групи Б-1</w:t>
      </w:r>
    </w:p>
    <w:p w:rsidR="00F33A1A" w:rsidRDefault="00690EDB">
      <w:pPr>
        <w:pStyle w:val="a5"/>
        <w:spacing w:line="240" w:lineRule="auto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 xml:space="preserve">                                                                    </w:t>
      </w:r>
      <w:r>
        <w:rPr>
          <w:rFonts w:ascii="Bookman Old Style" w:hAnsi="Bookman Old Style"/>
          <w:i/>
          <w:iCs/>
          <w:sz w:val="28"/>
        </w:rPr>
        <w:t>Парчук Н. В.</w:t>
      </w:r>
    </w:p>
    <w:p w:rsidR="00F33A1A" w:rsidRDefault="00690EDB">
      <w:pPr>
        <w:pStyle w:val="a5"/>
        <w:spacing w:line="240" w:lineRule="auto"/>
        <w:rPr>
          <w:rFonts w:ascii="Bookman Old Style" w:hAnsi="Bookman Old Style"/>
          <w:b/>
          <w:bCs/>
          <w:i/>
          <w:iCs/>
          <w:sz w:val="28"/>
        </w:rPr>
      </w:pPr>
      <w:r>
        <w:rPr>
          <w:rFonts w:ascii="Bookman Old Style" w:hAnsi="Bookman Old Style"/>
          <w:i/>
          <w:iCs/>
          <w:sz w:val="28"/>
          <w:lang w:val="uk-UA"/>
        </w:rPr>
        <w:t xml:space="preserve">                                                                    </w:t>
      </w:r>
    </w:p>
    <w:p w:rsidR="00F33A1A" w:rsidRDefault="00F33A1A">
      <w:pPr>
        <w:pStyle w:val="a5"/>
        <w:spacing w:line="240" w:lineRule="auto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a5"/>
        <w:spacing w:line="240" w:lineRule="auto"/>
        <w:ind w:firstLine="709"/>
        <w:rPr>
          <w:rFonts w:ascii="Bookman Old Style" w:hAnsi="Bookman Old Style"/>
          <w:i/>
          <w:iCs/>
          <w:sz w:val="28"/>
        </w:rPr>
      </w:pPr>
    </w:p>
    <w:p w:rsidR="00F33A1A" w:rsidRDefault="00F33A1A">
      <w:pPr>
        <w:pStyle w:val="a5"/>
        <w:spacing w:line="240" w:lineRule="auto"/>
        <w:ind w:firstLine="709"/>
        <w:rPr>
          <w:rFonts w:ascii="Bookman Old Style" w:hAnsi="Bookman Old Style"/>
          <w:i/>
          <w:iCs/>
          <w:sz w:val="28"/>
        </w:rPr>
      </w:pPr>
    </w:p>
    <w:p w:rsidR="00F33A1A" w:rsidRDefault="00F33A1A">
      <w:pPr>
        <w:pStyle w:val="a5"/>
        <w:spacing w:line="240" w:lineRule="auto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690EDB">
      <w:pPr>
        <w:pStyle w:val="a5"/>
        <w:spacing w:line="240" w:lineRule="auto"/>
        <w:ind w:firstLine="709"/>
        <w:jc w:val="center"/>
        <w:rPr>
          <w:rFonts w:ascii="Bookman Old Style" w:hAnsi="Bookman Old Style"/>
          <w:i/>
          <w:iCs/>
          <w:sz w:val="32"/>
        </w:rPr>
      </w:pPr>
      <w:r>
        <w:rPr>
          <w:rFonts w:ascii="Bookman Old Style" w:hAnsi="Bookman Old Style"/>
          <w:i/>
          <w:iCs/>
          <w:sz w:val="32"/>
        </w:rPr>
        <w:t>Рівне - 2001</w:t>
      </w:r>
    </w:p>
    <w:p w:rsidR="00F33A1A" w:rsidRDefault="00F33A1A">
      <w:pPr>
        <w:pStyle w:val="21"/>
        <w:spacing w:line="240" w:lineRule="auto"/>
        <w:ind w:left="0" w:firstLine="709"/>
        <w:jc w:val="center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21"/>
        <w:spacing w:line="240" w:lineRule="auto"/>
        <w:ind w:left="0" w:firstLine="709"/>
        <w:jc w:val="center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21"/>
        <w:spacing w:line="240" w:lineRule="auto"/>
        <w:ind w:left="0" w:firstLine="709"/>
        <w:jc w:val="center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21"/>
        <w:spacing w:line="240" w:lineRule="auto"/>
        <w:ind w:left="0" w:firstLine="709"/>
        <w:jc w:val="center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21"/>
        <w:spacing w:line="240" w:lineRule="auto"/>
        <w:ind w:left="0" w:firstLine="709"/>
        <w:jc w:val="center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690EDB">
      <w:pPr>
        <w:pStyle w:val="21"/>
        <w:spacing w:line="240" w:lineRule="auto"/>
        <w:ind w:left="0" w:firstLine="709"/>
        <w:jc w:val="center"/>
        <w:rPr>
          <w:rFonts w:ascii="Bookman Old Style" w:hAnsi="Bookman Old Style"/>
          <w:i/>
          <w:iCs/>
          <w:sz w:val="32"/>
          <w:lang w:val="uk-UA"/>
        </w:rPr>
      </w:pPr>
      <w:r>
        <w:rPr>
          <w:rFonts w:ascii="Bookman Old Style" w:hAnsi="Bookman Old Style"/>
          <w:i/>
          <w:iCs/>
          <w:sz w:val="32"/>
        </w:rPr>
        <w:t>Зміст</w:t>
      </w:r>
    </w:p>
    <w:p w:rsidR="00F33A1A" w:rsidRDefault="00F33A1A">
      <w:pPr>
        <w:pStyle w:val="21"/>
        <w:spacing w:line="240" w:lineRule="auto"/>
        <w:ind w:left="0" w:firstLine="709"/>
        <w:jc w:val="center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690EDB">
      <w:pPr>
        <w:pStyle w:val="21"/>
        <w:numPr>
          <w:ilvl w:val="0"/>
          <w:numId w:val="1"/>
        </w:numPr>
        <w:spacing w:line="240" w:lineRule="auto"/>
        <w:ind w:left="0" w:firstLine="0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Методичні прийоми узагальнення результатів контролю і аудиту .   .   .   .   .   .   .   .   .   .   .   .   .   .   .   .   .   .   .  3</w:t>
      </w:r>
    </w:p>
    <w:p w:rsidR="00F33A1A" w:rsidRDefault="00F33A1A">
      <w:pPr>
        <w:pStyle w:val="21"/>
        <w:spacing w:line="240" w:lineRule="auto"/>
        <w:ind w:left="709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21"/>
        <w:spacing w:line="240" w:lineRule="auto"/>
        <w:ind w:left="709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690EDB">
      <w:pPr>
        <w:pStyle w:val="21"/>
        <w:spacing w:line="240" w:lineRule="auto"/>
        <w:ind w:left="0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2. Методика складання акта комплексної ревізії фінансово-господарської діяльності підприємства.   .   .   .   .   .   .   .   .   .   . 8</w:t>
      </w:r>
    </w:p>
    <w:p w:rsidR="00F33A1A" w:rsidRDefault="00F33A1A">
      <w:pPr>
        <w:pStyle w:val="21"/>
        <w:spacing w:line="240" w:lineRule="auto"/>
        <w:ind w:left="0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21"/>
        <w:spacing w:line="240" w:lineRule="auto"/>
        <w:ind w:left="0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690EDB">
      <w:pPr>
        <w:pStyle w:val="21"/>
        <w:spacing w:line="240" w:lineRule="auto"/>
        <w:ind w:left="0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 xml:space="preserve">3. Методика складання акта аудиторського контролю.   .   .   13   </w:t>
      </w:r>
    </w:p>
    <w:p w:rsidR="00F33A1A" w:rsidRDefault="00F33A1A">
      <w:pPr>
        <w:pStyle w:val="21"/>
        <w:spacing w:line="240" w:lineRule="auto"/>
        <w:ind w:left="0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21"/>
        <w:spacing w:line="240" w:lineRule="auto"/>
        <w:ind w:left="0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690EDB">
      <w:pPr>
        <w:pStyle w:val="21"/>
        <w:spacing w:line="240" w:lineRule="auto"/>
        <w:ind w:left="0"/>
        <w:jc w:val="left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 xml:space="preserve">Список використаної літератури.   .   .   .   .   .   .   .   .   .   .   .   17   </w:t>
      </w:r>
    </w:p>
    <w:p w:rsidR="00F33A1A" w:rsidRDefault="00F33A1A">
      <w:pPr>
        <w:pStyle w:val="21"/>
        <w:spacing w:line="360" w:lineRule="auto"/>
        <w:ind w:left="0" w:firstLine="709"/>
        <w:jc w:val="center"/>
        <w:rPr>
          <w:rFonts w:ascii="Bookman Old Style" w:hAnsi="Bookman Old Style"/>
          <w:i/>
          <w:iCs/>
          <w:sz w:val="28"/>
        </w:rPr>
      </w:pPr>
    </w:p>
    <w:p w:rsidR="00F33A1A" w:rsidRDefault="00F33A1A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690EDB">
      <w:pPr>
        <w:pStyle w:val="a8"/>
        <w:spacing w:line="360" w:lineRule="auto"/>
        <w:ind w:left="0" w:firstLine="709"/>
        <w:jc w:val="center"/>
        <w:rPr>
          <w:rFonts w:ascii="Bookman Old Style" w:hAnsi="Bookman Old Style"/>
          <w:i/>
          <w:iCs/>
          <w:sz w:val="32"/>
          <w:lang w:val="uk-UA"/>
        </w:rPr>
      </w:pPr>
      <w:r>
        <w:rPr>
          <w:rFonts w:ascii="Bookman Old Style" w:hAnsi="Bookman Old Style"/>
          <w:i/>
          <w:iCs/>
          <w:sz w:val="32"/>
          <w:lang w:val="uk-UA"/>
        </w:rPr>
        <w:t>Методичні прийоми узагальнення результатів контролю і аудиту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</w:rPr>
      </w:pPr>
      <w:r>
        <w:rPr>
          <w:rFonts w:ascii="Bookman Old Style" w:hAnsi="Bookman Old Style"/>
          <w:i/>
          <w:iCs/>
          <w:sz w:val="28"/>
          <w:lang w:val="uk-UA"/>
        </w:rPr>
        <w:t xml:space="preserve">Узагальнення результатів контролю і аудиту включає комплекс методичних прийомів групування і систематизації його результатів, необхідних для прийняття рішень до усунення виявлених недоліків у діяльності підприємства, яке контролюють. Зокрема, складають відомості вибіркової інвентаризації цінностей, акти ревізії каси, аудиторського контролю діяльності підприємства і підприємницької діяльності, обмеження місць зберігання цінностей. </w:t>
      </w:r>
      <w:r>
        <w:rPr>
          <w:rFonts w:ascii="Bookman Old Style" w:hAnsi="Bookman Old Style"/>
          <w:i/>
          <w:iCs/>
          <w:sz w:val="28"/>
        </w:rPr>
        <w:t>Однорідні недоліки узагальнюють у таблицях, схемах, графіках, відомостях, машинограмах та ін. Документах за допомогою таких методичних прийомів: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- групування недоліків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- документація результатів проміжного контролю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- аналітичне групування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- слідчо-юридичне обґрунтування недоліків</w:t>
      </w:r>
    </w:p>
    <w:p w:rsidR="00F33A1A" w:rsidRDefault="00690EDB">
      <w:pPr>
        <w:pStyle w:val="a5"/>
        <w:spacing w:line="360" w:lineRule="auto"/>
        <w:ind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-систематизоване групування недоліків в актах аудиторського контролю діяльності підприємства і підприємницької діяльності.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Результати аудиторського дослідження групуються і систематизуються у журналі аудитора, де розробляються також заходи щодо профілактики правопорушень у підприємницькій діяльності.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Крім цього, ці заходи дають змогу контролюючому органу краще розібратися у причинах недоліків і прийняти обґрунтовані рішення за результатами аудиту.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Своєчасне усунення керівництвом підприємства недоліків, виявлених аудитом, які стосуються неповної і несвоєчасної сплати податків до бюджету, вивільняє від сплати штрафних санкцій податковими органами. Тому підприємства зацікавлені в отриманні аудиторських послуг, які запобігали б недолікам у фінансово-господарській діяльності.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Узагальнення недоліків у журналі аудитора провадиться з використанням хронологічних, систематизованих і хронологічно-систематичних групувань.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Хронологічне – групування недоліків послідовно за періодами виникнення їх у фінансово-господарській діяльності підприємства, яке контролюють. Недоліком цього методу є те, що аудитору доводиться одночасно досліджувати за місяць, квартал усі господарські операції, використовуючи багато нормативних документів. Крім того, при проведенні комплексного комісійного аудиту виникають певні труднощі у взаємному контролі операцій і документів.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Систематизоване – це групування виявлених у діяльності підприємства, яке контролюють, недоліків за однорідністю і змістом і попередньо зафіксованих аудитом у хронологічній послідовності. Недоліком є те, що при цьому дублюються недоліки у хронологічному і систематизованому групуваннях.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Хронологічно-систематизоване групування дає змогу узагальнити недоліки, виявлені аудитом, за часом виникнення і однорідністю їх. Цей вид групування застосовується при проведенні комплексного комісійного аудиту, коли недоліки систематизують за розділами акта або питаннями, поставленими на дослідження аудиту.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Документування результатів проміжного контролю використовується як методичний прийом при оформленні контрольних процедур у процесі виконання їх на проміжних стадіях, щоб засвідчити стан об’єктів контролю на момент перевірки (ревізія каси, вибіркова інвентаризація матеріальних цінностей, хронометражні спостереження аудиту, тематичні обстеження аудиту та ін.).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Аналітичне групування – складання відомостей, таблиць, узагальнення однорідних недоліків, виявлених у процесі аудиту, за допомогою таких методичних прийомів, як економічний аналіз, статистичні розрахунки, економіко-математичні методи. Цей вид групування застосовується при складанні відомостей на забраковані вироби і роботи, переплату заробітної плати, понаднормовані витрати сировини за конкретний період (квартал, півріччя) і пов’язані з ними матеріальні збитки, сплачені штрафні санкції за порушення договірних зобов’язань, а також графіка ритмічності виробництва продукції, робіт і послуг тощо.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Слідчо-юридичне обґрунтування недоліків застосовується тоді, коли необхідно обґрунтувати доказами суму заподіяного збитку або встановити відповідальність посадових осіб підприємства, яке контролюють. При цьому аудитор виконує певні слідчо-юридичні процедури. Він збирає докази, що засвідчують юридичні факти, тобто такі, з якими закон пов’язує виникнення, зміну або припинення правовідносин об’єкта із суб’єктом. За джерелами узагальнення юридичні докази поділяють на особисті і речові, первинні і похідні.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При узагальненні доказів важливою процедурою, яку виконує внутрішній аудит, є вилучення оригіналів документів з поточного архіву підприємства, яке контролюють. Аудитор може вилучати документи у порядку, передбаченому законом, на підставі постанови правоохоронних органів. Замість оригіналу у справах підприємства залишають копії вилучених документів. Процедуру вилучення документів оформляють спеціальним актом, складеним аудитором за участю керівника і головного бухгалтера підприємства, а також понятих, що не мають відношення до контрольно-аудиторського процесу. Для того, щоб не завантажувати акт описовістю реквізитів документів, складають окремий реєстр вилучених оригіналів документів, який є додатком до акта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Вилучати оригінали документів можуть також ревізори, які провадять внутрішній аудит, аудитори податкових служб. Зовнішній аудитор може виконувати ці функції як виняток.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При виконанні слідчо-юридичних процедур обґрунтовують судово-арбітражні позови на відшкодування матеріального збитку, заподіяного підприємству, яку контролюють.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Систематизоване групування результатів контролю – викладення в акті комплексного аудиту, тематичної перевірки, обстеження у систематизованому вигляді виявлених недоліків у діяльності підприємства, яку контролюють. Результати службового розслідування внутрішній аудитор оформляє довідкою.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Узагальнення і викладення результатів аудиту в акті здійснюється аудиторами за даними записів у журналі аудитора, групування недоліків, погоджених з керівництвом, діяльність якого контролюють.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Контрольно-аудиторські прийоми у процесі контролю і аналізу господарської діяльності підприємства виконується за допомогою як найпростіших приладів обчислення та організаційної техніки, так і мікро-ЕОМ, персональних і універсальних великих ЕОМ та обчислювальних комплексів.</w:t>
      </w:r>
    </w:p>
    <w:p w:rsidR="00F33A1A" w:rsidRDefault="00690EDB">
      <w:pPr>
        <w:pStyle w:val="31"/>
      </w:pPr>
      <w:r>
        <w:t>Удосконалення контрольно-аудиторського процесу із застосуванням ЕОМ різних класів, створенням АСОІ дає змогу автоматизувати контроль виробничої і фінансово-господарської діяльності підприємства, включаючи стадію узагальнення і реалізації результатів контролю.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Для розв’язання комплексу задач контролю і аудиту фінансово-господарської діяльності підприємств на ЕОМ створюють інформаційну систему у вигляді упорядкованих масивів інформації, пошук інформації, внутрішні взаємозв’язки між масивами здійснюється за допомогою технічних засобів з максимальною автоматизацією інформаційно-пошукових робіт на ЕОМ за спеціальними програмами.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Результати аудиторського контролю узагальнюють і викладають в акті комплексного аудиту на основі записів у журналі групування недоліків (журнал аудитора), погоджених з керівником підприємства, яке підлягає контролю.</w:t>
      </w:r>
    </w:p>
    <w:p w:rsidR="00F33A1A" w:rsidRDefault="00F33A1A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21"/>
        <w:spacing w:line="360" w:lineRule="auto"/>
        <w:ind w:left="0" w:firstLine="709"/>
        <w:rPr>
          <w:rFonts w:ascii="Bookman Old Style" w:hAnsi="Bookman Old Style"/>
          <w:i/>
          <w:iCs/>
          <w:sz w:val="28"/>
        </w:rPr>
        <w:sectPr w:rsidR="00F33A1A">
          <w:headerReference w:type="even" r:id="rId7"/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33A1A" w:rsidRDefault="00690EDB">
      <w:pPr>
        <w:pStyle w:val="21"/>
        <w:spacing w:line="360" w:lineRule="auto"/>
        <w:ind w:left="0"/>
        <w:jc w:val="center"/>
        <w:rPr>
          <w:rFonts w:ascii="Bookman Old Style" w:hAnsi="Bookman Old Style"/>
          <w:i/>
          <w:iCs/>
          <w:sz w:val="32"/>
        </w:rPr>
      </w:pPr>
      <w:r>
        <w:rPr>
          <w:rFonts w:ascii="Bookman Old Style" w:hAnsi="Bookman Old Style"/>
          <w:i/>
          <w:iCs/>
          <w:sz w:val="32"/>
        </w:rPr>
        <w:t>Методика складання акта комплексної ревізії фінансово-господарської діяльності підприємства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Законом України “Про підприємства в Україні” передбачено, що контроль фінансово-господарської діяльності підприємства здійснює власник, користуючись при цьому нормативно-правовими актами загальнодержавного та відомчого характеру. У структурах управління акціонерних, корпорацій, компаній та інших створені підрозділи аудиторів, на які покладено обов’язки виконання функцій внутрішнього аудиту. До функцій внутрішнього аудиту відносять проведення оперативного, поточного і ретроспективного (комплексні ревізії) контролю фінансово-господарської діяльності підприємств за наказами власників. Крім контрольних функцій підрозділи внутрішнього аудиту надають консультативні послуги щодо прогнозів виробництва конкурентоспроможності продукції на внутрішньому і зарубіжному ринках, ціноутворення, запобігання поза виробничим втратам тощо.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Нормативними актами про фінансово-господарський контроль та нормами цивільного і кримінального права передбачено, що результати внутрішнього аудиту (ревізії) оформляють актом, який підписують керівник бригади контролерів, керівник і головний бухгалтер підприємства, діяльність якого контролюють.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Акт внутрішнього аудиту фінансово-господарської діяльності підприємства – це службовий документ, який стверджує факт проведення аудиту посадовими особами, а також відображає результати контролю щодо наслідків окремих господарських операцій чи діяльності підприємства в цілому, виявлені недоліки в господарюванні та додержанні нормативно-правових актів.</w:t>
      </w:r>
    </w:p>
    <w:p w:rsidR="00F33A1A" w:rsidRDefault="00690EDB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Акт комплексного аудиту виробничої і фінансово-господарської діяльності підприємства, як правило, складає ревізійна бригада (комісія, група), призначена органом власника. У ньому систематизовано відображують результати перевірки об’єктів підприємництва, що становлять  у сукупності виробничу і фінансово-господарську діяльність підприємства. Акт комплексної ревізії є юридичним доказом недоліків, порушень законодавчих актів, внаслідок чого завдано власнику збитків, виявлених з урахуванням вимог цивільного законодавства.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</w:rPr>
        <w:t xml:space="preserve"> Цивільним законодавством передбачається обов’язкова участь у ревізії осіб, відповідальних за фінансово-господарську діяльність підприємства, тому не можна допускати неточностей, які трапляються в окремих актах, - “Ревізія проводилась у присутності”, “Ревізія проводилась з відома” тощо. Обов’язково вказують документи, перевірені суцільно і вибірково</w:t>
      </w:r>
      <w:r>
        <w:rPr>
          <w:rFonts w:ascii="Bookman Old Style" w:hAnsi="Bookman Old Style"/>
          <w:i/>
          <w:iCs/>
          <w:sz w:val="28"/>
          <w:lang w:val="uk-UA"/>
        </w:rPr>
        <w:t>, з оформлення господарських операцій, щоб у разі потреби можна було встановити, чи була конкретна господарська операція об”єктом перевірки ревізором і які висновки зробила ревізія.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Акт комплексної перевірки виробничої і фінансово-господарської діяльності складається із вступної і основної частин і додатків.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Вступна частина акта комплексної ревізії включає дату і місце розташування підприємства, яке ревізують, склад ревізійної бригади, ревізійний період, підстави для проведення ревізії, час проведення її та інші дані про повноту перевірки окремих операцій, коштів, періодів перевірки тощо.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Основну частину акта комплексної ревізії складають за розділами відповідно до програми, завіреної керівником організації, яка призначила ревізію. Розділи акту комплексної ревізії містять систематизований виклад недоліків за економічною однорідністю об</w:t>
      </w:r>
      <w:r>
        <w:rPr>
          <w:rFonts w:ascii="Bookman Old Style" w:hAnsi="Bookman Old Style"/>
          <w:i/>
          <w:iCs/>
          <w:sz w:val="28"/>
        </w:rPr>
        <w:t>’</w:t>
      </w:r>
      <w:r>
        <w:rPr>
          <w:rFonts w:ascii="Bookman Old Style" w:hAnsi="Bookman Old Style"/>
          <w:i/>
          <w:iCs/>
          <w:sz w:val="28"/>
          <w:lang w:val="uk-UA"/>
        </w:rPr>
        <w:t>єктів (господарськими операціями, процесами). Відомчими інструкціями до ревізії фінансово-господарської діяльності підприємств передбачено розділи акта та їх зміст. Узагальнення практики контрольно-ревізійної роботи у різних галузях народного господарства дає змогу уніфікувати розділи акта комплексної ревізії. Їх об’єднують у три групи:</w:t>
      </w:r>
    </w:p>
    <w:p w:rsidR="00F33A1A" w:rsidRDefault="00690EDB">
      <w:pPr>
        <w:pStyle w:val="a8"/>
        <w:numPr>
          <w:ilvl w:val="0"/>
          <w:numId w:val="32"/>
        </w:numPr>
        <w:tabs>
          <w:tab w:val="clear" w:pos="1879"/>
          <w:tab w:val="num" w:pos="1260"/>
        </w:tabs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розділи, де викладають результати ревізії використання матеріальних, фінансових і трудових ресурсів (ревізії операцій з коштами в касі і на рахунках в банку, з товарно-матеріальними цінностями, використання трудових ресурсів і оплати праці та ін.);</w:t>
      </w:r>
    </w:p>
    <w:p w:rsidR="00F33A1A" w:rsidRDefault="00690EDB">
      <w:pPr>
        <w:pStyle w:val="a8"/>
        <w:numPr>
          <w:ilvl w:val="0"/>
          <w:numId w:val="32"/>
        </w:numPr>
        <w:tabs>
          <w:tab w:val="clear" w:pos="1879"/>
          <w:tab w:val="num" w:pos="1260"/>
        </w:tabs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розділи ревізії виробництва і реалізації продукції, робіт  і послуг, їх собівартості і рентабельності (ревізії операцій з виробництва і реалізації продукції, витрат собівартості продукції, контроль собівартості продукції, та ін.);</w:t>
      </w:r>
    </w:p>
    <w:p w:rsidR="00F33A1A" w:rsidRDefault="00690EDB">
      <w:pPr>
        <w:pStyle w:val="a8"/>
        <w:numPr>
          <w:ilvl w:val="0"/>
          <w:numId w:val="32"/>
        </w:numPr>
        <w:tabs>
          <w:tab w:val="clear" w:pos="1879"/>
          <w:tab w:val="num" w:pos="1260"/>
        </w:tabs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розділи ревізії інвестицій, фондів, резервів, розрахунків, результатів фінансово-господарської діяльності підприємства (ревізії інвестиційної діяльності, операцій спеціальних фондів та резервів, кредитно-розрахункових взаємовідносин, контроль результатів господарювання та ін.).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У наведеній структурі розділів акта комплексної ревізії висвітлюють використання ресурсів підприємства, виробництво продукції, робіт і послуг, реалізацію їх і результати виробничої і фінансово-господарської діяльності. У кожному розділі акта виявлені недоліки групують за однорідністю і вагомістю їх для діяльності підприємства, яке ревізують.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Розділи акта складають на основі групувального журналу ревізора, аудитора, проміжних актів ревізії, а також аналітичних таблиць, відомостей, графіків.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 xml:space="preserve">Проміжні акти складають у процесі контролю діяльності матеріально відповідальних осіб, тобто тоді, коли необхідно зафіксувати результати контроль-ревізійної процедури у момент її виконання. Наприклад, раптова ревізія грошей у касі, інвентаризація дефіцитних матеріалів на складі, контрольний розкрій тканин і запуску сировини у виробництво продукції та ін. Підписують ці акти члени ревізійної бригади і матеріально відповідальні особи або інші посадові особи (майстри, виконроби, маркшейдери). Зміст проміжних актів не повторюють в основному акті комплексної ревізії. Так, із проміжного акта ревізії грошей у касі до основного акта комплексної ревізії включають лише дату перевірки, нестачу або лишки коштів та стан збереження їх з посиланням на проміжний акт, поданий у додатку. 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Не можна підміняти ревізію аналізом діяльності підприємства, обмежуватися дослідженням загальних відхилень від плану без документальної перевірки причин утворення їх, не встановлюючи осіб, відповідальних за конкретні недоліки у фінансово-господарській діяльності, порушення законодавства.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Додатки до акта комплексної ревізії – це проміжні акти ревізій, аналітичні відомості, таблиці, машинограми, графіки, пояснювальні записки матеріально відповідальних працівників і службових осіб, копії первинних документів і облікових регістрів тощо. Зміст їх, аналогічно проміжним актам, викладають у розділі основного акта комплексної ревізії.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На основі зібраних фактів ревізор узагальнює виявлені недоліки в акті, посилаючись на складені ним документи. Додатки до акта комплексної ревізії нумерують у хронологічному порядку і підписують ревізори та особи, відповідальні за фінансово-господарську діяльність підприємства.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Стилістика акта ревізії має відповідати вимогам ділової мови документа, складеного за офіційно-діловим стилем. Цей стиль належить до книжково-писемного і за своїми ознаками близький до наукового.</w:t>
      </w:r>
    </w:p>
    <w:p w:rsidR="00F33A1A" w:rsidRDefault="00F33A1A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  <w:sectPr w:rsidR="00F33A1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F33A1A" w:rsidRDefault="00690EDB">
      <w:pPr>
        <w:pStyle w:val="a8"/>
        <w:spacing w:line="360" w:lineRule="auto"/>
        <w:ind w:left="0" w:firstLine="709"/>
        <w:jc w:val="center"/>
        <w:rPr>
          <w:rFonts w:ascii="Bookman Old Style" w:hAnsi="Bookman Old Style"/>
          <w:i/>
          <w:iCs/>
          <w:sz w:val="32"/>
          <w:lang w:val="uk-UA"/>
        </w:rPr>
      </w:pPr>
      <w:r>
        <w:rPr>
          <w:rFonts w:ascii="Bookman Old Style" w:hAnsi="Bookman Old Style"/>
          <w:i/>
          <w:iCs/>
          <w:sz w:val="32"/>
          <w:lang w:val="uk-UA"/>
        </w:rPr>
        <w:t>Методика складання акта аудиторського контролю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Акт (висновок) аудиторського контролю, проведеного на замовлення власника, за структурою подібний до акта комплексної ревізії фінансово-господарської діяльності підприємства. На структуру акта аудиторського контролю впливає те, що перевірці підлягають тільки ті питання, які поставив замовник, тобто підприємство, яке просить перевірити його фінансово-господарську діяльність або всю в комплексі, або з окремих питань. Цим визначаються структура і зміст акта аудиторської перевірки.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Акт аудиторського контролю складається із трьох частин: вступної, дослідної, результативної.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Вступна частина акта аудиторського контролю відображує організаційну стадію контрольно-аудиторського процесу: прізвище та ініціали аудитора; найменування підприємства-замовника аудиту; завдання аудиторської фірми на проведення контролю; особи, відповідальні за фінансово-господарську діяльність підприємства; час проведення аудиту; питання, поставлені замовником на вирішення аудиторського контролю; документи, пред’явлені аудиту, юридична правомочність підприємства. Якщо аудитор має ліцензію на право займатися індивідуальною аудиторською діяльністю і не входить до складу аудиторської фірми, то підставою для проведення аудиторського контролю є договір між ним і підприємством-замовником. На відміну від ревізії, яка проводиться за програмою, затвердженою органом власника і не погодженою з підприємством, яке ревізують, аудит контролює лише ті сторони діяльності підприємства, які не є комерційною таємницею, а також за конкретно визначеними питаннями. Якщо ревізія може вимагати для перевірки діяльності на свій розсуд, то аудитору видається лише та документація, яку визначив замовник.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У тих випадках, коли для аудитора виявиться у процесі дослідження недостатньо виданої замовником документації, він може відмовитися від проведення аудиту і скласти акт про неможливість зробити висновки на поставлені питання.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Дослідну частину акта аудиторського контролю складають не за розділами ревізії, що охоплюють у комплексі всю фінансово-господарську діяльність підприємства, а за кожним питанням поставленим замовником окремо.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Аудитор у цій частині акта викладає склад нормативно-довідкової і фактографічної інформації, яка підлягала дослідженню, методичні прийоми, що застосовувалися у контрольно-аудиторському процесі, результати дослідження. Виявлені при цьому недоліки, порушення нормативно-правових актів у процесі фінансово-господарської діяльності підприємства та наслідки від цього аудитор відображує в акті з посиленням на первинні документи, закони, положення та визначає суму завданого збитку або не одержаного прибутку, тобто втрачену вигоду. Тут же визначають осіб, відповідальних за виявлені недоліки у фінансово-господарській або інших видах діяльності.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Результативна частина (висновки) акта аудиторського контролю містить у стислому викладі наслідки проведеного дослідження та висновки щодо них. Висновки складають з кожного питання, яке досліджували. Так само, як і у дослідній частині, подають питання у формулюванні замовника, а нижче викладають висновок аудитора.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Висновки аудитора, викладені в акті аудиторського контролю, можуть бути підтверджені системою доказів – первинними документами, розрахунками, посиланнями на методики, положення, на основі яких зроблено висновки, мати адресність щодо виявлених недоліків у фінансово-господарській діяльності.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Заключною частиною акта аудиторського контролю є пропозиції і рекомендації, що їх вносить аудитор замовнику. До них відносять пропозиції щодо ліквідації недоліків у бухгалтерському обліку і звітності про фінансово-господарську діяльність підприємства, відшкодування збитків, завданих іншими підприємствами, а також приватними особами чи співробітниками. Рекомендації аудитора можуть стосуватися менеджменту, маркетингу та інших питань бізнесу і спрямовані на підвищення прибутковості підприємства-замовника, запобігання економічному спаду і банкрутству, забезпечення економічної стабільності.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Стилістика акта аудиторського контролю має бути близька до наукового, тобто офіційно-ділового.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Акт аудиторського контролю, коли він призначений через аудиторську організацію, розглядається попередньо керівництвом цієї організації. При цьому перевіряють правильність застосування методичних прийомів аудиторського дослідження, формулювання і обґрунтування доказами результатів, стилю написання та оформлення акта аудитора. Аналогічно перевіряють акт про неможливість проведення аудиту. Якщо акт аудиту не відповідає зазначеним вимогам, то його повертають аудитору на доопрацювання.</w:t>
      </w:r>
    </w:p>
    <w:p w:rsidR="00F33A1A" w:rsidRDefault="00690EDB">
      <w:pPr>
        <w:pStyle w:val="a8"/>
        <w:spacing w:line="360" w:lineRule="auto"/>
        <w:ind w:left="0" w:firstLine="709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Отже, акт аудиторського контролю може бути важливим доказом істини для замовника, податкових служб, якщо він складений на основі результатів науково дослідженої фінансово-господарської діяльності, відображеній у бухгалтерському обліку і звітності з додержанням методології і нормативно-правового регулювання.</w:t>
      </w:r>
    </w:p>
    <w:p w:rsidR="00F33A1A" w:rsidRDefault="00F33A1A">
      <w:pPr>
        <w:pStyle w:val="a8"/>
        <w:spacing w:line="360" w:lineRule="auto"/>
        <w:ind w:left="0"/>
        <w:rPr>
          <w:rFonts w:ascii="Bookman Old Style" w:hAnsi="Bookman Old Style"/>
          <w:i/>
          <w:iCs/>
          <w:sz w:val="28"/>
          <w:lang w:val="uk-UA"/>
        </w:rPr>
        <w:sectPr w:rsidR="00F33A1A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33A1A" w:rsidRDefault="00F33A1A">
      <w:pPr>
        <w:pStyle w:val="1"/>
        <w:rPr>
          <w:i/>
          <w:iCs/>
        </w:rPr>
      </w:pPr>
    </w:p>
    <w:p w:rsidR="00F33A1A" w:rsidRDefault="00F33A1A">
      <w:pPr>
        <w:pStyle w:val="1"/>
        <w:rPr>
          <w:i/>
          <w:iCs/>
          <w:lang w:val="ru-RU"/>
        </w:rPr>
      </w:pPr>
    </w:p>
    <w:p w:rsidR="00F33A1A" w:rsidRDefault="00F33A1A"/>
    <w:p w:rsidR="00F33A1A" w:rsidRDefault="00F33A1A"/>
    <w:p w:rsidR="00F33A1A" w:rsidRDefault="00F33A1A">
      <w:pPr>
        <w:pStyle w:val="1"/>
        <w:rPr>
          <w:i/>
          <w:iCs/>
        </w:rPr>
      </w:pPr>
    </w:p>
    <w:p w:rsidR="00F33A1A" w:rsidRDefault="00690EDB">
      <w:pPr>
        <w:pStyle w:val="1"/>
        <w:rPr>
          <w:i/>
          <w:iCs/>
        </w:rPr>
      </w:pPr>
      <w:r>
        <w:rPr>
          <w:i/>
          <w:iCs/>
        </w:rPr>
        <w:t>Список використаної літератури</w:t>
      </w:r>
    </w:p>
    <w:p w:rsidR="00F33A1A" w:rsidRDefault="00F33A1A">
      <w:pPr>
        <w:ind w:firstLine="709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ind w:firstLine="709"/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690EDB">
      <w:pPr>
        <w:numPr>
          <w:ilvl w:val="0"/>
          <w:numId w:val="33"/>
        </w:numPr>
        <w:tabs>
          <w:tab w:val="num" w:pos="1879"/>
        </w:tabs>
        <w:ind w:left="1260" w:hanging="551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Білуха М.Т. Курс аудиту: Підручник. - 2-ге виданя,- К.: Вища школа.: “Знання”, КОО, 1999 р.</w:t>
      </w:r>
    </w:p>
    <w:p w:rsidR="00F33A1A" w:rsidRDefault="00F33A1A">
      <w:pPr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690EDB">
      <w:pPr>
        <w:numPr>
          <w:ilvl w:val="0"/>
          <w:numId w:val="33"/>
        </w:numPr>
        <w:tabs>
          <w:tab w:val="num" w:pos="1879"/>
        </w:tabs>
        <w:ind w:left="1260" w:hanging="551"/>
        <w:rPr>
          <w:rFonts w:ascii="Bookman Old Style" w:hAnsi="Bookman Old Style"/>
          <w:i/>
          <w:iCs/>
          <w:sz w:val="28"/>
          <w:lang w:val="uk-UA"/>
        </w:rPr>
      </w:pPr>
      <w:r>
        <w:rPr>
          <w:rFonts w:ascii="Bookman Old Style" w:hAnsi="Bookman Old Style"/>
          <w:i/>
          <w:iCs/>
          <w:sz w:val="28"/>
          <w:lang w:val="uk-UA"/>
        </w:rPr>
        <w:t>Білуха М.Т. Теорія фінансово-господарського контролю і аудиту: Навчальне видання,- К.: Вища школа: “Знання”, 1994 р.</w:t>
      </w:r>
    </w:p>
    <w:p w:rsidR="00F33A1A" w:rsidRDefault="00F33A1A">
      <w:pPr>
        <w:tabs>
          <w:tab w:val="num" w:pos="1879"/>
        </w:tabs>
        <w:rPr>
          <w:rFonts w:ascii="Bookman Old Style" w:hAnsi="Bookman Old Style"/>
          <w:i/>
          <w:iCs/>
          <w:sz w:val="28"/>
          <w:lang w:val="uk-UA"/>
        </w:rPr>
      </w:pPr>
    </w:p>
    <w:p w:rsidR="00F33A1A" w:rsidRDefault="00F33A1A">
      <w:pPr>
        <w:numPr>
          <w:ilvl w:val="0"/>
          <w:numId w:val="33"/>
        </w:numPr>
        <w:tabs>
          <w:tab w:val="num" w:pos="1879"/>
        </w:tabs>
        <w:ind w:left="1260" w:hanging="551"/>
        <w:rPr>
          <w:rFonts w:ascii="Bookman Old Style" w:hAnsi="Bookman Old Style"/>
          <w:i/>
          <w:iCs/>
          <w:sz w:val="28"/>
          <w:lang w:val="uk-UA"/>
        </w:rPr>
        <w:sectPr w:rsidR="00F33A1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F33A1A" w:rsidRDefault="00F33A1A">
      <w:pPr>
        <w:rPr>
          <w:rFonts w:ascii="Bookman Old Style" w:hAnsi="Bookman Old Style"/>
          <w:i/>
          <w:iCs/>
          <w:sz w:val="28"/>
          <w:lang w:val="en-US"/>
        </w:rPr>
      </w:pPr>
      <w:bookmarkStart w:id="0" w:name="_GoBack"/>
      <w:bookmarkEnd w:id="0"/>
    </w:p>
    <w:sectPr w:rsidR="00F33A1A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A1A" w:rsidRDefault="00690EDB">
      <w:r>
        <w:separator/>
      </w:r>
    </w:p>
  </w:endnote>
  <w:endnote w:type="continuationSeparator" w:id="0">
    <w:p w:rsidR="00F33A1A" w:rsidRDefault="0069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A1A" w:rsidRDefault="00690EDB">
      <w:r>
        <w:separator/>
      </w:r>
    </w:p>
  </w:footnote>
  <w:footnote w:type="continuationSeparator" w:id="0">
    <w:p w:rsidR="00F33A1A" w:rsidRDefault="00690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A1A" w:rsidRDefault="00690ED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33A1A" w:rsidRDefault="00F33A1A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A1A" w:rsidRDefault="00690ED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F33A1A" w:rsidRDefault="00F33A1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330981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06EAF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C82993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06E8A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4E482F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92484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66EA6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D473C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7847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B628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>
    <w:nsid w:val="3FB25A1E"/>
    <w:multiLevelType w:val="hybridMultilevel"/>
    <w:tmpl w:val="AD52CFFA"/>
    <w:lvl w:ilvl="0" w:tplc="87FC2F8E">
      <w:start w:val="1"/>
      <w:numFmt w:val="decimal"/>
      <w:lvlText w:val="%1)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5022E23"/>
    <w:multiLevelType w:val="hybridMultilevel"/>
    <w:tmpl w:val="7386425A"/>
    <w:lvl w:ilvl="0" w:tplc="993C2E9C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9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>
    <w:nsid w:val="633065FD"/>
    <w:multiLevelType w:val="hybridMultilevel"/>
    <w:tmpl w:val="7FB4ACB0"/>
    <w:lvl w:ilvl="0" w:tplc="DFA44A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F176A1E"/>
    <w:multiLevelType w:val="hybridMultilevel"/>
    <w:tmpl w:val="7F208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4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5">
    <w:abstractNumId w:val="1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6">
    <w:abstractNumId w:val="1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7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8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9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20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21">
    <w:abstractNumId w:val="12"/>
  </w:num>
  <w:num w:numId="22">
    <w:abstractNumId w:val="19"/>
  </w:num>
  <w:num w:numId="23">
    <w:abstractNumId w:val="11"/>
  </w:num>
  <w:num w:numId="24">
    <w:abstractNumId w:val="13"/>
  </w:num>
  <w:num w:numId="25">
    <w:abstractNumId w:val="15"/>
  </w:num>
  <w:num w:numId="26">
    <w:abstractNumId w:val="18"/>
  </w:num>
  <w:num w:numId="27">
    <w:abstractNumId w:val="14"/>
  </w:num>
  <w:num w:numId="28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9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0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31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2">
    <w:abstractNumId w:val="1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EDB"/>
    <w:rsid w:val="00690EDB"/>
    <w:rsid w:val="0078173D"/>
    <w:rsid w:val="00F3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2C301-D306-475A-A67C-0FA69C35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rFonts w:ascii="Bookman Old Style" w:hAnsi="Bookman Old Style"/>
      <w:sz w:val="32"/>
      <w:lang w:val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semiHidden/>
    <w:pPr>
      <w:spacing w:after="220" w:line="240" w:lineRule="atLeast"/>
      <w:jc w:val="both"/>
    </w:pPr>
    <w:rPr>
      <w:rFonts w:ascii="Garamond" w:hAnsi="Garamond"/>
      <w:sz w:val="22"/>
      <w:szCs w:val="20"/>
      <w:lang w:eastAsia="en-US"/>
    </w:rPr>
  </w:style>
  <w:style w:type="paragraph" w:styleId="21">
    <w:name w:val="Body Text Indent 2"/>
    <w:basedOn w:val="a1"/>
    <w:semiHidden/>
    <w:pPr>
      <w:spacing w:after="120" w:line="480" w:lineRule="auto"/>
      <w:ind w:left="283"/>
      <w:jc w:val="both"/>
    </w:pPr>
    <w:rPr>
      <w:rFonts w:ascii="Garamond" w:hAnsi="Garamond"/>
      <w:sz w:val="22"/>
      <w:szCs w:val="20"/>
      <w:lang w:eastAsia="en-US"/>
    </w:rPr>
  </w:style>
  <w:style w:type="paragraph" w:styleId="a0">
    <w:name w:val="List Bullet"/>
    <w:basedOn w:val="a1"/>
    <w:autoRedefine/>
    <w:semiHidden/>
    <w:pPr>
      <w:numPr>
        <w:numId w:val="2"/>
      </w:numPr>
      <w:jc w:val="both"/>
    </w:pPr>
    <w:rPr>
      <w:rFonts w:ascii="Garamond" w:hAnsi="Garamond"/>
      <w:sz w:val="22"/>
      <w:szCs w:val="20"/>
      <w:lang w:eastAsia="en-US"/>
    </w:rPr>
  </w:style>
  <w:style w:type="paragraph" w:styleId="20">
    <w:name w:val="List Bullet 2"/>
    <w:basedOn w:val="a1"/>
    <w:autoRedefine/>
    <w:semiHidden/>
    <w:pPr>
      <w:numPr>
        <w:numId w:val="3"/>
      </w:numPr>
      <w:jc w:val="both"/>
    </w:pPr>
    <w:rPr>
      <w:rFonts w:ascii="Garamond" w:hAnsi="Garamond"/>
      <w:sz w:val="22"/>
      <w:szCs w:val="20"/>
      <w:lang w:eastAsia="en-US"/>
    </w:rPr>
  </w:style>
  <w:style w:type="paragraph" w:styleId="30">
    <w:name w:val="List Bullet 3"/>
    <w:basedOn w:val="a1"/>
    <w:autoRedefine/>
    <w:semiHidden/>
    <w:pPr>
      <w:numPr>
        <w:numId w:val="4"/>
      </w:numPr>
      <w:jc w:val="both"/>
    </w:pPr>
    <w:rPr>
      <w:rFonts w:ascii="Garamond" w:hAnsi="Garamond"/>
      <w:sz w:val="22"/>
      <w:szCs w:val="20"/>
      <w:lang w:eastAsia="en-US"/>
    </w:rPr>
  </w:style>
  <w:style w:type="paragraph" w:styleId="40">
    <w:name w:val="List Bullet 4"/>
    <w:basedOn w:val="a1"/>
    <w:autoRedefine/>
    <w:semiHidden/>
    <w:pPr>
      <w:numPr>
        <w:numId w:val="5"/>
      </w:numPr>
      <w:jc w:val="both"/>
    </w:pPr>
    <w:rPr>
      <w:rFonts w:ascii="Garamond" w:hAnsi="Garamond"/>
      <w:sz w:val="22"/>
      <w:szCs w:val="20"/>
      <w:lang w:eastAsia="en-US"/>
    </w:rPr>
  </w:style>
  <w:style w:type="paragraph" w:styleId="50">
    <w:name w:val="List Bullet 5"/>
    <w:basedOn w:val="a1"/>
    <w:autoRedefine/>
    <w:semiHidden/>
    <w:pPr>
      <w:numPr>
        <w:numId w:val="6"/>
      </w:numPr>
      <w:jc w:val="both"/>
    </w:pPr>
    <w:rPr>
      <w:rFonts w:ascii="Garamond" w:hAnsi="Garamond"/>
      <w:sz w:val="22"/>
      <w:szCs w:val="20"/>
      <w:lang w:eastAsia="en-US"/>
    </w:rPr>
  </w:style>
  <w:style w:type="paragraph" w:styleId="a">
    <w:name w:val="List Number"/>
    <w:basedOn w:val="a1"/>
    <w:semiHidden/>
    <w:pPr>
      <w:numPr>
        <w:numId w:val="7"/>
      </w:numPr>
      <w:jc w:val="both"/>
    </w:pPr>
    <w:rPr>
      <w:rFonts w:ascii="Garamond" w:hAnsi="Garamond"/>
      <w:sz w:val="22"/>
      <w:szCs w:val="20"/>
      <w:lang w:eastAsia="en-US"/>
    </w:rPr>
  </w:style>
  <w:style w:type="paragraph" w:styleId="2">
    <w:name w:val="List Number 2"/>
    <w:basedOn w:val="a1"/>
    <w:semiHidden/>
    <w:pPr>
      <w:numPr>
        <w:numId w:val="8"/>
      </w:numPr>
      <w:jc w:val="both"/>
    </w:pPr>
    <w:rPr>
      <w:rFonts w:ascii="Garamond" w:hAnsi="Garamond"/>
      <w:sz w:val="22"/>
      <w:szCs w:val="20"/>
      <w:lang w:eastAsia="en-US"/>
    </w:rPr>
  </w:style>
  <w:style w:type="paragraph" w:styleId="3">
    <w:name w:val="List Number 3"/>
    <w:basedOn w:val="a1"/>
    <w:semiHidden/>
    <w:pPr>
      <w:numPr>
        <w:numId w:val="9"/>
      </w:numPr>
      <w:jc w:val="both"/>
    </w:pPr>
    <w:rPr>
      <w:rFonts w:ascii="Garamond" w:hAnsi="Garamond"/>
      <w:sz w:val="22"/>
      <w:szCs w:val="20"/>
      <w:lang w:eastAsia="en-US"/>
    </w:rPr>
  </w:style>
  <w:style w:type="paragraph" w:styleId="4">
    <w:name w:val="List Number 4"/>
    <w:basedOn w:val="a1"/>
    <w:semiHidden/>
    <w:pPr>
      <w:numPr>
        <w:numId w:val="10"/>
      </w:numPr>
      <w:jc w:val="both"/>
    </w:pPr>
    <w:rPr>
      <w:rFonts w:ascii="Garamond" w:hAnsi="Garamond"/>
      <w:sz w:val="22"/>
      <w:szCs w:val="20"/>
      <w:lang w:eastAsia="en-US"/>
    </w:rPr>
  </w:style>
  <w:style w:type="paragraph" w:styleId="5">
    <w:name w:val="List Number 5"/>
    <w:basedOn w:val="a1"/>
    <w:semiHidden/>
    <w:pPr>
      <w:numPr>
        <w:numId w:val="11"/>
      </w:numPr>
      <w:jc w:val="both"/>
    </w:pPr>
    <w:rPr>
      <w:rFonts w:ascii="Garamond" w:hAnsi="Garamond"/>
      <w:sz w:val="22"/>
      <w:szCs w:val="20"/>
      <w:lang w:eastAsia="en-US"/>
    </w:rPr>
  </w:style>
  <w:style w:type="paragraph" w:styleId="a6">
    <w:name w:val="header"/>
    <w:basedOn w:val="a1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2"/>
    <w:semiHidden/>
  </w:style>
  <w:style w:type="paragraph" w:styleId="31">
    <w:name w:val="Body Text Indent 3"/>
    <w:basedOn w:val="a1"/>
    <w:semiHidden/>
    <w:pPr>
      <w:spacing w:line="360" w:lineRule="auto"/>
      <w:ind w:firstLine="709"/>
      <w:jc w:val="both"/>
    </w:pPr>
    <w:rPr>
      <w:rFonts w:ascii="Bookman Old Style" w:hAnsi="Bookman Old Style"/>
      <w:i/>
      <w:iCs/>
      <w:sz w:val="28"/>
      <w:lang w:val="uk-UA"/>
    </w:rPr>
  </w:style>
  <w:style w:type="paragraph" w:styleId="a8">
    <w:name w:val="Body Text Indent"/>
    <w:basedOn w:val="a5"/>
    <w:semiHidden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2974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Право. Міжнародні відносини</Manager>
  <Company> Право. Міжнародні відносини</Company>
  <LinksUpToDate>false</LinksUpToDate>
  <CharactersWithSpaces>19890</CharactersWithSpaces>
  <SharedDoc>false</SharedDoc>
  <HyperlinkBase>Право. Міжнародні відносини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Право. Міжнародні відносини</dc:subject>
  <dc:creator>Право. Міжнародні відносини</dc:creator>
  <cp:keywords>Право. Міжнародні відносини</cp:keywords>
  <dc:description>Право. Міжнародні відносини</dc:description>
  <cp:lastModifiedBy>admin</cp:lastModifiedBy>
  <cp:revision>2</cp:revision>
  <cp:lastPrinted>2001-03-11T19:24:00Z</cp:lastPrinted>
  <dcterms:created xsi:type="dcterms:W3CDTF">2014-04-08T17:37:00Z</dcterms:created>
  <dcterms:modified xsi:type="dcterms:W3CDTF">2014-04-08T17:37:00Z</dcterms:modified>
  <cp:category>Право. Міжнародні відносини</cp:category>
</cp:coreProperties>
</file>