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4E" w:rsidRDefault="002218B5">
      <w:pPr>
        <w:pStyle w:val="a3"/>
        <w:jc w:val="center"/>
        <w:rPr>
          <w:b/>
          <w:sz w:val="36"/>
          <w:u w:val="single"/>
          <w:lang w:val="en-US"/>
        </w:rPr>
      </w:pPr>
      <w:r>
        <w:rPr>
          <w:b/>
          <w:sz w:val="36"/>
          <w:u w:val="single"/>
          <w:lang w:val="en-US"/>
        </w:rPr>
        <w:t>ПЛАН:</w:t>
      </w:r>
    </w:p>
    <w:p w:rsidR="007F594E" w:rsidRDefault="007F594E">
      <w:pPr>
        <w:pStyle w:val="a3"/>
        <w:jc w:val="both"/>
        <w:rPr>
          <w:b/>
          <w:sz w:val="36"/>
          <w:u w:val="single"/>
          <w:lang w:val="en-US"/>
        </w:rPr>
      </w:pPr>
    </w:p>
    <w:p w:rsidR="007F594E" w:rsidRDefault="002218B5">
      <w:pPr>
        <w:pStyle w:val="a3"/>
        <w:numPr>
          <w:ilvl w:val="0"/>
          <w:numId w:val="15"/>
        </w:numPr>
        <w:jc w:val="both"/>
        <w:rPr>
          <w:sz w:val="32"/>
          <w:lang w:val="en-US"/>
        </w:rPr>
      </w:pPr>
      <w:r>
        <w:rPr>
          <w:sz w:val="32"/>
          <w:lang w:val="en-US"/>
        </w:rPr>
        <w:t>Введение.</w:t>
      </w:r>
    </w:p>
    <w:p w:rsidR="007F594E" w:rsidRDefault="007F594E">
      <w:pPr>
        <w:pStyle w:val="a3"/>
        <w:jc w:val="center"/>
        <w:rPr>
          <w:b/>
          <w:sz w:val="36"/>
          <w:u w:val="single"/>
          <w:lang w:val="en-US"/>
        </w:rPr>
      </w:pPr>
    </w:p>
    <w:p w:rsidR="007F594E" w:rsidRDefault="002218B5">
      <w:pPr>
        <w:pStyle w:val="a3"/>
        <w:numPr>
          <w:ilvl w:val="0"/>
          <w:numId w:val="15"/>
        </w:numPr>
        <w:jc w:val="both"/>
        <w:rPr>
          <w:sz w:val="32"/>
        </w:rPr>
      </w:pPr>
      <w:r>
        <w:rPr>
          <w:sz w:val="32"/>
        </w:rPr>
        <w:t>Инфляция. Основные понятия.</w:t>
      </w:r>
    </w:p>
    <w:p w:rsidR="007F594E" w:rsidRDefault="007F594E">
      <w:pPr>
        <w:pStyle w:val="a3"/>
        <w:jc w:val="both"/>
        <w:rPr>
          <w:sz w:val="32"/>
        </w:rPr>
      </w:pPr>
    </w:p>
    <w:p w:rsidR="007F594E" w:rsidRDefault="002218B5">
      <w:pPr>
        <w:pStyle w:val="a3"/>
        <w:numPr>
          <w:ilvl w:val="1"/>
          <w:numId w:val="15"/>
        </w:numPr>
        <w:jc w:val="both"/>
        <w:rPr>
          <w:sz w:val="32"/>
        </w:rPr>
      </w:pPr>
      <w:r>
        <w:rPr>
          <w:sz w:val="32"/>
        </w:rPr>
        <w:t>Инфляция. Ее сущность.</w:t>
      </w:r>
    </w:p>
    <w:p w:rsidR="007F594E" w:rsidRDefault="002218B5">
      <w:pPr>
        <w:pStyle w:val="a3"/>
        <w:numPr>
          <w:ilvl w:val="1"/>
          <w:numId w:val="15"/>
        </w:numPr>
        <w:jc w:val="both"/>
        <w:rPr>
          <w:sz w:val="32"/>
        </w:rPr>
      </w:pPr>
      <w:r>
        <w:rPr>
          <w:sz w:val="32"/>
        </w:rPr>
        <w:t xml:space="preserve">Индекс цен. </w:t>
      </w:r>
    </w:p>
    <w:p w:rsidR="007F594E" w:rsidRDefault="002218B5">
      <w:pPr>
        <w:pStyle w:val="a3"/>
        <w:numPr>
          <w:ilvl w:val="1"/>
          <w:numId w:val="15"/>
        </w:numPr>
        <w:jc w:val="both"/>
        <w:rPr>
          <w:sz w:val="32"/>
        </w:rPr>
      </w:pPr>
      <w:r>
        <w:rPr>
          <w:sz w:val="32"/>
        </w:rPr>
        <w:t>Виды инфляции.</w:t>
      </w:r>
    </w:p>
    <w:p w:rsidR="007F594E" w:rsidRDefault="002218B5">
      <w:pPr>
        <w:pStyle w:val="a3"/>
        <w:numPr>
          <w:ilvl w:val="1"/>
          <w:numId w:val="15"/>
        </w:numPr>
        <w:jc w:val="both"/>
        <w:rPr>
          <w:sz w:val="32"/>
        </w:rPr>
      </w:pPr>
      <w:r>
        <w:rPr>
          <w:sz w:val="32"/>
        </w:rPr>
        <w:t>Причины возникновения инфляции.</w:t>
      </w:r>
    </w:p>
    <w:p w:rsidR="007F594E" w:rsidRDefault="002218B5">
      <w:pPr>
        <w:pStyle w:val="a3"/>
        <w:numPr>
          <w:ilvl w:val="1"/>
          <w:numId w:val="15"/>
        </w:numPr>
        <w:jc w:val="both"/>
        <w:rPr>
          <w:sz w:val="32"/>
        </w:rPr>
      </w:pPr>
      <w:r>
        <w:rPr>
          <w:sz w:val="32"/>
        </w:rPr>
        <w:t>Инфляция спроса.</w:t>
      </w:r>
    </w:p>
    <w:p w:rsidR="007F594E" w:rsidRDefault="002218B5">
      <w:pPr>
        <w:pStyle w:val="a3"/>
        <w:numPr>
          <w:ilvl w:val="1"/>
          <w:numId w:val="15"/>
        </w:numPr>
        <w:jc w:val="both"/>
        <w:rPr>
          <w:sz w:val="32"/>
        </w:rPr>
      </w:pPr>
      <w:r>
        <w:rPr>
          <w:sz w:val="32"/>
        </w:rPr>
        <w:t>Инфляция предложения.</w:t>
      </w:r>
    </w:p>
    <w:p w:rsidR="007F594E" w:rsidRDefault="007F594E">
      <w:pPr>
        <w:pStyle w:val="a3"/>
        <w:jc w:val="both"/>
        <w:rPr>
          <w:sz w:val="32"/>
        </w:rPr>
      </w:pPr>
    </w:p>
    <w:p w:rsidR="007F594E" w:rsidRDefault="002218B5">
      <w:pPr>
        <w:pStyle w:val="a3"/>
        <w:numPr>
          <w:ilvl w:val="0"/>
          <w:numId w:val="15"/>
        </w:numPr>
        <w:jc w:val="both"/>
        <w:rPr>
          <w:sz w:val="32"/>
        </w:rPr>
      </w:pPr>
      <w:r>
        <w:rPr>
          <w:sz w:val="32"/>
        </w:rPr>
        <w:t>Процессы инфляции в России.</w:t>
      </w:r>
    </w:p>
    <w:p w:rsidR="007F594E" w:rsidRDefault="007F594E">
      <w:pPr>
        <w:pStyle w:val="a3"/>
        <w:jc w:val="both"/>
        <w:rPr>
          <w:sz w:val="32"/>
        </w:rPr>
      </w:pPr>
    </w:p>
    <w:p w:rsidR="007F594E" w:rsidRDefault="002218B5">
      <w:pPr>
        <w:pStyle w:val="a3"/>
        <w:numPr>
          <w:ilvl w:val="1"/>
          <w:numId w:val="15"/>
        </w:numPr>
        <w:jc w:val="both"/>
        <w:rPr>
          <w:sz w:val="32"/>
        </w:rPr>
      </w:pPr>
      <w:r>
        <w:rPr>
          <w:sz w:val="32"/>
        </w:rPr>
        <w:t>Инфляция в 1992 –1993гг. и ее причины.</w:t>
      </w:r>
    </w:p>
    <w:p w:rsidR="007F594E" w:rsidRDefault="002218B5">
      <w:pPr>
        <w:pStyle w:val="a3"/>
        <w:numPr>
          <w:ilvl w:val="1"/>
          <w:numId w:val="15"/>
        </w:numPr>
        <w:jc w:val="both"/>
        <w:rPr>
          <w:sz w:val="32"/>
        </w:rPr>
      </w:pPr>
      <w:r>
        <w:rPr>
          <w:sz w:val="32"/>
        </w:rPr>
        <w:t>Последствия инфляции 1992 – 1993гг.</w:t>
      </w:r>
    </w:p>
    <w:p w:rsidR="007F594E" w:rsidRDefault="002218B5">
      <w:pPr>
        <w:pStyle w:val="a3"/>
        <w:numPr>
          <w:ilvl w:val="1"/>
          <w:numId w:val="15"/>
        </w:numPr>
        <w:jc w:val="both"/>
        <w:rPr>
          <w:sz w:val="32"/>
        </w:rPr>
      </w:pPr>
      <w:r>
        <w:rPr>
          <w:sz w:val="32"/>
        </w:rPr>
        <w:t>Анализ процессов инфляции в 1995-1997гг.</w:t>
      </w:r>
    </w:p>
    <w:p w:rsidR="007F594E" w:rsidRDefault="007F594E">
      <w:pPr>
        <w:pStyle w:val="a3"/>
        <w:jc w:val="both"/>
        <w:rPr>
          <w:sz w:val="32"/>
        </w:rPr>
      </w:pPr>
    </w:p>
    <w:p w:rsidR="007F594E" w:rsidRDefault="002218B5">
      <w:pPr>
        <w:pStyle w:val="a3"/>
        <w:numPr>
          <w:ilvl w:val="0"/>
          <w:numId w:val="15"/>
        </w:numPr>
        <w:jc w:val="both"/>
        <w:rPr>
          <w:sz w:val="32"/>
        </w:rPr>
      </w:pPr>
      <w:r>
        <w:rPr>
          <w:sz w:val="32"/>
        </w:rPr>
        <w:t>Методы борьбы с инфляцией.</w:t>
      </w:r>
    </w:p>
    <w:p w:rsidR="007F594E" w:rsidRDefault="007F594E">
      <w:pPr>
        <w:pStyle w:val="a3"/>
        <w:jc w:val="both"/>
        <w:rPr>
          <w:sz w:val="32"/>
        </w:rPr>
      </w:pPr>
    </w:p>
    <w:p w:rsidR="007F594E" w:rsidRDefault="002218B5">
      <w:pPr>
        <w:pStyle w:val="a3"/>
        <w:numPr>
          <w:ilvl w:val="0"/>
          <w:numId w:val="15"/>
        </w:numPr>
        <w:jc w:val="both"/>
        <w:rPr>
          <w:sz w:val="32"/>
        </w:rPr>
      </w:pPr>
      <w:r>
        <w:rPr>
          <w:sz w:val="32"/>
        </w:rPr>
        <w:t>Заключение.</w:t>
      </w:r>
    </w:p>
    <w:p w:rsidR="007F594E" w:rsidRDefault="007F594E">
      <w:pPr>
        <w:pStyle w:val="a3"/>
        <w:jc w:val="both"/>
        <w:rPr>
          <w:sz w:val="32"/>
          <w:lang w:val="en-US"/>
        </w:rPr>
      </w:pPr>
    </w:p>
    <w:p w:rsidR="007F594E" w:rsidRDefault="002218B5">
      <w:pPr>
        <w:pStyle w:val="a3"/>
        <w:numPr>
          <w:ilvl w:val="0"/>
          <w:numId w:val="15"/>
        </w:numPr>
        <w:jc w:val="both"/>
        <w:rPr>
          <w:sz w:val="32"/>
        </w:rPr>
      </w:pPr>
      <w:r>
        <w:rPr>
          <w:sz w:val="32"/>
          <w:lang w:val="en-US"/>
        </w:rPr>
        <w:t xml:space="preserve">Список использованной литературы. </w:t>
      </w:r>
    </w:p>
    <w:p w:rsidR="007F594E" w:rsidRDefault="007F594E">
      <w:pPr>
        <w:pStyle w:val="a3"/>
        <w:jc w:val="both"/>
        <w:rPr>
          <w:sz w:val="32"/>
          <w:lang w:val="en-US"/>
        </w:rPr>
      </w:pPr>
    </w:p>
    <w:p w:rsidR="007F594E" w:rsidRDefault="007F594E">
      <w:pPr>
        <w:pStyle w:val="a3"/>
        <w:jc w:val="both"/>
        <w:rPr>
          <w:sz w:val="32"/>
          <w:lang w:val="en-US"/>
        </w:rPr>
      </w:pPr>
    </w:p>
    <w:p w:rsidR="007F594E" w:rsidRDefault="007F594E">
      <w:pPr>
        <w:pStyle w:val="a3"/>
        <w:jc w:val="both"/>
        <w:rPr>
          <w:sz w:val="32"/>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jc w:val="both"/>
        <w:rPr>
          <w:sz w:val="24"/>
          <w:lang w:val="en-US"/>
        </w:rPr>
      </w:pPr>
    </w:p>
    <w:p w:rsidR="007F594E" w:rsidRDefault="007F594E">
      <w:pPr>
        <w:pStyle w:val="a3"/>
        <w:rPr>
          <w:sz w:val="24"/>
          <w:lang w:val="en-US"/>
        </w:rPr>
      </w:pPr>
    </w:p>
    <w:p w:rsidR="007F594E" w:rsidRDefault="007F594E">
      <w:pPr>
        <w:pStyle w:val="a3"/>
        <w:jc w:val="center"/>
        <w:rPr>
          <w:b/>
          <w:sz w:val="32"/>
        </w:rPr>
      </w:pPr>
    </w:p>
    <w:p w:rsidR="007F594E" w:rsidRDefault="007F594E">
      <w:pPr>
        <w:pStyle w:val="a3"/>
        <w:jc w:val="center"/>
        <w:rPr>
          <w:b/>
          <w:sz w:val="32"/>
        </w:rPr>
      </w:pPr>
    </w:p>
    <w:p w:rsidR="007F594E" w:rsidRDefault="007F594E">
      <w:pPr>
        <w:pStyle w:val="a3"/>
        <w:jc w:val="center"/>
        <w:rPr>
          <w:b/>
          <w:sz w:val="32"/>
        </w:rPr>
      </w:pPr>
    </w:p>
    <w:p w:rsidR="007F594E" w:rsidRDefault="007F594E">
      <w:pPr>
        <w:pStyle w:val="a3"/>
        <w:jc w:val="center"/>
        <w:rPr>
          <w:b/>
          <w:sz w:val="32"/>
        </w:rPr>
      </w:pPr>
    </w:p>
    <w:p w:rsidR="007F594E" w:rsidRDefault="002218B5">
      <w:pPr>
        <w:pStyle w:val="a3"/>
        <w:numPr>
          <w:ilvl w:val="0"/>
          <w:numId w:val="17"/>
        </w:numPr>
        <w:jc w:val="center"/>
        <w:rPr>
          <w:b/>
          <w:sz w:val="32"/>
        </w:rPr>
      </w:pPr>
      <w:r>
        <w:rPr>
          <w:b/>
          <w:sz w:val="32"/>
        </w:rPr>
        <w:lastRenderedPageBreak/>
        <w:t>Введение.</w:t>
      </w:r>
    </w:p>
    <w:p w:rsidR="007F594E" w:rsidRDefault="007F594E">
      <w:pPr>
        <w:pStyle w:val="a3"/>
        <w:rPr>
          <w:b/>
          <w:sz w:val="32"/>
        </w:rPr>
      </w:pPr>
    </w:p>
    <w:p w:rsidR="007F594E" w:rsidRDefault="002218B5">
      <w:pPr>
        <w:pStyle w:val="a3"/>
        <w:ind w:firstLine="360"/>
        <w:jc w:val="both"/>
        <w:rPr>
          <w:sz w:val="24"/>
        </w:rPr>
      </w:pPr>
      <w:r>
        <w:rPr>
          <w:sz w:val="24"/>
        </w:rPr>
        <w:t xml:space="preserve">Данный реферат представляет собой общий анализ процессов инфляции в России в настоящее десятилетие. Особое внимание уделяется экономическому кризису и гиперинфляции 1992-1993гг., а также дается общая характеристика состояния экономики и инфляционных ожиданий в 1995-1997гг. В работе не приведен анализ инфляционных процессов в РФ после 17 августа 1998г.,т.к. точные причины и последствия данного экономического кризиса не получили единогласную оценку специалистов. </w:t>
      </w:r>
    </w:p>
    <w:p w:rsidR="007F594E" w:rsidRDefault="002218B5">
      <w:pPr>
        <w:pStyle w:val="a3"/>
        <w:ind w:firstLine="360"/>
        <w:jc w:val="both"/>
        <w:rPr>
          <w:sz w:val="24"/>
        </w:rPr>
      </w:pPr>
      <w:r>
        <w:rPr>
          <w:sz w:val="24"/>
        </w:rPr>
        <w:t>Реферат состоит и нескольких частей, введения и заключения. В первой части приводится необходимый теоретический материал, включающий в себя общую оценку и описание основных характеристик инфляционных процессов в макроэкономике. Также в работе дается перечень антиинфляционных мер, имеющих место в мировой экономике.</w:t>
      </w:r>
    </w:p>
    <w:p w:rsidR="007F594E" w:rsidRDefault="002218B5">
      <w:pPr>
        <w:pStyle w:val="a3"/>
        <w:ind w:firstLine="360"/>
        <w:jc w:val="both"/>
        <w:rPr>
          <w:sz w:val="24"/>
        </w:rPr>
      </w:pPr>
      <w:r>
        <w:rPr>
          <w:sz w:val="24"/>
        </w:rPr>
        <w:t>Целью написания данной работы являлся подробный анализ инфляционных процессов в России, а также оценка антиинфляционной политики государства.</w:t>
      </w:r>
    </w:p>
    <w:p w:rsidR="007F594E" w:rsidRDefault="007F594E">
      <w:pPr>
        <w:pStyle w:val="a3"/>
        <w:jc w:val="center"/>
        <w:rPr>
          <w:b/>
          <w:sz w:val="32"/>
        </w:rPr>
      </w:pPr>
    </w:p>
    <w:p w:rsidR="007F594E" w:rsidRDefault="002218B5">
      <w:pPr>
        <w:pStyle w:val="a3"/>
        <w:jc w:val="center"/>
        <w:rPr>
          <w:b/>
          <w:sz w:val="32"/>
        </w:rPr>
      </w:pPr>
      <w:r>
        <w:rPr>
          <w:b/>
          <w:sz w:val="32"/>
        </w:rPr>
        <w:t>2. Инфляция. Основные понятия.</w:t>
      </w:r>
    </w:p>
    <w:p w:rsidR="007F594E" w:rsidRDefault="002218B5">
      <w:pPr>
        <w:pStyle w:val="a3"/>
        <w:jc w:val="center"/>
      </w:pPr>
      <w:r>
        <w:rPr>
          <w:b/>
        </w:rPr>
        <w:t>2.1. Инфляция и ее сущность</w:t>
      </w:r>
      <w:r>
        <w:t>.</w:t>
      </w:r>
    </w:p>
    <w:p w:rsidR="007F594E" w:rsidRDefault="007F594E">
      <w:pPr>
        <w:pStyle w:val="a3"/>
        <w:jc w:val="center"/>
        <w:rPr>
          <w:lang w:val="en-US"/>
        </w:rPr>
      </w:pPr>
    </w:p>
    <w:p w:rsidR="007F594E" w:rsidRDefault="002218B5">
      <w:pPr>
        <w:pStyle w:val="a3"/>
        <w:jc w:val="both"/>
        <w:rPr>
          <w:sz w:val="24"/>
        </w:rPr>
      </w:pPr>
      <w:r>
        <w:rPr>
          <w:sz w:val="24"/>
        </w:rPr>
        <w:tab/>
        <w:t>Изучая экономику, нельзя не затронуть тему инфляции, поскольку это явление чрезвычайно тесно вплетено в политическую и экономическую жизнь современного общества и впрямую связано с его денежными механизмами.</w:t>
      </w:r>
    </w:p>
    <w:p w:rsidR="007F594E" w:rsidRDefault="002218B5">
      <w:pPr>
        <w:jc w:val="both"/>
        <w:rPr>
          <w:sz w:val="24"/>
        </w:rPr>
      </w:pPr>
      <w:r>
        <w:rPr>
          <w:sz w:val="24"/>
        </w:rPr>
        <w:tab/>
        <w:t xml:space="preserve">Вообще, инфляция – это постоянный рост общего уровня цен на товары и услуги, при котором падает покупательная ценность денежной единицы. </w:t>
      </w:r>
      <w:r>
        <w:rPr>
          <w:b/>
          <w:sz w:val="24"/>
        </w:rPr>
        <w:t>(1,130</w:t>
      </w:r>
      <w:r>
        <w:rPr>
          <w:sz w:val="24"/>
        </w:rPr>
        <w:t>)</w:t>
      </w:r>
    </w:p>
    <w:p w:rsidR="007F594E" w:rsidRDefault="002218B5">
      <w:pPr>
        <w:pStyle w:val="20"/>
        <w:rPr>
          <w:sz w:val="24"/>
        </w:rPr>
      </w:pPr>
      <w:r>
        <w:tab/>
      </w:r>
      <w:r>
        <w:rPr>
          <w:sz w:val="24"/>
        </w:rPr>
        <w:t>Под инфляцией понимается дисбаланс спроса и предложения, других пропорций национального хозяйства, проявляющийся в росте цен. Но это не означает, что в период инфляции растут все цены. Цены на одни товары могут расти, на другие оставаться стабильными; цены на одни товары и услуги могут расти быстрее, чем на остальные. Например, в отраслях высокой технологии, где происходит наиболее быстрое внедрение достижений науки, производство новой потребительской продукции довольно часто сопровождается снижением цен при одновременном быстром росте величины спроса. В основах этих пропорций лежит разное соотношение между спросом и предложением и различная эластичность.</w:t>
      </w:r>
    </w:p>
    <w:p w:rsidR="007F594E" w:rsidRDefault="002218B5">
      <w:pPr>
        <w:jc w:val="both"/>
        <w:rPr>
          <w:sz w:val="28"/>
        </w:rPr>
      </w:pPr>
      <w:r>
        <w:rPr>
          <w:sz w:val="24"/>
        </w:rPr>
        <w:tab/>
        <w:t>В США, например, период 1967 – 1982 называют Великой инфляцией. Все эти годы общий уровень цен повышался в среднем на 10%, что создавало серьезные трудности для принятия  экономических решений на долгосрочный период и серьезно мешало экономическому развитию страны.</w:t>
      </w:r>
    </w:p>
    <w:p w:rsidR="007F594E" w:rsidRDefault="002218B5">
      <w:pPr>
        <w:pStyle w:val="3"/>
        <w:rPr>
          <w:b/>
        </w:rPr>
      </w:pPr>
      <w:r>
        <w:rPr>
          <w:b/>
        </w:rPr>
        <w:t>2.2. Индекс цен.</w:t>
      </w:r>
    </w:p>
    <w:p w:rsidR="007F594E" w:rsidRDefault="007F594E">
      <w:pPr>
        <w:jc w:val="center"/>
        <w:rPr>
          <w:sz w:val="24"/>
        </w:rPr>
      </w:pPr>
    </w:p>
    <w:p w:rsidR="007F594E" w:rsidRDefault="002218B5">
      <w:pPr>
        <w:pStyle w:val="20"/>
        <w:rPr>
          <w:sz w:val="24"/>
        </w:rPr>
      </w:pPr>
      <w:r>
        <w:rPr>
          <w:sz w:val="24"/>
        </w:rPr>
        <w:tab/>
        <w:t>Инфляция может быть измерена с помощью специальных относительных показателей роста цен, так называемых индексов цен. Для вычисления индекса цен берут соотношения между совокупной ценой товаров и услуг определенного набора («рыночной корзины») для временного периода и совокупной ценой идентичной или сходной группы товаров и услуг в базовом периоде. Выражается индекс цен обычно в процентах:</w:t>
      </w:r>
    </w:p>
    <w:p w:rsidR="007F594E" w:rsidRDefault="007F594E">
      <w:pPr>
        <w:pStyle w:val="20"/>
        <w:rPr>
          <w:sz w:val="24"/>
        </w:rPr>
      </w:pPr>
    </w:p>
    <w:p w:rsidR="007F594E" w:rsidRDefault="002218B5">
      <w:pPr>
        <w:pStyle w:val="20"/>
        <w:rPr>
          <w:sz w:val="24"/>
        </w:rPr>
      </w:pPr>
      <w:r>
        <w:rPr>
          <w:sz w:val="24"/>
        </w:rPr>
        <w:t>Индекс цен</w:t>
      </w:r>
      <w:r>
        <w:rPr>
          <w:sz w:val="24"/>
        </w:rPr>
        <w:tab/>
      </w:r>
      <w:r>
        <w:rPr>
          <w:sz w:val="24"/>
        </w:rPr>
        <w:tab/>
        <w:t>Цена «рыночной корзины» в данном периоде</w:t>
      </w:r>
    </w:p>
    <w:p w:rsidR="007F594E" w:rsidRDefault="00381D8B">
      <w:pPr>
        <w:pStyle w:val="20"/>
        <w:rPr>
          <w:sz w:val="24"/>
        </w:rPr>
      </w:pPr>
      <w:r>
        <w:rPr>
          <w:noProof/>
          <w:sz w:val="24"/>
        </w:rPr>
        <w:pict>
          <v:line id="_x0000_s1141" style="position:absolute;left:0;text-align:left;z-index:251657728;mso-position-horizontal:absolute;mso-position-horizontal-relative:text;mso-position-vertical:absolute;mso-position-vertical-relative:text" from="94.5pt,1.95pt" to="346.5pt,1.95pt" o:allowincell="f"/>
        </w:pict>
      </w:r>
      <w:r w:rsidR="002218B5">
        <w:rPr>
          <w:sz w:val="24"/>
        </w:rPr>
        <w:t>в данном</w:t>
      </w:r>
      <w:r w:rsidR="002218B5">
        <w:rPr>
          <w:sz w:val="24"/>
        </w:rPr>
        <w:tab/>
        <w:t>=</w:t>
      </w:r>
      <w:r w:rsidR="002218B5">
        <w:rPr>
          <w:sz w:val="24"/>
        </w:rPr>
        <w:tab/>
        <w:t>Цена аналогичной рыночной корзины</w:t>
      </w:r>
      <w:r w:rsidR="002218B5">
        <w:rPr>
          <w:sz w:val="24"/>
        </w:rPr>
        <w:tab/>
      </w:r>
      <w:r w:rsidR="002218B5">
        <w:rPr>
          <w:sz w:val="24"/>
        </w:rPr>
        <w:tab/>
        <w:t xml:space="preserve">х 100.    </w:t>
      </w:r>
      <w:r w:rsidR="002218B5">
        <w:rPr>
          <w:b/>
          <w:sz w:val="24"/>
        </w:rPr>
        <w:t>(2, 282)</w:t>
      </w:r>
    </w:p>
    <w:p w:rsidR="007F594E" w:rsidRDefault="002218B5">
      <w:pPr>
        <w:pStyle w:val="20"/>
        <w:rPr>
          <w:sz w:val="24"/>
        </w:rPr>
      </w:pPr>
      <w:r>
        <w:rPr>
          <w:sz w:val="24"/>
        </w:rPr>
        <w:t>периоде, %</w:t>
      </w:r>
      <w:r>
        <w:rPr>
          <w:sz w:val="24"/>
        </w:rPr>
        <w:tab/>
        <w:t xml:space="preserve">            </w:t>
      </w:r>
      <w:r>
        <w:rPr>
          <w:sz w:val="24"/>
        </w:rPr>
        <w:tab/>
        <w:t xml:space="preserve">    в базовом периоде</w:t>
      </w:r>
    </w:p>
    <w:p w:rsidR="007F594E" w:rsidRDefault="007F594E">
      <w:pPr>
        <w:pStyle w:val="20"/>
        <w:rPr>
          <w:sz w:val="24"/>
        </w:rPr>
      </w:pPr>
    </w:p>
    <w:p w:rsidR="007F594E" w:rsidRDefault="002218B5">
      <w:pPr>
        <w:pStyle w:val="20"/>
        <w:rPr>
          <w:sz w:val="24"/>
        </w:rPr>
      </w:pPr>
      <w:r>
        <w:rPr>
          <w:sz w:val="24"/>
        </w:rPr>
        <w:tab/>
        <w:t>На практике чаще всего используют индекс валового национального продукта, индекс потребительских цен и индекс оптовых цен. С помощью индекса потребительских цен измеряются цены фиксированной «рыночной корзины» потребительских товаров. Для измерения общего уровня цен более приспособлен индекс валового национального продукта (его также называют дефлятором валового национального продукта).</w:t>
      </w:r>
    </w:p>
    <w:p w:rsidR="007F594E" w:rsidRDefault="007F594E">
      <w:pPr>
        <w:pStyle w:val="20"/>
        <w:jc w:val="center"/>
        <w:rPr>
          <w:sz w:val="24"/>
        </w:rPr>
      </w:pPr>
    </w:p>
    <w:p w:rsidR="007F594E" w:rsidRDefault="002218B5">
      <w:pPr>
        <w:pStyle w:val="20"/>
        <w:jc w:val="center"/>
        <w:rPr>
          <w:b/>
        </w:rPr>
      </w:pPr>
      <w:r>
        <w:rPr>
          <w:b/>
        </w:rPr>
        <w:t>2.3. Виды инфляции.</w:t>
      </w:r>
    </w:p>
    <w:p w:rsidR="007F594E" w:rsidRDefault="007F594E">
      <w:pPr>
        <w:pStyle w:val="20"/>
      </w:pPr>
    </w:p>
    <w:p w:rsidR="007F594E" w:rsidRDefault="002218B5">
      <w:pPr>
        <w:pStyle w:val="20"/>
        <w:rPr>
          <w:sz w:val="24"/>
        </w:rPr>
      </w:pPr>
      <w:r>
        <w:tab/>
      </w:r>
      <w:r>
        <w:rPr>
          <w:sz w:val="24"/>
        </w:rPr>
        <w:t>Темп роста цен (индекса цен) является первым из трех критериев при определении вида инфляции. Другой критерий – степень расхождения роста цен по различным группам (т.е. соотносительность роста цен по различным товарным группам). Третий критерий – ожидаемость и предсказуемость инфляции.</w:t>
      </w:r>
    </w:p>
    <w:p w:rsidR="007F594E" w:rsidRDefault="002218B5">
      <w:pPr>
        <w:pStyle w:val="20"/>
        <w:rPr>
          <w:sz w:val="24"/>
        </w:rPr>
      </w:pPr>
      <w:r>
        <w:rPr>
          <w:sz w:val="24"/>
        </w:rPr>
        <w:tab/>
        <w:t>Рассмотрим виды инфляции с позиции темпа роста цен. ( первый критерий), т.е. преимущественно количественно. В этом плане выделяют три вида инфляции: умеренная (цены растут менее 10% в год, стоимость денег сохраняется, отсутствует риск подписания контрактов в номинальных ценах); галопирующая инфляция ( рост цен измеряется сотнями процентов в год, контракты «привязываются» к росту цен, деньги ускоренно материализуются ) и гиперинфляция (цены растут астрономическими темпами, расхождение цен и заработной платы становится катастрофическим).</w:t>
      </w:r>
    </w:p>
    <w:p w:rsidR="007F594E" w:rsidRDefault="002218B5">
      <w:pPr>
        <w:pStyle w:val="20"/>
        <w:rPr>
          <w:sz w:val="24"/>
        </w:rPr>
      </w:pPr>
      <w:r>
        <w:rPr>
          <w:sz w:val="24"/>
        </w:rPr>
        <w:tab/>
        <w:t>По степени сбалансированности роста цен выделяются два вида инфляции: сбалансированная инфляция и несбалансированная инфляция.</w:t>
      </w:r>
    </w:p>
    <w:p w:rsidR="007F594E" w:rsidRDefault="002218B5">
      <w:pPr>
        <w:pStyle w:val="20"/>
        <w:rPr>
          <w:sz w:val="24"/>
        </w:rPr>
      </w:pPr>
      <w:r>
        <w:rPr>
          <w:sz w:val="24"/>
        </w:rPr>
        <w:tab/>
        <w:t>При сбалансированной инфляции цены различных товаров относительно друг друга остаются неизменными, а при несбалансированной - цены различных товаров постоянно изменяются по отношении друг к другу, причем в различных пропорциях.</w:t>
      </w:r>
    </w:p>
    <w:p w:rsidR="007F594E" w:rsidRDefault="002218B5">
      <w:pPr>
        <w:pStyle w:val="20"/>
        <w:rPr>
          <w:sz w:val="24"/>
        </w:rPr>
      </w:pPr>
      <w:r>
        <w:rPr>
          <w:sz w:val="24"/>
        </w:rPr>
        <w:tab/>
        <w:t>С точки зрения третьего критерия (ожидаемость или предсказуемость) выделяют: ожидаемую инфляцию и неожидаемую инфляцию. Под ожидаемой понимается инфляция, которая предсказывается или прогнозируется заранее.</w:t>
      </w:r>
    </w:p>
    <w:p w:rsidR="007F594E" w:rsidRDefault="007F594E">
      <w:pPr>
        <w:pStyle w:val="20"/>
        <w:rPr>
          <w:sz w:val="24"/>
        </w:rPr>
      </w:pPr>
    </w:p>
    <w:p w:rsidR="007F594E" w:rsidRDefault="002218B5">
      <w:pPr>
        <w:pStyle w:val="20"/>
        <w:jc w:val="center"/>
        <w:rPr>
          <w:b/>
        </w:rPr>
      </w:pPr>
      <w:r>
        <w:rPr>
          <w:b/>
        </w:rPr>
        <w:t>2.4. Причины возникновения инфляции.</w:t>
      </w:r>
    </w:p>
    <w:p w:rsidR="007F594E" w:rsidRDefault="007F594E">
      <w:pPr>
        <w:pStyle w:val="20"/>
        <w:rPr>
          <w:b/>
        </w:rPr>
      </w:pPr>
    </w:p>
    <w:p w:rsidR="007F594E" w:rsidRDefault="002218B5">
      <w:pPr>
        <w:pStyle w:val="20"/>
        <w:rPr>
          <w:sz w:val="24"/>
        </w:rPr>
      </w:pPr>
      <w:r>
        <w:rPr>
          <w:sz w:val="24"/>
        </w:rPr>
        <w:tab/>
        <w:t>Основные причины постоянного роста цен – нарушение нормального соотношения между количеством денег, которое в данный момент обращается в экономике и массой товаров, имеющиеся на рынке. Это соотношение задается так называемым уравнением обмена, выведенным ученым – экономистом И. Фишером:</w:t>
      </w:r>
    </w:p>
    <w:p w:rsidR="007F594E" w:rsidRDefault="002218B5">
      <w:pPr>
        <w:pStyle w:val="20"/>
        <w:rPr>
          <w:sz w:val="24"/>
        </w:rPr>
      </w:pPr>
      <w:r>
        <w:rPr>
          <w:sz w:val="24"/>
        </w:rPr>
        <w:t xml:space="preserve">М * </w:t>
      </w:r>
      <w:r>
        <w:rPr>
          <w:sz w:val="24"/>
          <w:lang w:val="en-US"/>
        </w:rPr>
        <w:t>V = P * Q</w:t>
      </w:r>
      <w:r>
        <w:rPr>
          <w:sz w:val="24"/>
        </w:rPr>
        <w:t xml:space="preserve"> ,</w:t>
      </w:r>
    </w:p>
    <w:p w:rsidR="007F594E" w:rsidRDefault="002218B5">
      <w:pPr>
        <w:pStyle w:val="20"/>
        <w:rPr>
          <w:sz w:val="24"/>
        </w:rPr>
      </w:pPr>
      <w:r>
        <w:rPr>
          <w:sz w:val="24"/>
        </w:rPr>
        <w:t>Где М</w:t>
      </w:r>
      <w:r>
        <w:rPr>
          <w:sz w:val="24"/>
          <w:lang w:val="en-US"/>
        </w:rPr>
        <w:t xml:space="preserve"> (mass) – </w:t>
      </w:r>
      <w:r>
        <w:rPr>
          <w:sz w:val="24"/>
        </w:rPr>
        <w:t xml:space="preserve">масса денег, </w:t>
      </w:r>
      <w:r>
        <w:rPr>
          <w:sz w:val="24"/>
          <w:lang w:val="en-US"/>
        </w:rPr>
        <w:t xml:space="preserve">V (velocity) – </w:t>
      </w:r>
      <w:r>
        <w:rPr>
          <w:sz w:val="24"/>
        </w:rPr>
        <w:t>скорость обращения денег (т.е. число, показывающее, сколько раз в среднем за год денежная единица расходовалась на покупку товаров); Р</w:t>
      </w:r>
      <w:r>
        <w:rPr>
          <w:sz w:val="24"/>
          <w:lang w:val="en-US"/>
        </w:rPr>
        <w:t xml:space="preserve"> (price)</w:t>
      </w:r>
      <w:r>
        <w:rPr>
          <w:sz w:val="24"/>
        </w:rPr>
        <w:t xml:space="preserve"> – цены всех продаваемых в стране товаров (уровень цен или совокупная цена); </w:t>
      </w:r>
      <w:r>
        <w:rPr>
          <w:sz w:val="24"/>
          <w:lang w:val="en-US"/>
        </w:rPr>
        <w:t xml:space="preserve">Q (quantity)    - количество товаров, продаваемых в стране. </w:t>
      </w:r>
      <w:r>
        <w:rPr>
          <w:sz w:val="24"/>
        </w:rPr>
        <w:t>Можно записать эту формулу иначе:</w:t>
      </w:r>
    </w:p>
    <w:p w:rsidR="007F594E" w:rsidRDefault="002218B5">
      <w:pPr>
        <w:pStyle w:val="20"/>
        <w:rPr>
          <w:sz w:val="24"/>
          <w:lang w:val="en-US"/>
        </w:rPr>
      </w:pPr>
      <w:r>
        <w:rPr>
          <w:sz w:val="24"/>
          <w:lang w:val="en-US"/>
        </w:rPr>
        <w:t xml:space="preserve">       MV</w:t>
      </w:r>
    </w:p>
    <w:p w:rsidR="007F594E" w:rsidRDefault="00381D8B">
      <w:pPr>
        <w:pStyle w:val="20"/>
        <w:rPr>
          <w:sz w:val="24"/>
        </w:rPr>
      </w:pPr>
      <w:r>
        <w:rPr>
          <w:noProof/>
          <w:sz w:val="24"/>
        </w:rPr>
        <w:pict>
          <v:line id="_x0000_s1026" style="position:absolute;left:0;text-align:left;z-index:251654656;mso-position-horizontal:absolute;mso-position-horizontal-relative:text;mso-position-vertical:absolute;mso-position-vertical-relative:text" from="22.5pt,2.95pt" to="44.1pt,2.95pt" o:allowincell="f"/>
        </w:pict>
      </w:r>
      <w:r w:rsidR="002218B5">
        <w:rPr>
          <w:sz w:val="24"/>
          <w:lang w:val="en-US"/>
        </w:rPr>
        <w:t xml:space="preserve">P =   Q   </w:t>
      </w:r>
      <w:r w:rsidR="002218B5">
        <w:rPr>
          <w:sz w:val="24"/>
        </w:rPr>
        <w:t>.</w:t>
      </w:r>
    </w:p>
    <w:p w:rsidR="007F594E" w:rsidRDefault="002218B5">
      <w:pPr>
        <w:pStyle w:val="20"/>
        <w:rPr>
          <w:i/>
          <w:sz w:val="24"/>
        </w:rPr>
      </w:pPr>
      <w:r>
        <w:rPr>
          <w:sz w:val="24"/>
        </w:rPr>
        <w:tab/>
        <w:t>Это показывает, что уровень цен (Р) прямо зависит от величины денежной массы (М) и скорости обращения денег (</w:t>
      </w:r>
      <w:r>
        <w:rPr>
          <w:sz w:val="24"/>
          <w:lang w:val="en-US"/>
        </w:rPr>
        <w:t>V</w:t>
      </w:r>
      <w:r>
        <w:rPr>
          <w:sz w:val="24"/>
        </w:rPr>
        <w:t xml:space="preserve">). Скажем, к августу 1993 года скорость обращения денег в России возросла до 0,17 против 0,13, т.е. в 1,3 раза. Нетрудно понять, что это и стало одним из факторов повышения темпов инфляции в мае – августе того же года в 1,53 раза ( с 19 до 29%). </w:t>
      </w:r>
      <w:r>
        <w:rPr>
          <w:b/>
          <w:sz w:val="24"/>
        </w:rPr>
        <w:t>(1, 137</w:t>
      </w:r>
      <w:r>
        <w:rPr>
          <w:i/>
          <w:sz w:val="24"/>
        </w:rPr>
        <w:t>)</w:t>
      </w:r>
    </w:p>
    <w:p w:rsidR="007F594E" w:rsidRDefault="002218B5">
      <w:pPr>
        <w:pStyle w:val="20"/>
        <w:ind w:firstLine="720"/>
        <w:rPr>
          <w:sz w:val="24"/>
          <w:lang w:val="en-US"/>
        </w:rPr>
      </w:pPr>
      <w:r>
        <w:rPr>
          <w:sz w:val="24"/>
        </w:rPr>
        <w:t>Конечно, рост производимой и продаваемой в стране товарной массы требует и увеличения массы денег для своего обслуживания. Но если денежная масса увеличивается слишком быстро в сравнении с ростом товарной массы, то деньги как бы теряют свое «товарное наполнение» и становятся менее ценными, чем прежде (слишком много денег гоняется за слишком малым количеством товаров). В такой ситуации цены, если их измерять в деньгах (существуют ведь и натуральные цены, когда товары меняют друг на друга в некотором соотношении без участия денег), начинают расти. Образно говоря, цены «всплывают» на поднявшейся денежной массе. И этот рост, обусловленный избыточным обилием денег, и есть главная причина стойкого роста цен. Особенно отчетливо это видно на примере России, где в 1993 г. главной причиной абсолютно неприемлемой инфляции была постоянная «накачка» денежной массы Центральным банком.</w:t>
      </w:r>
    </w:p>
    <w:p w:rsidR="007F594E" w:rsidRDefault="002218B5">
      <w:pPr>
        <w:pStyle w:val="20"/>
        <w:rPr>
          <w:sz w:val="24"/>
        </w:rPr>
      </w:pPr>
      <w:r>
        <w:rPr>
          <w:sz w:val="24"/>
          <w:lang w:val="en-US"/>
        </w:rPr>
        <w:tab/>
      </w:r>
      <w:r>
        <w:rPr>
          <w:sz w:val="24"/>
        </w:rPr>
        <w:t>Повышение цен и появление излишнего количества денег – это лишь внешние проявления инфляции; его глубинной причиной является нарушение пропорций национального хозяйства.</w:t>
      </w:r>
    </w:p>
    <w:p w:rsidR="007F594E" w:rsidRDefault="002218B5">
      <w:pPr>
        <w:pStyle w:val="20"/>
        <w:rPr>
          <w:sz w:val="24"/>
        </w:rPr>
      </w:pPr>
      <w:r>
        <w:rPr>
          <w:sz w:val="24"/>
        </w:rPr>
        <w:tab/>
        <w:t>В мировой экономической литературе выделяют три основные силы, приводящие  к дисбалансу национального хозяйства и инфляции.</w:t>
      </w:r>
    </w:p>
    <w:p w:rsidR="007F594E" w:rsidRDefault="002218B5">
      <w:pPr>
        <w:pStyle w:val="20"/>
        <w:numPr>
          <w:ilvl w:val="0"/>
          <w:numId w:val="5"/>
        </w:numPr>
        <w:rPr>
          <w:sz w:val="24"/>
        </w:rPr>
      </w:pPr>
      <w:r>
        <w:rPr>
          <w:sz w:val="24"/>
        </w:rPr>
        <w:t>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w:t>
      </w:r>
    </w:p>
    <w:p w:rsidR="007F594E" w:rsidRDefault="002218B5">
      <w:pPr>
        <w:pStyle w:val="20"/>
        <w:numPr>
          <w:ilvl w:val="0"/>
          <w:numId w:val="5"/>
        </w:numPr>
        <w:rPr>
          <w:sz w:val="24"/>
        </w:rPr>
      </w:pPr>
      <w:r>
        <w:rPr>
          <w:sz w:val="24"/>
        </w:rPr>
        <w:t>Профсоюзная монополия, задающая размер и продолжительность того или иного уровня заработной платы.</w:t>
      </w:r>
    </w:p>
    <w:p w:rsidR="007F594E" w:rsidRDefault="002218B5">
      <w:pPr>
        <w:pStyle w:val="20"/>
        <w:numPr>
          <w:ilvl w:val="0"/>
          <w:numId w:val="5"/>
        </w:numPr>
        <w:rPr>
          <w:sz w:val="24"/>
        </w:rPr>
      </w:pPr>
      <w:r>
        <w:rPr>
          <w:sz w:val="24"/>
        </w:rPr>
        <w:t>Монополия крупнейших фирм на определение издержек и цен.</w:t>
      </w:r>
    </w:p>
    <w:p w:rsidR="007F594E" w:rsidRDefault="002218B5">
      <w:pPr>
        <w:pStyle w:val="20"/>
        <w:ind w:left="360" w:firstLine="360"/>
        <w:rPr>
          <w:sz w:val="24"/>
        </w:rPr>
      </w:pPr>
      <w:r>
        <w:rPr>
          <w:sz w:val="24"/>
        </w:rPr>
        <w:t>Все эти три причины взаимосвязаны и каждая из них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7F594E" w:rsidRDefault="007F594E">
      <w:pPr>
        <w:pStyle w:val="20"/>
        <w:ind w:left="360"/>
        <w:rPr>
          <w:sz w:val="24"/>
        </w:rPr>
      </w:pPr>
    </w:p>
    <w:p w:rsidR="007F594E" w:rsidRDefault="002218B5">
      <w:pPr>
        <w:pStyle w:val="20"/>
        <w:ind w:left="360"/>
        <w:jc w:val="center"/>
        <w:rPr>
          <w:b/>
        </w:rPr>
      </w:pPr>
      <w:r>
        <w:rPr>
          <w:b/>
        </w:rPr>
        <w:t>2.5.Инфляция спроса.</w:t>
      </w:r>
    </w:p>
    <w:p w:rsidR="007F594E" w:rsidRDefault="007F594E">
      <w:pPr>
        <w:pStyle w:val="20"/>
        <w:ind w:left="360"/>
        <w:jc w:val="center"/>
      </w:pPr>
    </w:p>
    <w:p w:rsidR="007F594E" w:rsidRDefault="002218B5">
      <w:pPr>
        <w:pStyle w:val="20"/>
        <w:ind w:left="360"/>
        <w:rPr>
          <w:sz w:val="24"/>
        </w:rPr>
      </w:pPr>
      <w:r>
        <w:rPr>
          <w:sz w:val="24"/>
        </w:rPr>
        <w:tab/>
        <w:t>Инфляция спроса – это результат увеличение совокупного спроса, из–за которого кривая совокупного спроса сдвигается вправо с одновременным повышением уровня всех цен.</w:t>
      </w:r>
    </w:p>
    <w:p w:rsidR="007F594E" w:rsidRDefault="002218B5">
      <w:pPr>
        <w:pStyle w:val="20"/>
        <w:ind w:left="360"/>
        <w:rPr>
          <w:sz w:val="24"/>
        </w:rPr>
      </w:pPr>
      <w:r>
        <w:rPr>
          <w:sz w:val="24"/>
        </w:rPr>
        <w:tab/>
        <w:t xml:space="preserve">В такой ситуации экономика будет работать как бы выше уровня полного использования (полной занятости) всех производственных ресурсов. Но поскольку реально это невозможно, то возникает ситуация кратковременного (поначалу) завышения оценки обществом товаров и услуг, произведенных из имеющихся ресурсов. </w:t>
      </w:r>
    </w:p>
    <w:p w:rsidR="007F594E" w:rsidRDefault="002218B5">
      <w:pPr>
        <w:pStyle w:val="20"/>
        <w:ind w:left="360"/>
        <w:rPr>
          <w:sz w:val="24"/>
        </w:rPr>
      </w:pPr>
      <w:r>
        <w:rPr>
          <w:sz w:val="24"/>
        </w:rPr>
        <w:tab/>
        <w:t>В дальнейшем ситуация будет развиваться следующим образом:</w:t>
      </w:r>
    </w:p>
    <w:p w:rsidR="007F594E" w:rsidRDefault="007F594E">
      <w:pPr>
        <w:pStyle w:val="20"/>
        <w:ind w:left="360"/>
        <w:rPr>
          <w:sz w:val="24"/>
        </w:rPr>
      </w:pPr>
    </w:p>
    <w:p w:rsidR="007F594E" w:rsidRDefault="00381D8B">
      <w:pPr>
        <w:pStyle w:val="20"/>
        <w:ind w:left="360"/>
        <w:rPr>
          <w:b/>
          <w:sz w:val="24"/>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0;text-align:left;margin-left:.9pt;margin-top:5.3pt;width:300pt;height:206.25pt;z-index:251658752;mso-position-horizontal:absolute;mso-position-horizontal-relative:text;mso-position-vertical:absolute;mso-position-vertical-relative:text" o:allowincell="f">
            <v:imagedata r:id="rId5" o:title=""/>
            <w10:wrap type="topAndBottom"/>
          </v:shape>
          <o:OLEObject Type="Embed" ProgID="PBrush" ShapeID="_x0000_s1151" DrawAspect="Content" ObjectID="_1468870003" r:id="rId6"/>
        </w:object>
      </w:r>
      <w:r>
        <w:rPr>
          <w:b/>
          <w:noProof/>
          <w:sz w:val="24"/>
        </w:rPr>
        <w:pict>
          <v:rect id="_x0000_s1134" style="position:absolute;left:0;text-align:left;margin-left:8.1pt;margin-top:-6.3pt;width:273.6pt;height:7.2pt;z-index:251656704;mso-position-horizontal:absolute;mso-position-horizontal-relative:text;mso-position-vertical:absolute;mso-position-vertical-relative:text" o:allowincell="f" strokecolor="white"/>
        </w:pict>
      </w:r>
      <w:r w:rsidR="002218B5">
        <w:rPr>
          <w:b/>
          <w:sz w:val="24"/>
        </w:rPr>
        <w:t>Рис.1. Возникновение инфляции спроса.    (1,131)</w:t>
      </w:r>
    </w:p>
    <w:p w:rsidR="007F594E" w:rsidRDefault="00381D8B">
      <w:pPr>
        <w:pStyle w:val="20"/>
        <w:ind w:left="360"/>
        <w:rPr>
          <w:sz w:val="24"/>
        </w:rPr>
      </w:pPr>
      <w:r>
        <w:rPr>
          <w:noProof/>
          <w:sz w:val="24"/>
        </w:rPr>
        <w:pict>
          <v:rect id="_x0000_s1045" style="position:absolute;left:0;text-align:left;margin-left:58.5pt;margin-top:22.5pt;width:21.6pt;height:14.4pt;z-index:251655680;mso-position-horizontal:absolute;mso-position-horizontal-relative:text;mso-position-vertical:absolute;mso-position-vertical-relative:text" o:allowincell="f" strokecolor="white"/>
        </w:pict>
      </w:r>
      <w:r w:rsidR="002218B5">
        <w:rPr>
          <w:sz w:val="24"/>
        </w:rPr>
        <w:tab/>
        <w:t>Вообще, инфляция спроса имеет место в том случае, когда денежные расходы населения и предприятий растут быстрее, чем реальный объем товаров и услуг. Этот тип инфляции имеет место при полной занятости. Причем спрос может быть увеличен как то лица государства (рост военных и социальных заказов), так и от лица предпринимателя (например, повышение спроса на товары).</w:t>
      </w:r>
    </w:p>
    <w:p w:rsidR="007F594E" w:rsidRDefault="002218B5">
      <w:pPr>
        <w:pStyle w:val="20"/>
        <w:ind w:left="360"/>
        <w:rPr>
          <w:sz w:val="24"/>
        </w:rPr>
      </w:pPr>
      <w:r>
        <w:rPr>
          <w:sz w:val="24"/>
        </w:rPr>
        <w:tab/>
        <w:t>Допустим, что экономика близка к полной занятости и загруженности производственных мощностей. Рост расходов населения, предприятий и государства на потребление смещает кривую совокупного спроса вверх из положения СС в положение СС</w:t>
      </w:r>
      <w:r>
        <w:rPr>
          <w:sz w:val="24"/>
          <w:vertAlign w:val="subscript"/>
        </w:rPr>
        <w:t xml:space="preserve">1 </w:t>
      </w:r>
      <w:r>
        <w:rPr>
          <w:sz w:val="24"/>
        </w:rPr>
        <w:t>(рис.1). Соответственно, наблюдается и рост цен, положение которых в конечном итоге зафиксируется на уровне УЦ</w:t>
      </w:r>
      <w:r>
        <w:rPr>
          <w:sz w:val="24"/>
          <w:vertAlign w:val="subscript"/>
        </w:rPr>
        <w:t xml:space="preserve">» </w:t>
      </w:r>
      <w:r>
        <w:rPr>
          <w:sz w:val="24"/>
        </w:rPr>
        <w:t>.</w:t>
      </w:r>
    </w:p>
    <w:p w:rsidR="007F594E" w:rsidRDefault="007F594E">
      <w:pPr>
        <w:pStyle w:val="20"/>
        <w:ind w:left="360"/>
        <w:rPr>
          <w:sz w:val="24"/>
        </w:rPr>
        <w:sectPr w:rsidR="007F594E">
          <w:pgSz w:w="11906" w:h="16838"/>
          <w:pgMar w:top="1134" w:right="1134" w:bottom="1134" w:left="1134" w:header="720" w:footer="720" w:gutter="0"/>
          <w:cols w:space="720"/>
        </w:sectPr>
      </w:pPr>
    </w:p>
    <w:p w:rsidR="007F594E" w:rsidRDefault="007F594E">
      <w:pPr>
        <w:pStyle w:val="20"/>
        <w:ind w:left="360"/>
        <w:rPr>
          <w:sz w:val="24"/>
        </w:rPr>
      </w:pPr>
    </w:p>
    <w:p w:rsidR="007F594E" w:rsidRDefault="002218B5">
      <w:pPr>
        <w:pStyle w:val="a4"/>
        <w:ind w:firstLine="360"/>
        <w:jc w:val="center"/>
        <w:rPr>
          <w:sz w:val="32"/>
        </w:rPr>
      </w:pPr>
      <w:r>
        <w:rPr>
          <w:rFonts w:ascii="Times New Roman" w:hAnsi="Times New Roman"/>
          <w:b/>
          <w:sz w:val="28"/>
        </w:rPr>
        <w:t>2.6. Инфляция предложения</w:t>
      </w:r>
      <w:r>
        <w:rPr>
          <w:sz w:val="32"/>
        </w:rPr>
        <w:t>.</w:t>
      </w:r>
    </w:p>
    <w:p w:rsidR="007F594E" w:rsidRDefault="007F594E">
      <w:pPr>
        <w:pStyle w:val="a4"/>
        <w:ind w:firstLine="360"/>
        <w:jc w:val="center"/>
        <w:rPr>
          <w:sz w:val="32"/>
        </w:rPr>
      </w:pPr>
    </w:p>
    <w:p w:rsidR="007F594E" w:rsidRDefault="002218B5">
      <w:pPr>
        <w:pStyle w:val="20"/>
        <w:ind w:left="360" w:firstLine="360"/>
        <w:rPr>
          <w:sz w:val="24"/>
        </w:rPr>
      </w:pPr>
      <w:r>
        <w:rPr>
          <w:sz w:val="24"/>
        </w:rPr>
        <w:t>Наряду с инфляцией спроса существует и инфляция предложения. Инфляция предложения – это результат кратковременного снижения совокупного предложения, которое ведет к сдвигу влево кривой предложения и повышению уровня цен из-за усилившегося дефицита многих товаров.</w:t>
      </w:r>
    </w:p>
    <w:p w:rsidR="007F594E" w:rsidRDefault="002218B5">
      <w:pPr>
        <w:pStyle w:val="20"/>
        <w:ind w:left="360"/>
        <w:rPr>
          <w:sz w:val="24"/>
        </w:rPr>
      </w:pPr>
      <w:r>
        <w:rPr>
          <w:sz w:val="24"/>
        </w:rPr>
        <w:tab/>
        <w:t xml:space="preserve">Инфляция предложения означает рост цен, спровоцированный увеличением издержек производства в условиях недоиспользования производственных ресурсов. Повышение издержек на единицу продукции сокращает прибыли и объем продукции, которое предприятия готовы предложить при существующем уровне цен. В результате уменьшается предложение товаров и услуг, увеличиваются цены. Следовательно, не спрос, а издержки взвинчивают цены. Основными источниками инфляции предложения являются рост издержек вследствие роста заработной платы и за счет роста цен на сырье и энергию. </w:t>
      </w:r>
      <w:r>
        <w:rPr>
          <w:b/>
          <w:sz w:val="24"/>
        </w:rPr>
        <w:t>(2,284)</w:t>
      </w:r>
      <w:r>
        <w:rPr>
          <w:sz w:val="24"/>
        </w:rPr>
        <w:t>Этот тип инфляции имеет место в России.</w:t>
      </w:r>
    </w:p>
    <w:p w:rsidR="007F594E" w:rsidRDefault="002218B5">
      <w:pPr>
        <w:pStyle w:val="20"/>
        <w:ind w:left="360" w:firstLine="360"/>
        <w:rPr>
          <w:sz w:val="24"/>
        </w:rPr>
      </w:pPr>
      <w:r>
        <w:rPr>
          <w:sz w:val="24"/>
        </w:rPr>
        <w:t xml:space="preserve">  Инфляция предложения приобретает особенно неприятные формы в тех случаях, когда предложение изменяется особенно резко. Речь идет о неурожаях, внезапных взлетах цен на сырье и т.п. Например, в 1973 – 1974 гг. произошел драматический скачок мировых цен на нефть, что привело к резкому ускорению инфляции в огромном числе стран. Такие события называют шоками предложения, и они способны чрезвычайно обострить инфляционные проблемы.</w:t>
      </w:r>
    </w:p>
    <w:p w:rsidR="007F594E" w:rsidRDefault="002218B5">
      <w:pPr>
        <w:pStyle w:val="20"/>
        <w:ind w:left="360" w:firstLine="360"/>
        <w:rPr>
          <w:sz w:val="24"/>
        </w:rPr>
      </w:pPr>
      <w:r>
        <w:rPr>
          <w:sz w:val="24"/>
        </w:rPr>
        <w:t>На практике, часто одновременно, имеют место инфляция спроса и инфляция предложения.</w:t>
      </w:r>
    </w:p>
    <w:p w:rsidR="007F594E" w:rsidRDefault="007F594E">
      <w:pPr>
        <w:pStyle w:val="20"/>
        <w:ind w:left="360"/>
        <w:jc w:val="center"/>
        <w:rPr>
          <w:sz w:val="24"/>
        </w:rPr>
      </w:pPr>
    </w:p>
    <w:p w:rsidR="007F594E" w:rsidRDefault="002218B5">
      <w:pPr>
        <w:pStyle w:val="20"/>
        <w:ind w:left="360"/>
        <w:jc w:val="center"/>
        <w:rPr>
          <w:b/>
          <w:sz w:val="32"/>
        </w:rPr>
      </w:pPr>
      <w:r>
        <w:rPr>
          <w:b/>
          <w:sz w:val="32"/>
        </w:rPr>
        <w:t>3. Процессы инфляции в России.</w:t>
      </w:r>
    </w:p>
    <w:p w:rsidR="007F594E" w:rsidRDefault="002218B5">
      <w:pPr>
        <w:pStyle w:val="20"/>
        <w:ind w:left="360"/>
        <w:jc w:val="center"/>
        <w:rPr>
          <w:b/>
        </w:rPr>
      </w:pPr>
      <w:r>
        <w:rPr>
          <w:b/>
        </w:rPr>
        <w:t>3.1. Инфляция 1992-1993гг.  и ее причины.</w:t>
      </w:r>
    </w:p>
    <w:p w:rsidR="007F594E" w:rsidRDefault="002218B5">
      <w:pPr>
        <w:pStyle w:val="a4"/>
        <w:ind w:firstLine="360"/>
        <w:jc w:val="both"/>
        <w:rPr>
          <w:rFonts w:ascii="Times New Roman" w:hAnsi="Times New Roman"/>
          <w:sz w:val="24"/>
        </w:rPr>
      </w:pPr>
      <w:r>
        <w:rPr>
          <w:rFonts w:ascii="Times New Roman" w:hAnsi="Times New Roman"/>
          <w:sz w:val="24"/>
        </w:rPr>
        <w:t xml:space="preserve">0 развитии инфляционных процессов в России невозможно говорить без обращения к цифрам, показывающим темпы этой инфляции. А эти цифры говорят о том, что в 1993 г. страна подошла очень близко к грани гиперинфляции, хотя в отдельные месяцы растущее движение цен и удавалось несколько замедлить. При этом надо помнить, что здесь мы имеем дело с ростом цен, происходящим по модели сложных процентов, в силу чего общее повышение цен оказывается куда большим, чем просто сумма повышений цен за указанные выше месяцы. Итого вый рост цен за 8 месяцев 1993 г. показан на диаграмме 1. </w:t>
      </w:r>
    </w:p>
    <w:p w:rsidR="007F594E" w:rsidRDefault="007F594E">
      <w:pPr>
        <w:pStyle w:val="a4"/>
        <w:ind w:firstLine="360"/>
        <w:jc w:val="both"/>
        <w:rPr>
          <w:rFonts w:ascii="Times New Roman" w:hAnsi="Times New Roman"/>
          <w:b/>
          <w:sz w:val="24"/>
        </w:rPr>
      </w:pPr>
    </w:p>
    <w:p w:rsidR="007F594E" w:rsidRDefault="00381D8B">
      <w:pPr>
        <w:pStyle w:val="a4"/>
        <w:ind w:firstLine="360"/>
        <w:jc w:val="both"/>
        <w:rPr>
          <w:rFonts w:ascii="Times New Roman" w:hAnsi="Times New Roman"/>
          <w:b/>
          <w:sz w:val="24"/>
        </w:rPr>
      </w:pPr>
      <w:r>
        <w:object w:dxaOrig="1440" w:dyaOrig="1440">
          <v:shape id="_x0000_s1156" type="#_x0000_t75" style="position:absolute;left:0;text-align:left;margin-left:-6.3pt;margin-top:22.85pt;width:370.75pt;height:245.35pt;z-index:251659776;mso-position-horizontal:absolute;mso-position-horizontal-relative:text;mso-position-vertical:absolute;mso-position-vertical-relative:text" o:allowincell="f">
            <v:imagedata r:id="rId7" o:title=""/>
            <w10:wrap type="topAndBottom"/>
          </v:shape>
          <o:OLEObject Type="Embed" ProgID="Excel.Sheet.8" ShapeID="_x0000_s1156" DrawAspect="Content" ObjectID="_1468870004" r:id="rId8"/>
        </w:object>
      </w:r>
      <w:r w:rsidR="002218B5">
        <w:rPr>
          <w:rFonts w:ascii="Times New Roman" w:hAnsi="Times New Roman"/>
          <w:b/>
          <w:sz w:val="24"/>
        </w:rPr>
        <w:t>Диаграмма 1.</w:t>
      </w:r>
    </w:p>
    <w:p w:rsidR="007F594E" w:rsidRDefault="007F594E">
      <w:pPr>
        <w:pStyle w:val="a4"/>
        <w:ind w:firstLine="360"/>
        <w:jc w:val="both"/>
        <w:rPr>
          <w:rFonts w:ascii="Times New Roman" w:hAnsi="Times New Roman"/>
          <w:sz w:val="24"/>
        </w:rPr>
      </w:pPr>
    </w:p>
    <w:p w:rsidR="007F594E" w:rsidRDefault="007F594E">
      <w:pPr>
        <w:pStyle w:val="a4"/>
        <w:ind w:firstLine="360"/>
        <w:jc w:val="both"/>
        <w:rPr>
          <w:rFonts w:ascii="Times New Roman" w:hAnsi="Times New Roman"/>
          <w:sz w:val="24"/>
        </w:rPr>
      </w:pPr>
    </w:p>
    <w:p w:rsidR="007F594E" w:rsidRDefault="007F594E">
      <w:pPr>
        <w:pStyle w:val="a4"/>
        <w:ind w:firstLine="360"/>
        <w:jc w:val="both"/>
        <w:rPr>
          <w:rFonts w:ascii="Times New Roman" w:hAnsi="Times New Roman"/>
          <w:sz w:val="24"/>
        </w:rPr>
      </w:pPr>
    </w:p>
    <w:p w:rsidR="007F594E" w:rsidRDefault="002218B5">
      <w:pPr>
        <w:pStyle w:val="a4"/>
        <w:ind w:firstLine="360"/>
        <w:jc w:val="both"/>
        <w:rPr>
          <w:rFonts w:ascii="Times New Roman" w:hAnsi="Times New Roman"/>
          <w:sz w:val="24"/>
        </w:rPr>
      </w:pPr>
      <w:r>
        <w:rPr>
          <w:rFonts w:ascii="Times New Roman" w:hAnsi="Times New Roman"/>
          <w:sz w:val="24"/>
        </w:rPr>
        <w:t xml:space="preserve">Нижеприведенная таблица 1 характеризует темпы роста цен в 1993г. </w:t>
      </w:r>
    </w:p>
    <w:p w:rsidR="007F594E" w:rsidRDefault="002218B5">
      <w:pPr>
        <w:pStyle w:val="a4"/>
        <w:ind w:firstLine="36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7F594E" w:rsidRDefault="002218B5">
      <w:pPr>
        <w:pStyle w:val="a4"/>
        <w:ind w:left="2880" w:firstLine="720"/>
        <w:jc w:val="both"/>
        <w:rPr>
          <w:rFonts w:ascii="Times New Roman" w:hAnsi="Times New Roman"/>
          <w:b/>
          <w:sz w:val="24"/>
        </w:rPr>
      </w:pPr>
      <w:r>
        <w:rPr>
          <w:rFonts w:ascii="Times New Roman" w:hAnsi="Times New Roman"/>
          <w:sz w:val="24"/>
        </w:rPr>
        <w:t xml:space="preserve">Таблица 1. </w:t>
      </w:r>
      <w:r>
        <w:rPr>
          <w:rFonts w:ascii="Times New Roman" w:hAnsi="Times New Roman"/>
          <w:b/>
          <w:sz w:val="24"/>
        </w:rPr>
        <w:t>(1,134)</w:t>
      </w:r>
    </w:p>
    <w:p w:rsidR="007F594E" w:rsidRDefault="002218B5">
      <w:pPr>
        <w:pStyle w:val="a4"/>
        <w:jc w:val="both"/>
        <w:rPr>
          <w:rFonts w:ascii="Times New Roman" w:hAnsi="Times New Roman"/>
          <w:sz w:val="24"/>
        </w:rPr>
      </w:pPr>
      <w:r>
        <w:rPr>
          <w:rFonts w:ascii="Times New Roman" w:hAnsi="Times New Roman"/>
          <w:sz w:val="24"/>
        </w:rPr>
        <w:t>Темпы роста цен (в % к предыдущему месяцу)</w:t>
      </w:r>
    </w:p>
    <w:tbl>
      <w:tblPr>
        <w:tblW w:w="0" w:type="auto"/>
        <w:tblInd w:w="-30" w:type="dxa"/>
        <w:tblLayout w:type="fixed"/>
        <w:tblCellMar>
          <w:left w:w="30" w:type="dxa"/>
          <w:right w:w="30" w:type="dxa"/>
        </w:tblCellMar>
        <w:tblLook w:val="0000" w:firstRow="0" w:lastRow="0" w:firstColumn="0" w:lastColumn="0" w:noHBand="0" w:noVBand="0"/>
      </w:tblPr>
      <w:tblGrid>
        <w:gridCol w:w="1877"/>
        <w:gridCol w:w="2774"/>
      </w:tblGrid>
      <w:tr w:rsidR="007F594E">
        <w:trPr>
          <w:trHeight w:val="336"/>
        </w:trPr>
        <w:tc>
          <w:tcPr>
            <w:tcW w:w="1877" w:type="dxa"/>
            <w:tcBorders>
              <w:bottom w:val="single" w:sz="12" w:space="0" w:color="auto"/>
            </w:tcBorders>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Месяц 1993г.</w:t>
            </w:r>
          </w:p>
        </w:tc>
        <w:tc>
          <w:tcPr>
            <w:tcW w:w="2774" w:type="dxa"/>
            <w:tcBorders>
              <w:bottom w:val="single" w:sz="12" w:space="0" w:color="auto"/>
            </w:tcBorders>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Рост цен за месяц</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Январь</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26</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Февраль</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29</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Март</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17</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Апрель</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16</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Май</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19</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Июнь</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17</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Июль</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19</w:t>
            </w:r>
          </w:p>
        </w:tc>
      </w:tr>
      <w:tr w:rsidR="007F594E">
        <w:trPr>
          <w:trHeight w:val="322"/>
        </w:trPr>
        <w:tc>
          <w:tcPr>
            <w:tcW w:w="187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Август</w:t>
            </w:r>
          </w:p>
        </w:tc>
        <w:tc>
          <w:tcPr>
            <w:tcW w:w="2774"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29</w:t>
            </w:r>
          </w:p>
        </w:tc>
      </w:tr>
    </w:tbl>
    <w:p w:rsidR="007F594E" w:rsidRDefault="007F594E">
      <w:pPr>
        <w:pStyle w:val="a4"/>
        <w:ind w:firstLine="360"/>
        <w:jc w:val="center"/>
        <w:rPr>
          <w:rFonts w:ascii="Times New Roman" w:hAnsi="Times New Roman"/>
          <w:sz w:val="24"/>
        </w:rPr>
      </w:pPr>
    </w:p>
    <w:p w:rsidR="007F594E" w:rsidRDefault="007F594E">
      <w:pPr>
        <w:pStyle w:val="a4"/>
        <w:ind w:firstLine="360"/>
        <w:jc w:val="center"/>
        <w:rPr>
          <w:rFonts w:ascii="Times New Roman" w:hAnsi="Times New Roman"/>
          <w:sz w:val="24"/>
        </w:rPr>
      </w:pPr>
    </w:p>
    <w:p w:rsidR="007F594E" w:rsidRDefault="002218B5">
      <w:pPr>
        <w:pStyle w:val="20"/>
        <w:jc w:val="center"/>
        <w:rPr>
          <w:b/>
        </w:rPr>
      </w:pPr>
      <w:r>
        <w:rPr>
          <w:b/>
        </w:rPr>
        <w:t>3.2. Последствия инфляции 1992-1993гг.</w:t>
      </w:r>
    </w:p>
    <w:p w:rsidR="007F594E" w:rsidRDefault="002218B5">
      <w:pPr>
        <w:pStyle w:val="20"/>
        <w:rPr>
          <w:sz w:val="24"/>
        </w:rPr>
      </w:pPr>
      <w:r>
        <w:rPr>
          <w:sz w:val="24"/>
        </w:rPr>
        <w:tab/>
        <w:t>На практике имеют место следующие основные социально-экономические последствия инфляции.</w:t>
      </w:r>
    </w:p>
    <w:p w:rsidR="007F594E" w:rsidRDefault="002218B5">
      <w:pPr>
        <w:pStyle w:val="20"/>
        <w:rPr>
          <w:sz w:val="24"/>
        </w:rPr>
      </w:pPr>
      <w:r>
        <w:rPr>
          <w:sz w:val="24"/>
        </w:rPr>
        <w:tab/>
        <w:t xml:space="preserve">Инфляция приводит к тому, что все денежные доходы (как населения, так предприятий и государства) фактически уменьшаются. Это определяется различиями между номинальным доходом и реальным. Номинальный (денежный) доход – это количество денежных средств, которые получает человек в виде зароботной платы, ренты, прибыли. Реальный доход определяется количеством товаров и услуг, которые он может купить на сумму номинального дохода. </w:t>
      </w:r>
      <w:r>
        <w:rPr>
          <w:b/>
          <w:sz w:val="24"/>
        </w:rPr>
        <w:t xml:space="preserve">(2,286) </w:t>
      </w:r>
      <w:r>
        <w:rPr>
          <w:sz w:val="24"/>
        </w:rPr>
        <w:t xml:space="preserve">Если номинальный доход остается стабильным (или растет медленнее темпов инфляции), то реальный доход падает. Именно потому от инфляции в наибольшей степени страдают люди с фиксированными доходами. Если же рост дохода опережает темпы инфляции, то финансовое состояние (семьи, фирмы) улучшается. Так, если при условии неэластичного спроса фирма может повышать цены на свою продукцию быстрее, чем растет инфляция, то она от инфляции не пострадает. Но большинство фирм не имеют такой возможности, следовательно, их финансовое положение в период инфляции ухудшается. </w:t>
      </w:r>
    </w:p>
    <w:p w:rsidR="007F594E" w:rsidRDefault="002218B5">
      <w:pPr>
        <w:pStyle w:val="20"/>
        <w:ind w:firstLine="720"/>
        <w:rPr>
          <w:sz w:val="24"/>
        </w:rPr>
      </w:pPr>
      <w:r>
        <w:rPr>
          <w:sz w:val="24"/>
        </w:rPr>
        <w:t xml:space="preserve">Инфляция перераспределяет доходы и богатство. Так, должники богатеют за счет своих кредиторов. Причем выигрывают они на всех уровнях, так как ссуда берется при одной покупательной способности денег, а возвращается, когда на эту сумму можно купить гораздо меньше. Так, от инфляции выигрывают люди, которые получили кредит на освоение дачных участков, и предприятия, у которых имеет место превышение дебиторской задолженности над кредиторской. Выигрывает и правительство, которое накопило большой государственный долг, так как инфляция дает ему возможность оплатить долги рублями, имеющими меньшую покупательную способность. </w:t>
      </w:r>
    </w:p>
    <w:p w:rsidR="007F594E" w:rsidRDefault="002218B5">
      <w:pPr>
        <w:pStyle w:val="20"/>
        <w:ind w:firstLine="720"/>
        <w:rPr>
          <w:sz w:val="24"/>
        </w:rPr>
      </w:pPr>
      <w:r>
        <w:rPr>
          <w:sz w:val="24"/>
        </w:rPr>
        <w:t xml:space="preserve">Совершенно очевидно, что чем неожиданнее, быстрее и несбалансированнее по отношению друг к другу растут цены, тем лучше для одних субъектов рыночной экономики и хуже для других. К примеру, если коллективный договор между предпринимателем и профсоюзом заключен на 5 лет, причем без должного учета возможности резкого роста цен, то в случае увеличения цен наемные работники могут проиграть. Может пострадать и предприниматель, если цены на другие товары и услуги вырастут. Итак, инфляция перераспределяет доход и богатства за счет тех, кто дает деньги, исходя из номинальной и долгосрочно фиксированной договоренности (ставка процента за кредит, зарплата), в пользу тех, кто откладывает платежи. Скорость, неожиданность и несбалансированность инфляции усиливают подобное перераспределение. Инфляция увеличивает стоимость недвижимого имущества. Поэтому семьи и фирмы, имеющие значительную долю недвижимости в своей собственности (здания, дом, землю, квартиру), становятся богаче. </w:t>
      </w:r>
    </w:p>
    <w:p w:rsidR="007F594E" w:rsidRDefault="002218B5">
      <w:pPr>
        <w:pStyle w:val="20"/>
        <w:ind w:firstLine="720"/>
        <w:rPr>
          <w:sz w:val="24"/>
        </w:rPr>
      </w:pPr>
      <w:r>
        <w:rPr>
          <w:sz w:val="24"/>
        </w:rPr>
        <w:t xml:space="preserve">В период инфляции растут цены на товарно-материальные ценности, пользующиеся спросом на рынке. Поэтому население и. предприятия стремятся как можно быстрее материализовывать свои быстро обесценивающиеся денежные средства в запасы, что приводит недостатку денежных средств у населения и у предприятий. Результатом ажиотажной закупки материалов является усиление инфляции спроса. Для того, чтобы предотвратить его, нужна жесткая денежная политика государства. </w:t>
      </w:r>
    </w:p>
    <w:p w:rsidR="007F594E" w:rsidRDefault="002218B5">
      <w:pPr>
        <w:pStyle w:val="20"/>
        <w:ind w:firstLine="720"/>
        <w:rPr>
          <w:sz w:val="24"/>
        </w:rPr>
      </w:pPr>
      <w:r>
        <w:rPr>
          <w:sz w:val="24"/>
        </w:rPr>
        <w:t xml:space="preserve">Инфляция приводит к тому, что никому не выгодно делать долгосрочные инвестиции, так как вкладываются деньги одной покупательной способности, а доходы от инвестиций получают уже деньгами другой покупательной способности. Целесообразными оказываются только инвестиции, обеспечивающие рентабельность выше темпа роста инфляции. Причем, чем длиннее срок инвестиций, тем больше обесценение. </w:t>
      </w:r>
    </w:p>
    <w:p w:rsidR="007F594E" w:rsidRDefault="002218B5">
      <w:pPr>
        <w:pStyle w:val="20"/>
        <w:ind w:firstLine="720"/>
        <w:rPr>
          <w:sz w:val="24"/>
        </w:rPr>
      </w:pPr>
      <w:r>
        <w:rPr>
          <w:sz w:val="24"/>
        </w:rPr>
        <w:t xml:space="preserve">Инфляция уменьшает и реальную ценность всех других сбережений, будь-то это вклад в банке, облигация, страховка или наличные деньги. Люди стараются не делать сбережений. Фирмы также значительную часть прибыли направляют на текущее потребление, что ведет к дальнейшему сокращению финансовых ресурсов общества, сворачиванию производства. </w:t>
      </w:r>
    </w:p>
    <w:p w:rsidR="007F594E" w:rsidRDefault="002218B5">
      <w:pPr>
        <w:pStyle w:val="20"/>
        <w:ind w:firstLine="720"/>
        <w:rPr>
          <w:sz w:val="24"/>
        </w:rPr>
      </w:pPr>
      <w:r>
        <w:rPr>
          <w:sz w:val="24"/>
        </w:rPr>
        <w:t>Инфляция приводит к скрытой конфискации денежных средств у населения и предприятий через налоги. Это имеет место вследствие того, что налогоплательщики из-за роста номинального дохода автоматически попадают в более высокую  группу налогообложения. В результате, у населения и у предприятий может изыматься часть доходов, которые не представляют собой прибыль и должны были бы направляться на текущие затраты. Для того чтобы избежать этого, развитые страны Запада проводят индексацию налоговых ставок с учетом темпа инфляции. Следует также отметить, что и государство страдает от инфляции, так как пока налоги доходят до государственной казны, они обесцениваются.</w:t>
      </w:r>
    </w:p>
    <w:p w:rsidR="007F594E" w:rsidRDefault="002218B5">
      <w:pPr>
        <w:pStyle w:val="20"/>
        <w:ind w:firstLine="720"/>
        <w:rPr>
          <w:sz w:val="24"/>
        </w:rPr>
      </w:pPr>
      <w:r>
        <w:rPr>
          <w:sz w:val="24"/>
        </w:rPr>
        <w:t>Инфляция чревата рядом крайне неприятных последствий. При инфляции происходит снижение покупательной способности денег вообще. Следовательно, происходит снижение ценности всех видов богатств, имеющих денежную форму. В частности, обесцениваются сбережения. Например, это остро проявилось в России в 1992 г., когда после освобождения цен от государственного регулирования произошел настоящий взрыв инфляции – общий уровень цен поднялся во много десятков раз.</w:t>
      </w:r>
      <w:r>
        <w:rPr>
          <w:b/>
          <w:sz w:val="24"/>
        </w:rPr>
        <w:t xml:space="preserve"> (1,133)</w:t>
      </w:r>
      <w:r>
        <w:rPr>
          <w:sz w:val="24"/>
        </w:rPr>
        <w:t xml:space="preserve"> Из-за этого сбережения граждан в Сберегательном банке превратились в ничто, а одной из острейших политических проблем (обсуждавшейся даже в Конституционном суде) стала индексация вкладов граждан, то есть восстановление за счет государства их покупательной способности применительно к новому уровню цен.</w:t>
      </w:r>
    </w:p>
    <w:p w:rsidR="007F594E" w:rsidRDefault="002218B5">
      <w:pPr>
        <w:pStyle w:val="20"/>
        <w:ind w:firstLine="720"/>
        <w:rPr>
          <w:sz w:val="24"/>
        </w:rPr>
      </w:pPr>
      <w:r>
        <w:rPr>
          <w:sz w:val="24"/>
        </w:rPr>
        <w:t xml:space="preserve">Прежде всего, люди боятся инфляции из-за того, что она обесценивает доходы и снижает жизненный уровень. В 90-е годы Россия в полной мере узнала горький смысл этой проблемы. Даже после ценового удара в январе 1992г. цены начали ежемесячно расти с темпами, выражавшимися 2-значными цифрами, т.е. цены росли постоянно, а заработная плата – лишь время от времени. Хотя очередной подъем заработной платы или пособий (пенсий, стипендий и др.) как-то компенсировал новый уровень цен, но в промежутке между такими подъемами происходило резкое снижение уровня жизни. В особой мере инфляция бьет по так называемым бюджетным отраслям, т.е. по отраслям, финансируемых из госбюджета (образование, здравоохранение, наука). </w:t>
      </w:r>
    </w:p>
    <w:p w:rsidR="007F594E" w:rsidRDefault="002218B5">
      <w:pPr>
        <w:pStyle w:val="20"/>
        <w:ind w:firstLine="720"/>
        <w:rPr>
          <w:sz w:val="24"/>
        </w:rPr>
      </w:pPr>
      <w:r>
        <w:rPr>
          <w:sz w:val="24"/>
        </w:rPr>
        <w:t xml:space="preserve">При инфляции происходит снижение покупательной способности денег, следовательно происходит снижение ценности всех видов богатства, имеющих денежную форму. В 1991-1992гг. в России в десятки раз были обесценены личные сбережения граждан. По существу, все были лишены облигаций государственных займов СССР, страховых полисов и т.д. </w:t>
      </w:r>
    </w:p>
    <w:p w:rsidR="007F594E" w:rsidRDefault="002218B5">
      <w:pPr>
        <w:pStyle w:val="20"/>
        <w:ind w:firstLine="720"/>
        <w:rPr>
          <w:sz w:val="24"/>
        </w:rPr>
      </w:pPr>
      <w:r>
        <w:rPr>
          <w:sz w:val="24"/>
        </w:rPr>
        <w:t xml:space="preserve">Конечно, инфляция, обесценивая доходы, ведет к перераспределению доходов и богатства вообще. Если темпы инфляции становятся выше 10% в месяц, то развивается бешеная спекуляция, особенно усиливаемая наличием государственных монополистических объединений. В этих условиях российская государственная торговля, например, становится вообще «золотым дном» (многие ее работники занимались исключительно перепродажей мелкими партиями спекулянтам поступающих в магазины товаров). В условиях уникального экономического невежества населения российские коммерческие банки наживали огромные состояния, аккумулируя доходы населения сначала под 7-10%, а потом «даже» под 50% (1992г.). В действительности цена получаемых банками сбережений населения должна была составляться по формуле:  </w:t>
      </w:r>
      <w:r>
        <w:rPr>
          <w:b/>
          <w:sz w:val="24"/>
        </w:rPr>
        <w:t>Х доходов + %премия за риск + инфляционная премия</w:t>
      </w:r>
      <w:r>
        <w:rPr>
          <w:sz w:val="24"/>
        </w:rPr>
        <w:t xml:space="preserve">. Поскольку в 1992г. темп инфляции составил 4-хзначную цифру, постольку 50-70% годовых стали чистым жульничеством, которое, тем не менее, кому-то казалось благодеянием, поскольку в государственных сбербанках не давали и этого. </w:t>
      </w:r>
    </w:p>
    <w:p w:rsidR="007F594E" w:rsidRDefault="002218B5">
      <w:pPr>
        <w:pStyle w:val="20"/>
        <w:ind w:firstLine="720"/>
        <w:rPr>
          <w:sz w:val="24"/>
        </w:rPr>
      </w:pPr>
      <w:r>
        <w:rPr>
          <w:sz w:val="24"/>
        </w:rPr>
        <w:t>Наконец, инфляция прямо воздействует на общую экономическую эффективность. Если предсказуемость инфляции низка, то платой за это является взрыв спекулятивной деятельности, особенно в таких сферах как недвижимость, торговля ценными и цветными металлами, предметами искусства, антиквариатом, иностранная валюта, экспортной продукцией (в РФ – нефть, газ, металл).</w:t>
      </w:r>
    </w:p>
    <w:p w:rsidR="007F594E" w:rsidRDefault="007F594E">
      <w:pPr>
        <w:pStyle w:val="20"/>
        <w:ind w:firstLine="720"/>
        <w:rPr>
          <w:sz w:val="24"/>
        </w:rPr>
      </w:pPr>
    </w:p>
    <w:p w:rsidR="007F594E" w:rsidRDefault="002218B5">
      <w:pPr>
        <w:pStyle w:val="20"/>
        <w:jc w:val="center"/>
        <w:rPr>
          <w:b/>
        </w:rPr>
      </w:pPr>
      <w:r>
        <w:rPr>
          <w:b/>
        </w:rPr>
        <w:t>3.3. Анализ процессов инфляции в 1995-1997гг..</w:t>
      </w:r>
    </w:p>
    <w:p w:rsidR="007F594E" w:rsidRDefault="002218B5">
      <w:pPr>
        <w:pStyle w:val="20"/>
        <w:ind w:firstLine="720"/>
        <w:rPr>
          <w:sz w:val="24"/>
        </w:rPr>
      </w:pPr>
      <w:r>
        <w:rPr>
          <w:sz w:val="24"/>
        </w:rPr>
        <w:t>Прирост потребительских цен в декабре 1997г. по отношению к декабрю 1996г. составил 11%, что на 0,8 процентных пункта ниже уровня инфляции, который прогнозировался в целевых ориентирах экономической политики.</w:t>
      </w:r>
    </w:p>
    <w:p w:rsidR="007F594E" w:rsidRDefault="002218B5">
      <w:pPr>
        <w:pStyle w:val="20"/>
        <w:ind w:firstLine="720"/>
        <w:rPr>
          <w:sz w:val="24"/>
        </w:rPr>
      </w:pPr>
      <w:r>
        <w:rPr>
          <w:sz w:val="24"/>
        </w:rPr>
        <w:t>По сравнению с 1996г. темпы инфляции снизились на 10,8 процентных пункта, или почти вдвое. Этот результат был обусловлен комплексом факторов, ведущая роль, среди которых принадлежит денежной политике Банка России и целенаправленным действиям Правительства РФ по ограничению темпов роста цен на продукцию отраслей–естественных монополистов.</w:t>
      </w:r>
    </w:p>
    <w:p w:rsidR="007F594E" w:rsidRDefault="002218B5">
      <w:pPr>
        <w:pStyle w:val="20"/>
        <w:ind w:firstLine="720"/>
        <w:rPr>
          <w:b/>
          <w:sz w:val="24"/>
        </w:rPr>
      </w:pPr>
      <w:r>
        <w:rPr>
          <w:sz w:val="24"/>
        </w:rPr>
        <w:t xml:space="preserve">Согласно данным официальной статистики, среднемесячный уровень инфляции в потребительском секторе в 1997г. составил 0,9%. Аналогичный показатель годом ранее был равен 1,7%. </w:t>
      </w:r>
      <w:r>
        <w:rPr>
          <w:b/>
          <w:sz w:val="24"/>
        </w:rPr>
        <w:t>(4,9)</w:t>
      </w:r>
    </w:p>
    <w:p w:rsidR="007F594E" w:rsidRDefault="002218B5">
      <w:pPr>
        <w:pStyle w:val="20"/>
        <w:ind w:firstLine="720"/>
        <w:rPr>
          <w:sz w:val="24"/>
        </w:rPr>
      </w:pPr>
      <w:r>
        <w:rPr>
          <w:sz w:val="24"/>
        </w:rPr>
        <w:t>В 1997г. темпы прироста цен на продукты питания и промышленные товары отличались незначительно и составили 9,1 и 8,1% соответственно. Но основная роль в развитии инфляционных процессов в сфере личного потребления по-прежнему сохранилась за платными услугами, где общий уровень цен увеличился на 22,5%. Однако, названные показатели по сравнению с 1996г. снизились более чем в два раза.</w:t>
      </w:r>
    </w:p>
    <w:p w:rsidR="007F594E" w:rsidRDefault="002218B5">
      <w:pPr>
        <w:pStyle w:val="20"/>
        <w:ind w:firstLine="720"/>
      </w:pPr>
      <w:r>
        <w:t>В конце 1997г. произошел рост общего индекса потребительских цен со 100,6% в ноябре до 101% в декабре. На протяжении двух предыдущих лет картина складывалась прямо противоположная – в 1995г. индекс потребительских цен в ноябре был равен 104,5%, в декабре – 103,2%; в 1996г. аналогичные показатели составили соответственно 101,9 и 101,4%.</w:t>
      </w:r>
    </w:p>
    <w:p w:rsidR="007F594E" w:rsidRDefault="002218B5">
      <w:pPr>
        <w:pStyle w:val="a5"/>
        <w:keepNext/>
        <w:ind w:left="6480" w:firstLine="720"/>
      </w:pPr>
      <w:r>
        <w:t>Таблица 2</w:t>
      </w:r>
    </w:p>
    <w:p w:rsidR="007F594E" w:rsidRDefault="002218B5">
      <w:pPr>
        <w:pStyle w:val="2"/>
      </w:pPr>
      <w:r>
        <w:t>Динамика индекса потребительских цен и его составляющих</w:t>
      </w:r>
    </w:p>
    <w:p w:rsidR="007F594E" w:rsidRDefault="002218B5">
      <w:pPr>
        <w:jc w:val="center"/>
        <w:rPr>
          <w:b/>
          <w:sz w:val="24"/>
        </w:rPr>
      </w:pPr>
      <w:r>
        <w:rPr>
          <w:sz w:val="24"/>
        </w:rPr>
        <w:t xml:space="preserve"> в ноябре-декабре 1995-1997гг. </w:t>
      </w:r>
      <w:r>
        <w:rPr>
          <w:b/>
          <w:sz w:val="24"/>
        </w:rPr>
        <w:t>(4,11)</w:t>
      </w:r>
    </w:p>
    <w:tbl>
      <w:tblPr>
        <w:tblW w:w="0" w:type="auto"/>
        <w:tblInd w:w="-30" w:type="dxa"/>
        <w:tblLayout w:type="fixed"/>
        <w:tblCellMar>
          <w:left w:w="30" w:type="dxa"/>
          <w:right w:w="30" w:type="dxa"/>
        </w:tblCellMar>
        <w:tblLook w:val="0000" w:firstRow="0" w:lastRow="0" w:firstColumn="0" w:lastColumn="0" w:noHBand="0" w:noVBand="0"/>
      </w:tblPr>
      <w:tblGrid>
        <w:gridCol w:w="1138"/>
        <w:gridCol w:w="1137"/>
        <w:gridCol w:w="1119"/>
        <w:gridCol w:w="2020"/>
        <w:gridCol w:w="1277"/>
        <w:gridCol w:w="1752"/>
      </w:tblGrid>
      <w:tr w:rsidR="007F594E">
        <w:trPr>
          <w:trHeight w:val="322"/>
        </w:trPr>
        <w:tc>
          <w:tcPr>
            <w:tcW w:w="1138" w:type="dxa"/>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год</w:t>
            </w:r>
          </w:p>
        </w:tc>
        <w:tc>
          <w:tcPr>
            <w:tcW w:w="1137" w:type="dxa"/>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месяц</w:t>
            </w:r>
          </w:p>
        </w:tc>
        <w:tc>
          <w:tcPr>
            <w:tcW w:w="1119" w:type="dxa"/>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общий</w:t>
            </w:r>
          </w:p>
        </w:tc>
        <w:tc>
          <w:tcPr>
            <w:tcW w:w="2020" w:type="dxa"/>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по продуктам</w:t>
            </w:r>
          </w:p>
        </w:tc>
        <w:tc>
          <w:tcPr>
            <w:tcW w:w="1277" w:type="dxa"/>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по пром.</w:t>
            </w:r>
          </w:p>
        </w:tc>
        <w:tc>
          <w:tcPr>
            <w:tcW w:w="1752" w:type="dxa"/>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по платным</w:t>
            </w:r>
          </w:p>
        </w:tc>
      </w:tr>
      <w:tr w:rsidR="007F594E">
        <w:trPr>
          <w:trHeight w:val="336"/>
        </w:trPr>
        <w:tc>
          <w:tcPr>
            <w:tcW w:w="1138" w:type="dxa"/>
            <w:tcBorders>
              <w:bottom w:val="single" w:sz="12" w:space="0" w:color="auto"/>
            </w:tcBorders>
            <w:shd w:val="solid" w:color="800000" w:fill="C0C0C0"/>
          </w:tcPr>
          <w:p w:rsidR="007F594E" w:rsidRDefault="007F594E">
            <w:pPr>
              <w:jc w:val="right"/>
              <w:rPr>
                <w:rFonts w:ascii="Arial" w:hAnsi="Arial"/>
                <w:b/>
                <w:i/>
                <w:snapToGrid w:val="0"/>
                <w:color w:val="FFFFFF"/>
                <w:sz w:val="26"/>
              </w:rPr>
            </w:pPr>
          </w:p>
        </w:tc>
        <w:tc>
          <w:tcPr>
            <w:tcW w:w="1137" w:type="dxa"/>
            <w:tcBorders>
              <w:bottom w:val="single" w:sz="12" w:space="0" w:color="auto"/>
            </w:tcBorders>
            <w:shd w:val="solid" w:color="800000" w:fill="C0C0C0"/>
          </w:tcPr>
          <w:p w:rsidR="007F594E" w:rsidRDefault="007F594E">
            <w:pPr>
              <w:jc w:val="right"/>
              <w:rPr>
                <w:rFonts w:ascii="Arial" w:hAnsi="Arial"/>
                <w:b/>
                <w:i/>
                <w:snapToGrid w:val="0"/>
                <w:color w:val="FFFFFF"/>
                <w:sz w:val="26"/>
              </w:rPr>
            </w:pPr>
          </w:p>
        </w:tc>
        <w:tc>
          <w:tcPr>
            <w:tcW w:w="1119" w:type="dxa"/>
            <w:tcBorders>
              <w:bottom w:val="single" w:sz="12" w:space="0" w:color="auto"/>
            </w:tcBorders>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индекс</w:t>
            </w:r>
          </w:p>
        </w:tc>
        <w:tc>
          <w:tcPr>
            <w:tcW w:w="2020" w:type="dxa"/>
            <w:tcBorders>
              <w:bottom w:val="single" w:sz="12" w:space="0" w:color="auto"/>
            </w:tcBorders>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питания</w:t>
            </w:r>
          </w:p>
        </w:tc>
        <w:tc>
          <w:tcPr>
            <w:tcW w:w="1277" w:type="dxa"/>
            <w:tcBorders>
              <w:bottom w:val="single" w:sz="12" w:space="0" w:color="auto"/>
            </w:tcBorders>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товарам</w:t>
            </w:r>
          </w:p>
        </w:tc>
        <w:tc>
          <w:tcPr>
            <w:tcW w:w="1752" w:type="dxa"/>
            <w:tcBorders>
              <w:bottom w:val="single" w:sz="12" w:space="0" w:color="auto"/>
            </w:tcBorders>
            <w:shd w:val="solid" w:color="800000" w:fill="C0C0C0"/>
          </w:tcPr>
          <w:p w:rsidR="007F594E" w:rsidRDefault="002218B5">
            <w:pPr>
              <w:jc w:val="right"/>
              <w:rPr>
                <w:rFonts w:ascii="Arial" w:hAnsi="Arial"/>
                <w:b/>
                <w:i/>
                <w:snapToGrid w:val="0"/>
                <w:color w:val="FFFFFF"/>
                <w:sz w:val="26"/>
              </w:rPr>
            </w:pPr>
            <w:r>
              <w:rPr>
                <w:rFonts w:ascii="Arial" w:hAnsi="Arial"/>
                <w:b/>
                <w:i/>
                <w:snapToGrid w:val="0"/>
                <w:color w:val="FFFFFF"/>
                <w:sz w:val="26"/>
              </w:rPr>
              <w:t>услугам</w:t>
            </w:r>
          </w:p>
        </w:tc>
      </w:tr>
      <w:tr w:rsidR="007F594E">
        <w:trPr>
          <w:trHeight w:val="322"/>
        </w:trPr>
        <w:tc>
          <w:tcPr>
            <w:tcW w:w="1138"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1995</w:t>
            </w:r>
          </w:p>
        </w:tc>
        <w:tc>
          <w:tcPr>
            <w:tcW w:w="113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ноябрь</w:t>
            </w:r>
          </w:p>
        </w:tc>
        <w:tc>
          <w:tcPr>
            <w:tcW w:w="1119"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104,5</w:t>
            </w:r>
          </w:p>
        </w:tc>
        <w:tc>
          <w:tcPr>
            <w:tcW w:w="2020"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103,9</w:t>
            </w:r>
          </w:p>
        </w:tc>
        <w:tc>
          <w:tcPr>
            <w:tcW w:w="1277"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104,6</w:t>
            </w:r>
          </w:p>
        </w:tc>
        <w:tc>
          <w:tcPr>
            <w:tcW w:w="1752"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106,6</w:t>
            </w:r>
          </w:p>
        </w:tc>
      </w:tr>
      <w:tr w:rsidR="007F594E">
        <w:trPr>
          <w:trHeight w:val="322"/>
        </w:trPr>
        <w:tc>
          <w:tcPr>
            <w:tcW w:w="1138" w:type="dxa"/>
            <w:shd w:val="pct75" w:color="FFFFFF" w:fill="FFFF00"/>
          </w:tcPr>
          <w:p w:rsidR="007F594E" w:rsidRDefault="007F594E">
            <w:pPr>
              <w:jc w:val="right"/>
              <w:rPr>
                <w:rFonts w:ascii="Arial" w:hAnsi="Arial"/>
                <w:snapToGrid w:val="0"/>
                <w:color w:val="000000"/>
                <w:sz w:val="26"/>
              </w:rPr>
            </w:pPr>
          </w:p>
        </w:tc>
        <w:tc>
          <w:tcPr>
            <w:tcW w:w="113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декабрь</w:t>
            </w:r>
          </w:p>
        </w:tc>
        <w:tc>
          <w:tcPr>
            <w:tcW w:w="1119"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103,2</w:t>
            </w:r>
          </w:p>
        </w:tc>
        <w:tc>
          <w:tcPr>
            <w:tcW w:w="2020"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103,4</w:t>
            </w:r>
          </w:p>
        </w:tc>
        <w:tc>
          <w:tcPr>
            <w:tcW w:w="1277"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103</w:t>
            </w:r>
          </w:p>
        </w:tc>
        <w:tc>
          <w:tcPr>
            <w:tcW w:w="1752"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103</w:t>
            </w:r>
          </w:p>
        </w:tc>
      </w:tr>
      <w:tr w:rsidR="007F594E">
        <w:trPr>
          <w:trHeight w:val="322"/>
        </w:trPr>
        <w:tc>
          <w:tcPr>
            <w:tcW w:w="1138"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1996</w:t>
            </w:r>
          </w:p>
        </w:tc>
        <w:tc>
          <w:tcPr>
            <w:tcW w:w="113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ноябрь</w:t>
            </w:r>
          </w:p>
        </w:tc>
        <w:tc>
          <w:tcPr>
            <w:tcW w:w="1119"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101,9</w:t>
            </w:r>
          </w:p>
        </w:tc>
        <w:tc>
          <w:tcPr>
            <w:tcW w:w="2020"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102,1</w:t>
            </w:r>
          </w:p>
        </w:tc>
        <w:tc>
          <w:tcPr>
            <w:tcW w:w="1277"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100,9</w:t>
            </w:r>
          </w:p>
        </w:tc>
        <w:tc>
          <w:tcPr>
            <w:tcW w:w="1752"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102,7</w:t>
            </w:r>
          </w:p>
        </w:tc>
      </w:tr>
      <w:tr w:rsidR="007F594E">
        <w:trPr>
          <w:trHeight w:val="322"/>
        </w:trPr>
        <w:tc>
          <w:tcPr>
            <w:tcW w:w="1138" w:type="dxa"/>
            <w:shd w:val="pct75" w:color="FFFFFF" w:fill="FFFF00"/>
          </w:tcPr>
          <w:p w:rsidR="007F594E" w:rsidRDefault="007F594E">
            <w:pPr>
              <w:jc w:val="right"/>
              <w:rPr>
                <w:rFonts w:ascii="Arial" w:hAnsi="Arial"/>
                <w:snapToGrid w:val="0"/>
                <w:color w:val="000000"/>
                <w:sz w:val="26"/>
              </w:rPr>
            </w:pPr>
          </w:p>
        </w:tc>
        <w:tc>
          <w:tcPr>
            <w:tcW w:w="113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декабрь</w:t>
            </w:r>
          </w:p>
        </w:tc>
        <w:tc>
          <w:tcPr>
            <w:tcW w:w="1119"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101,4</w:t>
            </w:r>
          </w:p>
        </w:tc>
        <w:tc>
          <w:tcPr>
            <w:tcW w:w="2020"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102</w:t>
            </w:r>
          </w:p>
        </w:tc>
        <w:tc>
          <w:tcPr>
            <w:tcW w:w="1277"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100,7</w:t>
            </w:r>
          </w:p>
        </w:tc>
        <w:tc>
          <w:tcPr>
            <w:tcW w:w="1752"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100,8</w:t>
            </w:r>
          </w:p>
        </w:tc>
      </w:tr>
      <w:tr w:rsidR="007F594E">
        <w:trPr>
          <w:trHeight w:val="322"/>
        </w:trPr>
        <w:tc>
          <w:tcPr>
            <w:tcW w:w="1138"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1997</w:t>
            </w:r>
          </w:p>
        </w:tc>
        <w:tc>
          <w:tcPr>
            <w:tcW w:w="113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ноябрь</w:t>
            </w:r>
          </w:p>
        </w:tc>
        <w:tc>
          <w:tcPr>
            <w:tcW w:w="1119"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100,6</w:t>
            </w:r>
          </w:p>
        </w:tc>
        <w:tc>
          <w:tcPr>
            <w:tcW w:w="2020"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100,4</w:t>
            </w:r>
          </w:p>
        </w:tc>
        <w:tc>
          <w:tcPr>
            <w:tcW w:w="1277"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100,7</w:t>
            </w:r>
          </w:p>
        </w:tc>
        <w:tc>
          <w:tcPr>
            <w:tcW w:w="1752"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101,1</w:t>
            </w:r>
          </w:p>
        </w:tc>
      </w:tr>
      <w:tr w:rsidR="007F594E">
        <w:trPr>
          <w:trHeight w:val="322"/>
        </w:trPr>
        <w:tc>
          <w:tcPr>
            <w:tcW w:w="1138" w:type="dxa"/>
            <w:shd w:val="pct75" w:color="FFFFFF" w:fill="FFFF00"/>
          </w:tcPr>
          <w:p w:rsidR="007F594E" w:rsidRDefault="007F594E">
            <w:pPr>
              <w:jc w:val="right"/>
              <w:rPr>
                <w:rFonts w:ascii="Arial" w:hAnsi="Arial"/>
                <w:snapToGrid w:val="0"/>
                <w:color w:val="000000"/>
                <w:sz w:val="26"/>
              </w:rPr>
            </w:pPr>
          </w:p>
        </w:tc>
        <w:tc>
          <w:tcPr>
            <w:tcW w:w="1137" w:type="dxa"/>
            <w:shd w:val="pct75" w:color="FFFFFF" w:fill="FFFF00"/>
          </w:tcPr>
          <w:p w:rsidR="007F594E" w:rsidRDefault="002218B5">
            <w:pPr>
              <w:rPr>
                <w:rFonts w:ascii="Arial" w:hAnsi="Arial"/>
                <w:snapToGrid w:val="0"/>
                <w:color w:val="000000"/>
                <w:sz w:val="26"/>
              </w:rPr>
            </w:pPr>
            <w:r>
              <w:rPr>
                <w:rFonts w:ascii="Arial" w:hAnsi="Arial"/>
                <w:snapToGrid w:val="0"/>
                <w:color w:val="000000"/>
                <w:sz w:val="26"/>
              </w:rPr>
              <w:t>декабрь</w:t>
            </w:r>
          </w:p>
        </w:tc>
        <w:tc>
          <w:tcPr>
            <w:tcW w:w="1119"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101</w:t>
            </w:r>
          </w:p>
        </w:tc>
        <w:tc>
          <w:tcPr>
            <w:tcW w:w="2020"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101,2</w:t>
            </w:r>
          </w:p>
        </w:tc>
        <w:tc>
          <w:tcPr>
            <w:tcW w:w="1277"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100,6</w:t>
            </w:r>
          </w:p>
        </w:tc>
        <w:tc>
          <w:tcPr>
            <w:tcW w:w="1752" w:type="dxa"/>
            <w:shd w:val="pct75" w:color="FFFFFF" w:fill="FFFF00"/>
          </w:tcPr>
          <w:p w:rsidR="007F594E" w:rsidRDefault="002218B5">
            <w:pPr>
              <w:jc w:val="right"/>
              <w:rPr>
                <w:rFonts w:ascii="Arial" w:hAnsi="Arial"/>
                <w:snapToGrid w:val="0"/>
                <w:color w:val="000000"/>
                <w:sz w:val="26"/>
              </w:rPr>
            </w:pPr>
            <w:r>
              <w:rPr>
                <w:rFonts w:ascii="Arial" w:hAnsi="Arial"/>
                <w:snapToGrid w:val="0"/>
                <w:color w:val="000000"/>
                <w:sz w:val="26"/>
              </w:rPr>
              <w:t>100,7</w:t>
            </w:r>
          </w:p>
        </w:tc>
      </w:tr>
    </w:tbl>
    <w:p w:rsidR="007F594E" w:rsidRDefault="00381D8B">
      <w:pPr>
        <w:pStyle w:val="20"/>
        <w:jc w:val="center"/>
        <w:rPr>
          <w:b/>
          <w:sz w:val="24"/>
        </w:rPr>
      </w:pPr>
      <w:r>
        <w:object w:dxaOrig="1440" w:dyaOrig="1440">
          <v:shape id="_x0000_s1160" type="#_x0000_t75" style="position:absolute;left:0;text-align:left;margin-left:.9pt;margin-top:22.5pt;width:411.9pt;height:258.1pt;z-index:251660800;mso-position-horizontal:absolute;mso-position-horizontal-relative:text;mso-position-vertical:absolute;mso-position-vertical-relative:text" o:allowincell="f">
            <v:imagedata r:id="rId9" o:title=""/>
            <o:lock v:ext="edit" aspectratio="f"/>
            <w10:wrap type="topAndBottom"/>
          </v:shape>
          <o:OLEObject Type="Embed" ProgID="Excel.Sheet.8" ShapeID="_x0000_s1160" DrawAspect="Content" ObjectID="_1468870005" r:id="rId10"/>
        </w:object>
      </w:r>
      <w:r w:rsidR="002218B5">
        <w:rPr>
          <w:b/>
          <w:sz w:val="32"/>
        </w:rPr>
        <w:tab/>
      </w:r>
      <w:r w:rsidR="002218B5">
        <w:rPr>
          <w:b/>
          <w:sz w:val="32"/>
        </w:rPr>
        <w:tab/>
      </w:r>
      <w:r w:rsidR="002218B5">
        <w:rPr>
          <w:b/>
          <w:sz w:val="32"/>
        </w:rPr>
        <w:tab/>
      </w:r>
      <w:r w:rsidR="002218B5">
        <w:rPr>
          <w:b/>
          <w:sz w:val="32"/>
        </w:rPr>
        <w:tab/>
      </w:r>
      <w:r w:rsidR="002218B5">
        <w:rPr>
          <w:b/>
          <w:sz w:val="32"/>
        </w:rPr>
        <w:tab/>
      </w:r>
      <w:r w:rsidR="002218B5">
        <w:rPr>
          <w:b/>
          <w:sz w:val="32"/>
        </w:rPr>
        <w:tab/>
      </w:r>
      <w:r w:rsidR="002218B5">
        <w:rPr>
          <w:b/>
          <w:sz w:val="32"/>
        </w:rPr>
        <w:tab/>
      </w:r>
      <w:r w:rsidR="002218B5">
        <w:rPr>
          <w:b/>
          <w:sz w:val="24"/>
        </w:rPr>
        <w:t>Диаграмма 2.</w:t>
      </w:r>
    </w:p>
    <w:p w:rsidR="007F594E" w:rsidRDefault="002218B5">
      <w:pPr>
        <w:pStyle w:val="20"/>
        <w:rPr>
          <w:sz w:val="24"/>
        </w:rPr>
      </w:pPr>
      <w:r>
        <w:rPr>
          <w:sz w:val="24"/>
        </w:rPr>
        <w:tab/>
        <w:t>В декабре 1995г. снизился, по сравнению с предыдущим месяцем каждый из субиндексов ИПЦ: по продовольственным товарам на 0,5 процентных пункта, по непродовольственным товарам – на 1,6 процентных пункта, по платным услугам – на 3,3 (см. табл.2). Соответственно, снизился и общий уровень индекса потребительских цен на 1,3 процентных пункта. Вообще, в период с ноября 1995г. по ноябрь 1997г. наблюдалась устойчивая тенденция к понижению инфляционных процессов в России (диаграмма 2). Однако в декабре 1997г.  наблюдались сравнительно более высокие темпы роста потребительских цен, которые вызвали увеличение различных предновогодних выплат и объективный рост потребительского спроса в этот период. В 1995-1996гг. его действие практически не проявлялось из-за низкой покупательной способности основной части потребителей. В 1997г.  реальные доходы граждан на 2,5% превысили аналогичный показатель 1996г. В декабре 1997г по сравнению с ноябрем на 0,8 процентных пункта возрос субиндекс по продуктам питания, таким образом, основную роль в усилении инфляции в декабре 1997г. сыграл рост цен на продукты питания.</w:t>
      </w:r>
    </w:p>
    <w:p w:rsidR="007F594E" w:rsidRDefault="007F594E">
      <w:pPr>
        <w:pStyle w:val="20"/>
        <w:jc w:val="center"/>
        <w:rPr>
          <w:b/>
          <w:sz w:val="32"/>
        </w:rPr>
      </w:pPr>
    </w:p>
    <w:p w:rsidR="007F594E" w:rsidRDefault="002218B5">
      <w:pPr>
        <w:pStyle w:val="20"/>
        <w:jc w:val="center"/>
        <w:rPr>
          <w:b/>
          <w:sz w:val="32"/>
        </w:rPr>
      </w:pPr>
      <w:r>
        <w:rPr>
          <w:b/>
          <w:sz w:val="32"/>
        </w:rPr>
        <w:t>4. Методы борьбы с инфляцией.</w:t>
      </w:r>
    </w:p>
    <w:p w:rsidR="007F594E" w:rsidRDefault="007F594E">
      <w:pPr>
        <w:pStyle w:val="20"/>
        <w:ind w:firstLine="720"/>
        <w:rPr>
          <w:sz w:val="24"/>
        </w:rPr>
      </w:pPr>
    </w:p>
    <w:p w:rsidR="007F594E" w:rsidRDefault="002218B5">
      <w:pPr>
        <w:pStyle w:val="20"/>
        <w:ind w:firstLine="720"/>
        <w:rPr>
          <w:sz w:val="24"/>
        </w:rPr>
      </w:pPr>
      <w:r>
        <w:rPr>
          <w:sz w:val="24"/>
        </w:rPr>
        <w:t>За последние 30-40 лет было испробовано много методов борьбы с инфляцией. Практически все ведущие экономисты мира сходятся в том, что инфляция очень чувствительна к резкому сокращению темпа роста денежной массы, когда в стране возникает «денежный голод».</w:t>
      </w:r>
    </w:p>
    <w:p w:rsidR="007F594E" w:rsidRDefault="002218B5">
      <w:pPr>
        <w:pStyle w:val="a4"/>
        <w:jc w:val="both"/>
        <w:rPr>
          <w:rFonts w:ascii="Times New Roman" w:hAnsi="Times New Roman"/>
          <w:sz w:val="24"/>
        </w:rPr>
      </w:pPr>
      <w:r>
        <w:rPr>
          <w:rFonts w:ascii="Times New Roman" w:hAnsi="Times New Roman"/>
          <w:sz w:val="24"/>
        </w:rPr>
        <w:t>Такие методы используется обычно при стойкой инфляции, которая успела создать в стране стабильные инфляционные ожидания. Цель таких действий – заморозить совокупный спрос, что, в свою очередь, будет способствовать снижению темпов инфляции. Однако, подобные действия влекут за собой ряд негативных, но неизбежных последствий: снижение реального уровня производства и возникновение избыточной безработицы. Но во что обходится обществу сокращение темпа роста денежной массы? Неизбежной платой за успех, достигаемый на основе метода «денежного голода», становится потеря той части реально возможного благосостояния страны, которая была утеряна из-за временного спада во время антиинфляционных действий и увеличения (либо возникновения) временной избыточной безработицы. Эта плата бывает весьма ощутимой для страны даже в том случае, когда бороться приходится с относительно низкой инфляцией, порядка 8 – 12% в год. А если требуется снизить инфляцию, темп которой составляет 200 – 300% в год? Возможно ли это? Если и возможно, то на это уйдут долгие годы, в течение которых будет удерживаться очень высокий уровень безработицы. Для борьбы с инфляцией малограмотные в экономике политики часто предлагают другой метод – индексирование. Это процесс автоматической перестройки цен и зарплаты, когда зарплата автоматически повышается вслед за повышением цен. Такой метод превозносится потому, что он якобы позволяет защитить всех граждан от отрицательных последствий инфляции. Однако метод индексирования теоретически абсолютно непригоден. А на практике, чем шире его применение, тем больше он ускоряет инфляцию вплоть до момента, когда она переходит в гиперинфляцию.</w:t>
      </w:r>
    </w:p>
    <w:p w:rsidR="007F594E" w:rsidRDefault="002218B5">
      <w:pPr>
        <w:pStyle w:val="a4"/>
        <w:ind w:firstLine="720"/>
        <w:jc w:val="both"/>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Гиперинфляция – это инфляция с особенно высокими темпами роста цен (обычно более 50% в месяц), при которой становятся невыгодными любое производство и даже многообразная торговая деятельность, а люди озабочены лишь тем, как побыстрее избавиться от денег, обменяв их на любые товары. </w:t>
      </w:r>
      <w:r>
        <w:rPr>
          <w:rFonts w:ascii="Times New Roman" w:hAnsi="Times New Roman"/>
          <w:b/>
          <w:sz w:val="24"/>
        </w:rPr>
        <w:t>(1,141)</w:t>
      </w:r>
    </w:p>
    <w:p w:rsidR="007F594E" w:rsidRDefault="002218B5">
      <w:pPr>
        <w:pStyle w:val="a4"/>
        <w:ind w:firstLine="720"/>
        <w:jc w:val="both"/>
        <w:rPr>
          <w:rFonts w:ascii="Times New Roman" w:hAnsi="Times New Roman"/>
          <w:sz w:val="24"/>
        </w:rPr>
      </w:pPr>
      <w:r>
        <w:rPr>
          <w:rFonts w:ascii="Times New Roman" w:hAnsi="Times New Roman"/>
          <w:sz w:val="24"/>
        </w:rPr>
        <w:t xml:space="preserve">Неизбежным следствием инфляции становится подрыв денежного обращения и массовый переход к натуральному обмену (бартеру). </w:t>
      </w:r>
    </w:p>
    <w:p w:rsidR="007F594E" w:rsidRDefault="002218B5">
      <w:pPr>
        <w:pStyle w:val="a4"/>
        <w:ind w:firstLine="720"/>
        <w:jc w:val="both"/>
        <w:rPr>
          <w:rFonts w:ascii="Times New Roman" w:hAnsi="Times New Roman"/>
          <w:sz w:val="24"/>
        </w:rPr>
      </w:pPr>
      <w:r>
        <w:rPr>
          <w:rFonts w:ascii="Times New Roman" w:hAnsi="Times New Roman"/>
          <w:sz w:val="24"/>
        </w:rPr>
        <w:t>Еще один метод борьбы с инфляцией называют обычно «регулируемой политикой доходов». Он предполагает установление правительством совокупности норм и правил, удерживающих рост зарплаты, вен и инфляционных ожиданий. Довольно часто эта политика приносила нужные результаты, если одновременно осуществлялись: контроль за ценами и зарплатой, торможение спроса (сжатие денежной массы), психологическое воздействие на население. Из этих мер наиболее сильной является прямой правительственный контроль за ценами и зарплатой. Но он дает кратковременный эффект.</w:t>
      </w:r>
    </w:p>
    <w:p w:rsidR="007F594E" w:rsidRDefault="002218B5">
      <w:pPr>
        <w:pStyle w:val="a4"/>
        <w:ind w:firstLine="720"/>
        <w:jc w:val="both"/>
        <w:rPr>
          <w:rFonts w:ascii="Times New Roman" w:hAnsi="Times New Roman"/>
          <w:sz w:val="24"/>
        </w:rPr>
      </w:pPr>
      <w:r>
        <w:rPr>
          <w:rFonts w:ascii="Times New Roman" w:hAnsi="Times New Roman"/>
          <w:sz w:val="24"/>
        </w:rPr>
        <w:t xml:space="preserve">В современной экономической науке в качестве еще одного антиинфляционного метода рассматривается градуализм – экономическая политика, на медленное снижение инфляции в долгосрочный период за счет управления совокупным спросом и без ущерба для занятости. </w:t>
      </w:r>
      <w:r>
        <w:rPr>
          <w:rFonts w:ascii="Times New Roman" w:hAnsi="Times New Roman"/>
          <w:b/>
          <w:sz w:val="24"/>
        </w:rPr>
        <w:t xml:space="preserve">(1,142) </w:t>
      </w:r>
      <w:r>
        <w:rPr>
          <w:rFonts w:ascii="Times New Roman" w:hAnsi="Times New Roman"/>
          <w:sz w:val="24"/>
        </w:rPr>
        <w:t>В мировом экономическом опыте уже имели место случаи применения данного метода, однако, в условиях гиперинфляции он оказался малоэффективным.</w:t>
      </w:r>
    </w:p>
    <w:p w:rsidR="007F594E" w:rsidRDefault="002218B5">
      <w:pPr>
        <w:pStyle w:val="a4"/>
        <w:ind w:firstLine="720"/>
        <w:jc w:val="both"/>
        <w:rPr>
          <w:rFonts w:ascii="Times New Roman" w:hAnsi="Times New Roman"/>
          <w:sz w:val="24"/>
        </w:rPr>
      </w:pPr>
      <w:r>
        <w:rPr>
          <w:rFonts w:ascii="Times New Roman" w:hAnsi="Times New Roman"/>
          <w:sz w:val="24"/>
        </w:rPr>
        <w:t>Если говорить о России, то основная причина высокой инфляции за последние годы заключается в постоянном выбросе денежной массы, который производится для того, чтобы обеспечить государственные дотации. Результат такой политики очевиден: убыточное предприятие спасается от банкротства, но инфляция усиливается.</w:t>
      </w:r>
    </w:p>
    <w:p w:rsidR="007F594E" w:rsidRDefault="007F594E">
      <w:pPr>
        <w:pStyle w:val="a4"/>
        <w:ind w:firstLine="720"/>
        <w:jc w:val="both"/>
        <w:rPr>
          <w:rFonts w:ascii="Times New Roman" w:hAnsi="Times New Roman"/>
          <w:sz w:val="24"/>
        </w:rPr>
      </w:pPr>
    </w:p>
    <w:p w:rsidR="007F594E" w:rsidRDefault="002218B5">
      <w:pPr>
        <w:pStyle w:val="a4"/>
        <w:ind w:firstLine="360"/>
        <w:jc w:val="center"/>
        <w:rPr>
          <w:rFonts w:ascii="Times New Roman" w:hAnsi="Times New Roman"/>
          <w:b/>
          <w:sz w:val="32"/>
        </w:rPr>
      </w:pPr>
      <w:r>
        <w:rPr>
          <w:rFonts w:ascii="Times New Roman" w:hAnsi="Times New Roman"/>
          <w:b/>
          <w:sz w:val="32"/>
        </w:rPr>
        <w:t>5. Заключение.</w:t>
      </w:r>
    </w:p>
    <w:p w:rsidR="007F594E" w:rsidRDefault="007F594E">
      <w:pPr>
        <w:pStyle w:val="a4"/>
        <w:ind w:firstLine="360"/>
        <w:jc w:val="center"/>
        <w:rPr>
          <w:rFonts w:ascii="Times New Roman" w:hAnsi="Times New Roman"/>
          <w:b/>
          <w:sz w:val="32"/>
        </w:rPr>
      </w:pPr>
    </w:p>
    <w:p w:rsidR="007F594E" w:rsidRDefault="002218B5">
      <w:pPr>
        <w:pStyle w:val="a4"/>
        <w:jc w:val="both"/>
        <w:rPr>
          <w:rFonts w:ascii="Times New Roman" w:hAnsi="Times New Roman"/>
          <w:b/>
          <w:sz w:val="28"/>
        </w:rPr>
      </w:pPr>
      <w:r>
        <w:rPr>
          <w:rFonts w:ascii="Times New Roman" w:hAnsi="Times New Roman"/>
          <w:sz w:val="24"/>
        </w:rPr>
        <w:tab/>
        <w:t>Анализ процессов инфляции в России в период с 1992 по 1997г. показал, что наиболее высокая инфляция (порядка 25% в месяц) наблюдалась в первые восемь месяцев 1993г., что явилось основной причиной обесценивания денежных средств населения и государства и привело к всеобщему спаду производства. К 1995-1997 году ситуация несколько стабилизировалась, и к 1997г. темпы прироста цен составили в среднем 9%.</w:t>
      </w:r>
    </w:p>
    <w:p w:rsidR="007F594E" w:rsidRDefault="002218B5">
      <w:pPr>
        <w:pStyle w:val="a4"/>
        <w:ind w:firstLine="720"/>
        <w:jc w:val="both"/>
        <w:rPr>
          <w:rFonts w:ascii="Times New Roman" w:hAnsi="Times New Roman"/>
          <w:sz w:val="24"/>
        </w:rPr>
      </w:pPr>
      <w:r>
        <w:rPr>
          <w:rFonts w:ascii="Times New Roman" w:hAnsi="Times New Roman"/>
          <w:sz w:val="24"/>
        </w:rPr>
        <w:t xml:space="preserve">Проанализировав в своем реферате теоретический материал, а также данные периодической литературы, я пришла к выводу, что инфляционные процессы в России имеют характерные национальные особенности, связанные со спецификой исторического развития государства. Следует заметить, что большинство негативных явлений, связанных с высокой инфляцией, вызваны экономически неграмотными действиями государства, которые привели к долгосрочному экономическому кризису в стране. </w:t>
      </w:r>
    </w:p>
    <w:p w:rsidR="007F594E" w:rsidRDefault="002218B5">
      <w:pPr>
        <w:pStyle w:val="a4"/>
        <w:jc w:val="both"/>
      </w:pPr>
      <w:r>
        <w:tab/>
      </w:r>
    </w:p>
    <w:p w:rsidR="007F594E" w:rsidRDefault="002218B5">
      <w:pPr>
        <w:pStyle w:val="20"/>
        <w:ind w:left="360"/>
        <w:jc w:val="center"/>
        <w:rPr>
          <w:b/>
        </w:rPr>
      </w:pPr>
      <w:r>
        <w:rPr>
          <w:sz w:val="24"/>
        </w:rPr>
        <w:tab/>
      </w: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7F594E">
      <w:pPr>
        <w:pStyle w:val="20"/>
        <w:ind w:left="360"/>
        <w:jc w:val="center"/>
        <w:rPr>
          <w:b/>
          <w:sz w:val="32"/>
        </w:rPr>
      </w:pPr>
    </w:p>
    <w:p w:rsidR="007F594E" w:rsidRDefault="002218B5">
      <w:pPr>
        <w:pStyle w:val="20"/>
        <w:ind w:left="360"/>
        <w:jc w:val="center"/>
        <w:rPr>
          <w:b/>
          <w:sz w:val="32"/>
        </w:rPr>
      </w:pPr>
      <w:r>
        <w:rPr>
          <w:b/>
          <w:sz w:val="32"/>
        </w:rPr>
        <w:t>6. Список использованной литературы:</w:t>
      </w:r>
    </w:p>
    <w:p w:rsidR="007F594E" w:rsidRDefault="007F594E">
      <w:pPr>
        <w:pStyle w:val="20"/>
        <w:spacing w:line="480" w:lineRule="auto"/>
        <w:ind w:left="360"/>
      </w:pPr>
    </w:p>
    <w:p w:rsidR="007F594E" w:rsidRDefault="002218B5">
      <w:pPr>
        <w:pStyle w:val="20"/>
        <w:numPr>
          <w:ilvl w:val="0"/>
          <w:numId w:val="18"/>
        </w:numPr>
        <w:spacing w:line="480" w:lineRule="auto"/>
        <w:rPr>
          <w:lang w:val="en-US"/>
        </w:rPr>
      </w:pPr>
      <w:r>
        <w:t>Липсиц И.В., Любимов Л.Л. Раскрывая тайны экономики. – М.: «Вита-Пресс», 1994. – 320с.</w:t>
      </w:r>
    </w:p>
    <w:p w:rsidR="007F594E" w:rsidRDefault="002218B5">
      <w:pPr>
        <w:pStyle w:val="20"/>
        <w:numPr>
          <w:ilvl w:val="0"/>
          <w:numId w:val="18"/>
        </w:numPr>
        <w:spacing w:line="480" w:lineRule="auto"/>
      </w:pPr>
      <w:r>
        <w:t>Камаев В.Д. и коллектив авторов.</w:t>
      </w:r>
      <w:r>
        <w:rPr>
          <w:lang w:val="en-US"/>
        </w:rPr>
        <w:t xml:space="preserve"> </w:t>
      </w:r>
      <w:r>
        <w:t>Учебник по основам экономической теории (экономика). – М.: «Владос», 1995. – 384с.</w:t>
      </w:r>
    </w:p>
    <w:p w:rsidR="007F594E" w:rsidRDefault="002218B5">
      <w:pPr>
        <w:pStyle w:val="20"/>
        <w:numPr>
          <w:ilvl w:val="0"/>
          <w:numId w:val="18"/>
        </w:numPr>
        <w:spacing w:line="480" w:lineRule="auto"/>
        <w:rPr>
          <w:lang w:val="en-US"/>
        </w:rPr>
      </w:pPr>
      <w:r>
        <w:rPr>
          <w:lang w:val="en-US"/>
        </w:rPr>
        <w:t xml:space="preserve">Любимов Л.Л., Раннева Н.А. Основы экономических </w:t>
      </w:r>
      <w:r>
        <w:t>знаний. – М.: «Вита-Пресс», 1997. – 496с.</w:t>
      </w:r>
    </w:p>
    <w:p w:rsidR="007F594E" w:rsidRDefault="002218B5">
      <w:pPr>
        <w:pStyle w:val="20"/>
        <w:numPr>
          <w:ilvl w:val="0"/>
          <w:numId w:val="18"/>
        </w:numPr>
        <w:spacing w:line="480" w:lineRule="auto"/>
        <w:rPr>
          <w:lang w:val="en-US"/>
        </w:rPr>
      </w:pPr>
      <w:r>
        <w:rPr>
          <w:lang w:val="en-US"/>
        </w:rPr>
        <w:t>Экономический обзор. Развитие российской экономики в 1997г. //</w:t>
      </w:r>
      <w:r>
        <w:t xml:space="preserve">  ЭКО. – 1998. - №8. – с.9-14.</w:t>
      </w:r>
    </w:p>
    <w:p w:rsidR="007F594E" w:rsidRDefault="007F594E">
      <w:pPr>
        <w:pStyle w:val="20"/>
        <w:ind w:left="360"/>
        <w:jc w:val="center"/>
        <w:rPr>
          <w:b/>
        </w:rPr>
      </w:pPr>
      <w:bookmarkStart w:id="0" w:name="_GoBack"/>
      <w:bookmarkEnd w:id="0"/>
    </w:p>
    <w:sectPr w:rsidR="007F594E">
      <w:type w:val="continuous"/>
      <w:pgSz w:w="11906" w:h="16838"/>
      <w:pgMar w:top="1134" w:right="1134" w:bottom="1134" w:left="1134" w:header="720" w:footer="720" w:gutter="0"/>
      <w:cols w:space="720" w:equalWidth="0">
        <w:col w:w="9638"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2B65"/>
    <w:multiLevelType w:val="singleLevel"/>
    <w:tmpl w:val="0419000F"/>
    <w:lvl w:ilvl="0">
      <w:start w:val="1"/>
      <w:numFmt w:val="decimal"/>
      <w:lvlText w:val="%1."/>
      <w:lvlJc w:val="left"/>
      <w:pPr>
        <w:tabs>
          <w:tab w:val="num" w:pos="360"/>
        </w:tabs>
        <w:ind w:left="360" w:hanging="360"/>
      </w:pPr>
    </w:lvl>
  </w:abstractNum>
  <w:abstractNum w:abstractNumId="1">
    <w:nsid w:val="1A4E641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469080D"/>
    <w:multiLevelType w:val="singleLevel"/>
    <w:tmpl w:val="0419000F"/>
    <w:lvl w:ilvl="0">
      <w:start w:val="1"/>
      <w:numFmt w:val="decimal"/>
      <w:lvlText w:val="%1."/>
      <w:lvlJc w:val="left"/>
      <w:pPr>
        <w:tabs>
          <w:tab w:val="num" w:pos="360"/>
        </w:tabs>
        <w:ind w:left="360" w:hanging="360"/>
      </w:pPr>
    </w:lvl>
  </w:abstractNum>
  <w:abstractNum w:abstractNumId="3">
    <w:nsid w:val="278C5F44"/>
    <w:multiLevelType w:val="singleLevel"/>
    <w:tmpl w:val="E30E2CE2"/>
    <w:lvl w:ilvl="0">
      <w:start w:val="1"/>
      <w:numFmt w:val="upperRoman"/>
      <w:lvlText w:val="%1."/>
      <w:lvlJc w:val="left"/>
      <w:pPr>
        <w:tabs>
          <w:tab w:val="num" w:pos="1440"/>
        </w:tabs>
        <w:ind w:left="1440" w:hanging="720"/>
      </w:pPr>
      <w:rPr>
        <w:rFonts w:hint="default"/>
      </w:rPr>
    </w:lvl>
  </w:abstractNum>
  <w:abstractNum w:abstractNumId="4">
    <w:nsid w:val="2AA24405"/>
    <w:multiLevelType w:val="multilevel"/>
    <w:tmpl w:val="3B2204F6"/>
    <w:lvl w:ilvl="0">
      <w:start w:val="3"/>
      <w:numFmt w:val="decimal"/>
      <w:lvlText w:val="%1."/>
      <w:lvlJc w:val="left"/>
      <w:pPr>
        <w:tabs>
          <w:tab w:val="num" w:pos="466"/>
        </w:tabs>
        <w:ind w:left="466" w:hanging="46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EB6384A"/>
    <w:multiLevelType w:val="singleLevel"/>
    <w:tmpl w:val="576640DA"/>
    <w:lvl w:ilvl="0">
      <w:start w:val="1"/>
      <w:numFmt w:val="decimal"/>
      <w:lvlText w:val="%1."/>
      <w:lvlJc w:val="left"/>
      <w:pPr>
        <w:tabs>
          <w:tab w:val="num" w:pos="1440"/>
        </w:tabs>
        <w:ind w:left="1440" w:hanging="720"/>
      </w:pPr>
      <w:rPr>
        <w:rFonts w:hint="default"/>
      </w:rPr>
    </w:lvl>
  </w:abstractNum>
  <w:abstractNum w:abstractNumId="6">
    <w:nsid w:val="32F52B1A"/>
    <w:multiLevelType w:val="multilevel"/>
    <w:tmpl w:val="25021B8E"/>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391105AE"/>
    <w:multiLevelType w:val="multilevel"/>
    <w:tmpl w:val="470C17C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ED53BF5"/>
    <w:multiLevelType w:val="singleLevel"/>
    <w:tmpl w:val="BFDC0710"/>
    <w:lvl w:ilvl="0">
      <w:start w:val="1"/>
      <w:numFmt w:val="decimal"/>
      <w:lvlText w:val="%1."/>
      <w:lvlJc w:val="left"/>
      <w:pPr>
        <w:tabs>
          <w:tab w:val="num" w:pos="720"/>
        </w:tabs>
        <w:ind w:left="720" w:hanging="360"/>
      </w:pPr>
      <w:rPr>
        <w:rFonts w:hint="default"/>
      </w:rPr>
    </w:lvl>
  </w:abstractNum>
  <w:abstractNum w:abstractNumId="9">
    <w:nsid w:val="3F2A7CC0"/>
    <w:multiLevelType w:val="multilevel"/>
    <w:tmpl w:val="66A415A6"/>
    <w:lvl w:ilvl="0">
      <w:start w:val="2"/>
      <w:numFmt w:val="decimal"/>
      <w:lvlText w:val="%1."/>
      <w:lvlJc w:val="left"/>
      <w:pPr>
        <w:tabs>
          <w:tab w:val="num" w:pos="466"/>
        </w:tabs>
        <w:ind w:left="466" w:hanging="46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75849C9"/>
    <w:multiLevelType w:val="multilevel"/>
    <w:tmpl w:val="E8DE14FE"/>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514C129E"/>
    <w:multiLevelType w:val="multilevel"/>
    <w:tmpl w:val="3B2204F6"/>
    <w:lvl w:ilvl="0">
      <w:start w:val="3"/>
      <w:numFmt w:val="decimal"/>
      <w:lvlText w:val="%1."/>
      <w:lvlJc w:val="left"/>
      <w:pPr>
        <w:tabs>
          <w:tab w:val="num" w:pos="466"/>
        </w:tabs>
        <w:ind w:left="466" w:hanging="46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51F3131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5D9F79FF"/>
    <w:multiLevelType w:val="multilevel"/>
    <w:tmpl w:val="61AC9F9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6A72664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5">
    <w:nsid w:val="6CFF506D"/>
    <w:multiLevelType w:val="multilevel"/>
    <w:tmpl w:val="3B2204F6"/>
    <w:lvl w:ilvl="0">
      <w:start w:val="3"/>
      <w:numFmt w:val="decimal"/>
      <w:lvlText w:val="%1."/>
      <w:lvlJc w:val="left"/>
      <w:pPr>
        <w:tabs>
          <w:tab w:val="num" w:pos="466"/>
        </w:tabs>
        <w:ind w:left="466" w:hanging="46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6DA17A7F"/>
    <w:multiLevelType w:val="multilevel"/>
    <w:tmpl w:val="3B2204F6"/>
    <w:lvl w:ilvl="0">
      <w:start w:val="3"/>
      <w:numFmt w:val="decimal"/>
      <w:lvlText w:val="%1."/>
      <w:lvlJc w:val="left"/>
      <w:pPr>
        <w:tabs>
          <w:tab w:val="num" w:pos="466"/>
        </w:tabs>
        <w:ind w:left="466" w:hanging="46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723C453E"/>
    <w:multiLevelType w:val="multilevel"/>
    <w:tmpl w:val="0FEA0B7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3"/>
  </w:num>
  <w:num w:numId="2">
    <w:abstractNumId w:val="6"/>
  </w:num>
  <w:num w:numId="3">
    <w:abstractNumId w:val="13"/>
  </w:num>
  <w:num w:numId="4">
    <w:abstractNumId w:val="5"/>
  </w:num>
  <w:num w:numId="5">
    <w:abstractNumId w:val="14"/>
  </w:num>
  <w:num w:numId="6">
    <w:abstractNumId w:val="2"/>
  </w:num>
  <w:num w:numId="7">
    <w:abstractNumId w:val="9"/>
  </w:num>
  <w:num w:numId="8">
    <w:abstractNumId w:val="15"/>
  </w:num>
  <w:num w:numId="9">
    <w:abstractNumId w:val="16"/>
  </w:num>
  <w:num w:numId="10">
    <w:abstractNumId w:val="4"/>
  </w:num>
  <w:num w:numId="11">
    <w:abstractNumId w:val="7"/>
  </w:num>
  <w:num w:numId="12">
    <w:abstractNumId w:val="10"/>
  </w:num>
  <w:num w:numId="13">
    <w:abstractNumId w:val="11"/>
  </w:num>
  <w:num w:numId="14">
    <w:abstractNumId w:val="0"/>
  </w:num>
  <w:num w:numId="15">
    <w:abstractNumId w:val="17"/>
  </w:num>
  <w:num w:numId="16">
    <w:abstractNumId w:val="1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8B5"/>
    <w:rsid w:val="002218B5"/>
    <w:rsid w:val="00381D8B"/>
    <w:rsid w:val="007F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colormenu v:ext="edit" fillcolor="white" strokecolor="white"/>
    </o:shapedefaults>
    <o:shapelayout v:ext="edit">
      <o:idmap v:ext="edit" data="1"/>
    </o:shapelayout>
  </w:shapeDefaults>
  <w:decimalSymbol w:val=","/>
  <w:listSeparator w:val=";"/>
  <w15:chartTrackingRefBased/>
  <w15:docId w15:val="{7E023455-8CFE-421F-B99F-D78869F7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both"/>
    </w:pPr>
    <w:rPr>
      <w:sz w:val="28"/>
    </w:rPr>
  </w:style>
  <w:style w:type="paragraph" w:styleId="a4">
    <w:name w:val="Plain Text"/>
    <w:basedOn w:val="a"/>
    <w:semiHidden/>
    <w:rPr>
      <w:rFonts w:ascii="Courier New" w:hAnsi="Courier New"/>
    </w:rPr>
  </w:style>
  <w:style w:type="paragraph" w:styleId="3">
    <w:name w:val="Body Text 3"/>
    <w:basedOn w:val="a"/>
    <w:semiHidden/>
    <w:pPr>
      <w:jc w:val="center"/>
    </w:pPr>
    <w:rPr>
      <w:sz w:val="28"/>
    </w:rPr>
  </w:style>
  <w:style w:type="paragraph" w:styleId="a5">
    <w:name w:val="caption"/>
    <w:basedOn w:val="a"/>
    <w:next w:val="a"/>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Words>
  <Characters>23246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Инфляция и ее проявления в России</vt:lpstr>
    </vt:vector>
  </TitlesOfParts>
  <Company>Homesoft</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Инфляция и ее проявления в России</dc:title>
  <dc:subject/>
  <dc:creator>Юлия</dc:creator>
  <cp:keywords/>
  <cp:lastModifiedBy>Irina</cp:lastModifiedBy>
  <cp:revision>2</cp:revision>
  <cp:lastPrinted>1999-04-28T17:55:00Z</cp:lastPrinted>
  <dcterms:created xsi:type="dcterms:W3CDTF">2014-08-06T19:40:00Z</dcterms:created>
  <dcterms:modified xsi:type="dcterms:W3CDTF">2014-08-06T19:40:00Z</dcterms:modified>
</cp:coreProperties>
</file>