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3D3" w:rsidRDefault="00D02C59" w:rsidP="00901C84">
      <w:pPr>
        <w:spacing w:after="0" w:line="480" w:lineRule="auto"/>
        <w:ind w:firstLine="851"/>
        <w:jc w:val="center"/>
        <w:rPr>
          <w:rFonts w:ascii="Times New Roman" w:hAnsi="Times New Roman"/>
          <w:b/>
          <w:bCs/>
          <w:sz w:val="28"/>
          <w:szCs w:val="28"/>
        </w:rPr>
      </w:pPr>
      <w:r>
        <w:rPr>
          <w:rFonts w:ascii="Times New Roman" w:hAnsi="Times New Roman"/>
          <w:b/>
          <w:bCs/>
          <w:sz w:val="28"/>
          <w:szCs w:val="28"/>
        </w:rPr>
        <w:t>ГЛАВА 2</w:t>
      </w:r>
      <w:r w:rsidR="00BC23D3">
        <w:rPr>
          <w:rFonts w:ascii="Times New Roman" w:hAnsi="Times New Roman"/>
          <w:b/>
          <w:bCs/>
          <w:sz w:val="28"/>
          <w:szCs w:val="28"/>
        </w:rPr>
        <w:t xml:space="preserve">. </w:t>
      </w:r>
      <w:r>
        <w:rPr>
          <w:rFonts w:ascii="Times New Roman" w:hAnsi="Times New Roman"/>
          <w:b/>
          <w:bCs/>
          <w:sz w:val="28"/>
          <w:szCs w:val="28"/>
        </w:rPr>
        <w:t>ОЦЕНКА СОВРЕМЕННОЙ КРЕДИТНОЙ СИСТЕМЫ РОССИЙСКОЙ ФЕДЕРАЦИИ</w:t>
      </w:r>
    </w:p>
    <w:p w:rsidR="007F6475" w:rsidRDefault="007F6475" w:rsidP="007F6475">
      <w:pPr>
        <w:spacing w:after="0" w:line="480" w:lineRule="auto"/>
        <w:ind w:firstLine="851"/>
        <w:jc w:val="both"/>
        <w:rPr>
          <w:rFonts w:ascii="Times New Roman" w:hAnsi="Times New Roman"/>
          <w:b/>
          <w:bCs/>
          <w:sz w:val="28"/>
          <w:szCs w:val="28"/>
        </w:rPr>
      </w:pPr>
      <w:r>
        <w:rPr>
          <w:rFonts w:ascii="Times New Roman" w:hAnsi="Times New Roman"/>
          <w:b/>
          <w:bCs/>
          <w:sz w:val="28"/>
          <w:szCs w:val="28"/>
        </w:rPr>
        <w:t>2.1. Общая характеристика современной кредитной системы РФ</w:t>
      </w:r>
    </w:p>
    <w:p w:rsidR="00C57D9C" w:rsidRPr="004441CE" w:rsidRDefault="00C57D9C" w:rsidP="00C57D9C">
      <w:pPr>
        <w:spacing w:after="0" w:line="360" w:lineRule="auto"/>
        <w:ind w:firstLine="851"/>
        <w:jc w:val="both"/>
        <w:rPr>
          <w:rFonts w:ascii="Times New Roman" w:hAnsi="Times New Roman"/>
          <w:sz w:val="28"/>
          <w:szCs w:val="28"/>
        </w:rPr>
      </w:pPr>
      <w:r w:rsidRPr="004441CE">
        <w:rPr>
          <w:rFonts w:ascii="Times New Roman" w:hAnsi="Times New Roman"/>
          <w:sz w:val="28"/>
          <w:szCs w:val="28"/>
        </w:rPr>
        <w:t xml:space="preserve">За </w:t>
      </w:r>
      <w:r>
        <w:rPr>
          <w:rFonts w:ascii="Times New Roman" w:hAnsi="Times New Roman"/>
          <w:sz w:val="28"/>
          <w:szCs w:val="28"/>
        </w:rPr>
        <w:t>2007 год</w:t>
      </w:r>
      <w:r w:rsidRPr="004441CE">
        <w:rPr>
          <w:rFonts w:ascii="Times New Roman" w:hAnsi="Times New Roman"/>
          <w:sz w:val="28"/>
          <w:szCs w:val="28"/>
        </w:rPr>
        <w:t xml:space="preserve"> рублевая денежная масса возросла на 47,5%</w:t>
      </w:r>
      <w:r>
        <w:rPr>
          <w:rFonts w:ascii="Times New Roman" w:hAnsi="Times New Roman"/>
          <w:sz w:val="28"/>
          <w:szCs w:val="28"/>
        </w:rPr>
        <w:t>, что меньше, чем в 2006 году – 48,8%</w:t>
      </w:r>
      <w:r w:rsidRPr="004441CE">
        <w:rPr>
          <w:rFonts w:ascii="Times New Roman" w:hAnsi="Times New Roman"/>
          <w:sz w:val="28"/>
          <w:szCs w:val="28"/>
        </w:rPr>
        <w:t>. Соотношение темпов роста потребительских цен и денежного агрегата М2 обусловило увеличение рублевой денежной массы в реальном выражении за истекший год на 31,8%.</w:t>
      </w:r>
    </w:p>
    <w:p w:rsidR="00C57D9C" w:rsidRPr="004441CE" w:rsidRDefault="00C57D9C" w:rsidP="00C57D9C">
      <w:pPr>
        <w:spacing w:after="0" w:line="360" w:lineRule="auto"/>
        <w:ind w:firstLine="851"/>
        <w:jc w:val="both"/>
        <w:rPr>
          <w:rFonts w:ascii="Times New Roman" w:hAnsi="Times New Roman"/>
          <w:sz w:val="28"/>
          <w:szCs w:val="28"/>
        </w:rPr>
      </w:pPr>
      <w:r w:rsidRPr="004441CE">
        <w:rPr>
          <w:rFonts w:ascii="Times New Roman" w:hAnsi="Times New Roman"/>
          <w:sz w:val="28"/>
          <w:szCs w:val="28"/>
        </w:rPr>
        <w:t>Рост</w:t>
      </w:r>
      <w:r>
        <w:rPr>
          <w:rFonts w:ascii="Times New Roman" w:hAnsi="Times New Roman"/>
          <w:sz w:val="28"/>
          <w:szCs w:val="28"/>
        </w:rPr>
        <w:t xml:space="preserve"> объема наличных денег в 2007 году</w:t>
      </w:r>
      <w:r w:rsidRPr="004441CE">
        <w:rPr>
          <w:rFonts w:ascii="Times New Roman" w:hAnsi="Times New Roman"/>
          <w:sz w:val="28"/>
          <w:szCs w:val="28"/>
        </w:rPr>
        <w:t>, как и в предыдущие годы, в значительной степени был связан с продолжающимся увеличением денежных доходов населения. В то же время на фоне более низких темпов роста денежных доходов населения темпы роста</w:t>
      </w:r>
      <w:r>
        <w:rPr>
          <w:rFonts w:ascii="Times New Roman" w:hAnsi="Times New Roman"/>
          <w:sz w:val="28"/>
          <w:szCs w:val="28"/>
        </w:rPr>
        <w:t xml:space="preserve"> денежного агрегата М0 в 2007 году</w:t>
      </w:r>
      <w:r w:rsidRPr="004441CE">
        <w:rPr>
          <w:rFonts w:ascii="Times New Roman" w:hAnsi="Times New Roman"/>
          <w:sz w:val="28"/>
          <w:szCs w:val="28"/>
        </w:rPr>
        <w:t xml:space="preserve"> замедлились и составили 32,9%.</w:t>
      </w:r>
      <w:r>
        <w:rPr>
          <w:rFonts w:ascii="Times New Roman" w:hAnsi="Times New Roman"/>
          <w:sz w:val="28"/>
          <w:szCs w:val="28"/>
        </w:rPr>
        <w:t xml:space="preserve"> </w:t>
      </w:r>
      <w:r w:rsidRPr="004441CE">
        <w:rPr>
          <w:rFonts w:ascii="Times New Roman" w:hAnsi="Times New Roman"/>
          <w:sz w:val="28"/>
          <w:szCs w:val="28"/>
        </w:rPr>
        <w:t>Безналичная компонента денежного аг</w:t>
      </w:r>
      <w:r>
        <w:rPr>
          <w:rFonts w:ascii="Times New Roman" w:hAnsi="Times New Roman"/>
          <w:sz w:val="28"/>
          <w:szCs w:val="28"/>
        </w:rPr>
        <w:t>регата М2 увеличилась за 2007 год на 54,1%</w:t>
      </w:r>
      <w:r w:rsidRPr="004441CE">
        <w:rPr>
          <w:rFonts w:ascii="Times New Roman" w:hAnsi="Times New Roman"/>
          <w:sz w:val="28"/>
          <w:szCs w:val="28"/>
        </w:rPr>
        <w:t>.</w:t>
      </w:r>
    </w:p>
    <w:p w:rsidR="00C57D9C" w:rsidRPr="004441CE" w:rsidRDefault="00C57D9C" w:rsidP="00C57D9C">
      <w:pPr>
        <w:spacing w:after="0" w:line="360" w:lineRule="auto"/>
        <w:ind w:firstLine="851"/>
        <w:jc w:val="both"/>
        <w:rPr>
          <w:rFonts w:ascii="Times New Roman" w:hAnsi="Times New Roman"/>
          <w:sz w:val="28"/>
          <w:szCs w:val="28"/>
        </w:rPr>
      </w:pPr>
      <w:r w:rsidRPr="004441CE">
        <w:rPr>
          <w:rFonts w:ascii="Times New Roman" w:hAnsi="Times New Roman"/>
          <w:sz w:val="28"/>
          <w:szCs w:val="28"/>
        </w:rPr>
        <w:t>Рост депозитов физических лиц</w:t>
      </w:r>
      <w:r>
        <w:rPr>
          <w:rFonts w:ascii="Times New Roman" w:hAnsi="Times New Roman"/>
          <w:sz w:val="28"/>
          <w:szCs w:val="28"/>
        </w:rPr>
        <w:t xml:space="preserve"> в национальной валюте в 2007 году</w:t>
      </w:r>
      <w:r w:rsidRPr="004441CE">
        <w:rPr>
          <w:rFonts w:ascii="Times New Roman" w:hAnsi="Times New Roman"/>
          <w:sz w:val="28"/>
          <w:szCs w:val="28"/>
        </w:rPr>
        <w:t xml:space="preserve"> происходил в условиях повышения реальных доходов населения, а также укрепления рубля к доллару США. Вместе с тем темпы прироста депозитов населени</w:t>
      </w:r>
      <w:r>
        <w:rPr>
          <w:rFonts w:ascii="Times New Roman" w:hAnsi="Times New Roman"/>
          <w:sz w:val="28"/>
          <w:szCs w:val="28"/>
        </w:rPr>
        <w:t>я сократились с 51,6% за 2006 год</w:t>
      </w:r>
      <w:r w:rsidRPr="004441CE">
        <w:rPr>
          <w:rFonts w:ascii="Times New Roman" w:hAnsi="Times New Roman"/>
          <w:sz w:val="28"/>
          <w:szCs w:val="28"/>
        </w:rPr>
        <w:t xml:space="preserve"> до 41,3% за 2007 год.</w:t>
      </w:r>
    </w:p>
    <w:p w:rsidR="00C57D9C" w:rsidRDefault="00C57D9C" w:rsidP="00C57D9C">
      <w:pPr>
        <w:spacing w:after="0" w:line="360" w:lineRule="auto"/>
        <w:ind w:firstLine="851"/>
        <w:jc w:val="both"/>
        <w:rPr>
          <w:rFonts w:ascii="Times New Roman" w:hAnsi="Times New Roman"/>
          <w:sz w:val="28"/>
          <w:szCs w:val="28"/>
        </w:rPr>
      </w:pPr>
      <w:r w:rsidRPr="004441CE">
        <w:rPr>
          <w:rFonts w:ascii="Times New Roman" w:hAnsi="Times New Roman"/>
          <w:sz w:val="28"/>
          <w:szCs w:val="28"/>
        </w:rPr>
        <w:t>В результате увеличения объемов банковского кредитования и повышения доходов нефинансовых организаций общий объем средств на их счетах в комме</w:t>
      </w:r>
      <w:r>
        <w:rPr>
          <w:rFonts w:ascii="Times New Roman" w:hAnsi="Times New Roman"/>
          <w:sz w:val="28"/>
          <w:szCs w:val="28"/>
        </w:rPr>
        <w:t>рческих банках возрос за 2007 год</w:t>
      </w:r>
      <w:r w:rsidRPr="004441CE">
        <w:rPr>
          <w:rFonts w:ascii="Times New Roman" w:hAnsi="Times New Roman"/>
          <w:sz w:val="28"/>
          <w:szCs w:val="28"/>
        </w:rPr>
        <w:t xml:space="preserve"> на 67,9%. При этом депозиты "до востребования" увеличились на 53,4%</w:t>
      </w:r>
      <w:r>
        <w:rPr>
          <w:rFonts w:ascii="Times New Roman" w:hAnsi="Times New Roman"/>
          <w:sz w:val="28"/>
          <w:szCs w:val="28"/>
        </w:rPr>
        <w:t>.</w:t>
      </w:r>
    </w:p>
    <w:p w:rsidR="00C57D9C" w:rsidRPr="00C57D9C" w:rsidRDefault="00C57D9C" w:rsidP="00C57D9C">
      <w:pPr>
        <w:spacing w:after="0" w:line="360" w:lineRule="auto"/>
        <w:ind w:firstLine="851"/>
        <w:jc w:val="both"/>
        <w:rPr>
          <w:rFonts w:ascii="Times New Roman" w:hAnsi="Times New Roman"/>
          <w:sz w:val="28"/>
          <w:szCs w:val="28"/>
          <w:lang w:val="en-US"/>
        </w:rPr>
      </w:pPr>
      <w:r w:rsidRPr="004441CE">
        <w:rPr>
          <w:rFonts w:ascii="Times New Roman" w:hAnsi="Times New Roman"/>
          <w:sz w:val="28"/>
          <w:szCs w:val="28"/>
        </w:rPr>
        <w:t>Темпы прироста депозитов в иностранной валюте (в долларовом</w:t>
      </w:r>
      <w:r>
        <w:rPr>
          <w:rFonts w:ascii="Times New Roman" w:hAnsi="Times New Roman"/>
          <w:sz w:val="28"/>
          <w:szCs w:val="28"/>
        </w:rPr>
        <w:t xml:space="preserve"> выражении) составили за 2007 год</w:t>
      </w:r>
      <w:r w:rsidRPr="004441CE">
        <w:rPr>
          <w:rFonts w:ascii="Times New Roman" w:hAnsi="Times New Roman"/>
          <w:sz w:val="28"/>
          <w:szCs w:val="28"/>
        </w:rPr>
        <w:t xml:space="preserve"> 2</w:t>
      </w:r>
      <w:r>
        <w:rPr>
          <w:rFonts w:ascii="Times New Roman" w:hAnsi="Times New Roman"/>
          <w:sz w:val="28"/>
          <w:szCs w:val="28"/>
        </w:rPr>
        <w:t>6,8%</w:t>
      </w:r>
      <w:r w:rsidRPr="004441CE">
        <w:rPr>
          <w:rFonts w:ascii="Times New Roman" w:hAnsi="Times New Roman"/>
          <w:sz w:val="28"/>
          <w:szCs w:val="28"/>
        </w:rPr>
        <w:t xml:space="preserve"> и были вдвое ниже темпов прироста д</w:t>
      </w:r>
      <w:r>
        <w:rPr>
          <w:rFonts w:ascii="Times New Roman" w:hAnsi="Times New Roman"/>
          <w:sz w:val="28"/>
          <w:szCs w:val="28"/>
        </w:rPr>
        <w:t>епозитов в национальной валюте – 54,1%</w:t>
      </w:r>
      <w:r w:rsidRPr="004441CE">
        <w:rPr>
          <w:rFonts w:ascii="Times New Roman" w:hAnsi="Times New Roman"/>
          <w:sz w:val="28"/>
          <w:szCs w:val="28"/>
        </w:rPr>
        <w:t>.</w:t>
      </w:r>
      <w:r>
        <w:rPr>
          <w:rFonts w:ascii="Times New Roman" w:hAnsi="Times New Roman"/>
          <w:sz w:val="28"/>
          <w:szCs w:val="28"/>
        </w:rPr>
        <w:t xml:space="preserve"> </w:t>
      </w:r>
      <w:r w:rsidRPr="00C57D9C">
        <w:rPr>
          <w:rFonts w:ascii="Times New Roman" w:hAnsi="Times New Roman"/>
          <w:sz w:val="28"/>
          <w:szCs w:val="28"/>
        </w:rPr>
        <w:t>[</w:t>
      </w:r>
      <w:r>
        <w:rPr>
          <w:rFonts w:ascii="Times New Roman" w:hAnsi="Times New Roman"/>
          <w:sz w:val="28"/>
          <w:szCs w:val="28"/>
          <w:lang w:val="en-US"/>
        </w:rPr>
        <w:t>13,7]</w:t>
      </w:r>
    </w:p>
    <w:p w:rsidR="00C57D9C" w:rsidRDefault="00C57D9C" w:rsidP="00C57D9C">
      <w:pPr>
        <w:spacing w:after="0" w:line="360" w:lineRule="auto"/>
        <w:ind w:firstLine="851"/>
        <w:jc w:val="both"/>
        <w:rPr>
          <w:rFonts w:ascii="Times New Roman" w:hAnsi="Times New Roman"/>
          <w:sz w:val="28"/>
          <w:szCs w:val="28"/>
        </w:rPr>
      </w:pPr>
      <w:r>
        <w:rPr>
          <w:rFonts w:ascii="Times New Roman" w:hAnsi="Times New Roman"/>
          <w:sz w:val="28"/>
          <w:szCs w:val="28"/>
        </w:rPr>
        <w:t>При этом в 2007 году</w:t>
      </w:r>
      <w:r w:rsidRPr="004441CE">
        <w:rPr>
          <w:rFonts w:ascii="Times New Roman" w:hAnsi="Times New Roman"/>
          <w:sz w:val="28"/>
          <w:szCs w:val="28"/>
        </w:rPr>
        <w:t xml:space="preserve"> усилилось значение банковских кредитов нефинансовым организациям и населению как источника денежного предложения. Требования к </w:t>
      </w:r>
      <w:r>
        <w:rPr>
          <w:rFonts w:ascii="Times New Roman" w:hAnsi="Times New Roman"/>
          <w:sz w:val="28"/>
          <w:szCs w:val="28"/>
        </w:rPr>
        <w:t>этой группе заемщиков за 2007 год</w:t>
      </w:r>
      <w:r w:rsidRPr="004441CE">
        <w:rPr>
          <w:rFonts w:ascii="Times New Roman" w:hAnsi="Times New Roman"/>
          <w:sz w:val="28"/>
          <w:szCs w:val="28"/>
        </w:rPr>
        <w:t xml:space="preserve"> возросли на 4,3 трлн. руб</w:t>
      </w:r>
      <w:r>
        <w:rPr>
          <w:rFonts w:ascii="Times New Roman" w:hAnsi="Times New Roman"/>
          <w:sz w:val="28"/>
          <w:szCs w:val="28"/>
        </w:rPr>
        <w:t>лей</w:t>
      </w:r>
      <w:r w:rsidRPr="004441CE">
        <w:rPr>
          <w:rFonts w:ascii="Times New Roman" w:hAnsi="Times New Roman"/>
          <w:sz w:val="28"/>
          <w:szCs w:val="28"/>
        </w:rPr>
        <w:t xml:space="preserve">. Вместе с тем сдерживающее влияние на рост денежной массы </w:t>
      </w:r>
      <w:r w:rsidRPr="004441CE">
        <w:rPr>
          <w:rFonts w:ascii="Times New Roman" w:hAnsi="Times New Roman"/>
          <w:sz w:val="28"/>
          <w:szCs w:val="28"/>
        </w:rPr>
        <w:lastRenderedPageBreak/>
        <w:t>продолжало оказывать накопление средств на счетах органов государственного управления в Банке России</w:t>
      </w:r>
      <w:r>
        <w:rPr>
          <w:rFonts w:ascii="Times New Roman" w:hAnsi="Times New Roman"/>
          <w:sz w:val="28"/>
          <w:szCs w:val="28"/>
        </w:rPr>
        <w:t>.</w:t>
      </w:r>
    </w:p>
    <w:p w:rsidR="00C57D9C" w:rsidRPr="00C57D9C" w:rsidRDefault="00C57D9C" w:rsidP="00C57D9C">
      <w:pPr>
        <w:spacing w:after="0" w:line="360" w:lineRule="auto"/>
        <w:ind w:firstLine="851"/>
        <w:jc w:val="both"/>
        <w:rPr>
          <w:rFonts w:ascii="Times New Roman" w:hAnsi="Times New Roman"/>
          <w:sz w:val="28"/>
          <w:szCs w:val="28"/>
          <w:lang w:val="en-US"/>
        </w:rPr>
      </w:pPr>
      <w:r w:rsidRPr="004441CE">
        <w:rPr>
          <w:rFonts w:ascii="Times New Roman" w:hAnsi="Times New Roman"/>
          <w:sz w:val="28"/>
          <w:szCs w:val="28"/>
        </w:rPr>
        <w:t>Скорость обращения денег, рассчитанная по денежному агрегату М2 в среднегодовом</w:t>
      </w:r>
      <w:r>
        <w:rPr>
          <w:rFonts w:ascii="Times New Roman" w:hAnsi="Times New Roman"/>
          <w:sz w:val="28"/>
          <w:szCs w:val="28"/>
        </w:rPr>
        <w:t xml:space="preserve"> выражении, снизилась за 2007 год</w:t>
      </w:r>
      <w:r w:rsidRPr="004441CE">
        <w:rPr>
          <w:rFonts w:ascii="Times New Roman" w:hAnsi="Times New Roman"/>
          <w:sz w:val="28"/>
          <w:szCs w:val="28"/>
        </w:rPr>
        <w:t xml:space="preserve"> на 18,8%. Уровень монетизации экономики (по денежному агрегату М2) за истекший год увеличился с 26,1</w:t>
      </w:r>
      <w:r>
        <w:rPr>
          <w:rFonts w:ascii="Times New Roman" w:hAnsi="Times New Roman"/>
          <w:sz w:val="28"/>
          <w:szCs w:val="28"/>
        </w:rPr>
        <w:t>%</w:t>
      </w:r>
      <w:r w:rsidRPr="004441CE">
        <w:rPr>
          <w:rFonts w:ascii="Times New Roman" w:hAnsi="Times New Roman"/>
          <w:sz w:val="28"/>
          <w:szCs w:val="28"/>
        </w:rPr>
        <w:t xml:space="preserve"> до 32,2%.</w:t>
      </w:r>
      <w:r>
        <w:rPr>
          <w:rFonts w:ascii="Times New Roman" w:hAnsi="Times New Roman"/>
          <w:sz w:val="28"/>
          <w:szCs w:val="28"/>
        </w:rPr>
        <w:t xml:space="preserve"> </w:t>
      </w:r>
      <w:r w:rsidRPr="004441CE">
        <w:rPr>
          <w:rFonts w:ascii="Times New Roman" w:hAnsi="Times New Roman"/>
          <w:sz w:val="28"/>
          <w:szCs w:val="28"/>
        </w:rPr>
        <w:t>Денежный мультиплик</w:t>
      </w:r>
      <w:r>
        <w:rPr>
          <w:rFonts w:ascii="Times New Roman" w:hAnsi="Times New Roman"/>
          <w:sz w:val="28"/>
          <w:szCs w:val="28"/>
        </w:rPr>
        <w:t xml:space="preserve">атор увеличился с 2,182 на 1 января </w:t>
      </w:r>
      <w:r w:rsidRPr="004441CE">
        <w:rPr>
          <w:rFonts w:ascii="Times New Roman" w:hAnsi="Times New Roman"/>
          <w:sz w:val="28"/>
          <w:szCs w:val="28"/>
        </w:rPr>
        <w:t xml:space="preserve">2007 </w:t>
      </w:r>
      <w:r>
        <w:rPr>
          <w:rFonts w:ascii="Times New Roman" w:hAnsi="Times New Roman"/>
          <w:sz w:val="28"/>
          <w:szCs w:val="28"/>
        </w:rPr>
        <w:t xml:space="preserve">года </w:t>
      </w:r>
      <w:r w:rsidRPr="004441CE">
        <w:rPr>
          <w:rFonts w:ascii="Times New Roman" w:hAnsi="Times New Roman"/>
          <w:sz w:val="28"/>
          <w:szCs w:val="28"/>
        </w:rPr>
        <w:t>до 2,407 на</w:t>
      </w:r>
      <w:r>
        <w:rPr>
          <w:rFonts w:ascii="Times New Roman" w:hAnsi="Times New Roman"/>
          <w:sz w:val="28"/>
          <w:szCs w:val="28"/>
        </w:rPr>
        <w:t xml:space="preserve"> 1 января </w:t>
      </w:r>
      <w:r w:rsidRPr="004441CE">
        <w:rPr>
          <w:rFonts w:ascii="Times New Roman" w:hAnsi="Times New Roman"/>
          <w:sz w:val="28"/>
          <w:szCs w:val="28"/>
        </w:rPr>
        <w:t>2008</w:t>
      </w:r>
      <w:r>
        <w:rPr>
          <w:rFonts w:ascii="Times New Roman" w:hAnsi="Times New Roman"/>
          <w:sz w:val="28"/>
          <w:szCs w:val="28"/>
        </w:rPr>
        <w:t xml:space="preserve"> года</w:t>
      </w:r>
      <w:r w:rsidRPr="004441CE">
        <w:rPr>
          <w:rFonts w:ascii="Times New Roman" w:hAnsi="Times New Roman"/>
          <w:sz w:val="28"/>
          <w:szCs w:val="28"/>
        </w:rPr>
        <w:t>, или на 10,3%</w:t>
      </w:r>
      <w:r>
        <w:rPr>
          <w:rFonts w:ascii="Times New Roman" w:hAnsi="Times New Roman"/>
          <w:sz w:val="28"/>
          <w:szCs w:val="28"/>
        </w:rPr>
        <w:t>.</w:t>
      </w:r>
      <w:r w:rsidRPr="00C57D9C">
        <w:rPr>
          <w:rFonts w:ascii="Times New Roman" w:hAnsi="Times New Roman"/>
          <w:sz w:val="28"/>
          <w:szCs w:val="28"/>
        </w:rPr>
        <w:t xml:space="preserve"> [</w:t>
      </w:r>
      <w:r>
        <w:rPr>
          <w:rFonts w:ascii="Times New Roman" w:hAnsi="Times New Roman"/>
          <w:sz w:val="28"/>
          <w:szCs w:val="28"/>
          <w:lang w:val="en-US"/>
        </w:rPr>
        <w:t>15]</w:t>
      </w:r>
    </w:p>
    <w:p w:rsidR="00C57D9C" w:rsidRPr="004441CE" w:rsidRDefault="00C57D9C" w:rsidP="00C57D9C">
      <w:pPr>
        <w:spacing w:after="0" w:line="360" w:lineRule="auto"/>
        <w:ind w:firstLine="851"/>
        <w:jc w:val="both"/>
        <w:rPr>
          <w:rFonts w:ascii="Times New Roman" w:hAnsi="Times New Roman"/>
          <w:sz w:val="28"/>
          <w:szCs w:val="28"/>
        </w:rPr>
      </w:pPr>
      <w:r>
        <w:rPr>
          <w:rFonts w:ascii="Times New Roman" w:hAnsi="Times New Roman"/>
          <w:sz w:val="28"/>
          <w:szCs w:val="28"/>
        </w:rPr>
        <w:t>За 2007 год</w:t>
      </w:r>
      <w:r w:rsidRPr="004441CE">
        <w:rPr>
          <w:rFonts w:ascii="Times New Roman" w:hAnsi="Times New Roman"/>
          <w:sz w:val="28"/>
          <w:szCs w:val="28"/>
        </w:rPr>
        <w:t xml:space="preserve"> денежная база в широком определении увеличилась на 33,7%. Основным источник</w:t>
      </w:r>
      <w:r>
        <w:rPr>
          <w:rFonts w:ascii="Times New Roman" w:hAnsi="Times New Roman"/>
          <w:sz w:val="28"/>
          <w:szCs w:val="28"/>
        </w:rPr>
        <w:t>ом роста денежной базы в 2007 году, как и в 2006 году</w:t>
      </w:r>
      <w:r w:rsidRPr="004441CE">
        <w:rPr>
          <w:rFonts w:ascii="Times New Roman" w:hAnsi="Times New Roman"/>
          <w:sz w:val="28"/>
          <w:szCs w:val="28"/>
        </w:rPr>
        <w:t xml:space="preserve">, были покупки Банком России иностранной валюты на внутреннем валютном рынке. Чистые иностранные активы органов денежно-кредитного </w:t>
      </w:r>
      <w:r>
        <w:rPr>
          <w:rFonts w:ascii="Times New Roman" w:hAnsi="Times New Roman"/>
          <w:sz w:val="28"/>
          <w:szCs w:val="28"/>
        </w:rPr>
        <w:t>регулирования выросли за 2007 год на 3,7 трлн. рублей</w:t>
      </w:r>
      <w:r w:rsidRPr="004441CE">
        <w:rPr>
          <w:rFonts w:ascii="Times New Roman" w:hAnsi="Times New Roman"/>
          <w:sz w:val="28"/>
          <w:szCs w:val="28"/>
        </w:rPr>
        <w:t>. Прирост депозитов органов государственного упра</w:t>
      </w:r>
      <w:r>
        <w:rPr>
          <w:rFonts w:ascii="Times New Roman" w:hAnsi="Times New Roman"/>
          <w:sz w:val="28"/>
          <w:szCs w:val="28"/>
        </w:rPr>
        <w:t>вления в Банке России за 2007 год составил 2 трлн. рублей</w:t>
      </w:r>
      <w:r w:rsidRPr="004441CE">
        <w:rPr>
          <w:rFonts w:ascii="Times New Roman" w:hAnsi="Times New Roman"/>
          <w:sz w:val="28"/>
          <w:szCs w:val="28"/>
        </w:rPr>
        <w:t>, превысив аналогичный показатель 2006 г</w:t>
      </w:r>
      <w:r>
        <w:rPr>
          <w:rFonts w:ascii="Times New Roman" w:hAnsi="Times New Roman"/>
          <w:sz w:val="28"/>
          <w:szCs w:val="28"/>
        </w:rPr>
        <w:t>оду</w:t>
      </w:r>
      <w:r w:rsidRPr="004441CE">
        <w:rPr>
          <w:rFonts w:ascii="Times New Roman" w:hAnsi="Times New Roman"/>
          <w:sz w:val="28"/>
          <w:szCs w:val="28"/>
        </w:rPr>
        <w:t>.</w:t>
      </w:r>
    </w:p>
    <w:p w:rsidR="00C57D9C" w:rsidRPr="004441CE" w:rsidRDefault="00C57D9C" w:rsidP="00C57D9C">
      <w:pPr>
        <w:spacing w:after="0" w:line="360" w:lineRule="auto"/>
        <w:ind w:firstLine="851"/>
        <w:jc w:val="both"/>
        <w:rPr>
          <w:rFonts w:ascii="Times New Roman" w:hAnsi="Times New Roman"/>
          <w:sz w:val="28"/>
          <w:szCs w:val="28"/>
        </w:rPr>
      </w:pPr>
      <w:r w:rsidRPr="004441CE">
        <w:rPr>
          <w:rFonts w:ascii="Times New Roman" w:hAnsi="Times New Roman"/>
          <w:sz w:val="28"/>
          <w:szCs w:val="28"/>
        </w:rPr>
        <w:t xml:space="preserve">Структура денежной базы </w:t>
      </w:r>
      <w:r>
        <w:rPr>
          <w:rFonts w:ascii="Times New Roman" w:hAnsi="Times New Roman"/>
          <w:sz w:val="28"/>
          <w:szCs w:val="28"/>
        </w:rPr>
        <w:t>в широком определении за 2007 год</w:t>
      </w:r>
      <w:r w:rsidRPr="004441CE">
        <w:rPr>
          <w:rFonts w:ascii="Times New Roman" w:hAnsi="Times New Roman"/>
          <w:sz w:val="28"/>
          <w:szCs w:val="28"/>
        </w:rPr>
        <w:t xml:space="preserve"> изменилась следующим образом. Доля наличны</w:t>
      </w:r>
      <w:r>
        <w:rPr>
          <w:rFonts w:ascii="Times New Roman" w:hAnsi="Times New Roman"/>
          <w:sz w:val="28"/>
          <w:szCs w:val="28"/>
        </w:rPr>
        <w:t xml:space="preserve">х денег выросла с 74,3% на 1 января </w:t>
      </w:r>
      <w:r w:rsidRPr="004441CE">
        <w:rPr>
          <w:rFonts w:ascii="Times New Roman" w:hAnsi="Times New Roman"/>
          <w:sz w:val="28"/>
          <w:szCs w:val="28"/>
        </w:rPr>
        <w:t xml:space="preserve">2007 </w:t>
      </w:r>
      <w:r>
        <w:rPr>
          <w:rFonts w:ascii="Times New Roman" w:hAnsi="Times New Roman"/>
          <w:sz w:val="28"/>
          <w:szCs w:val="28"/>
        </w:rPr>
        <w:t xml:space="preserve">года до 74,7% на 1 января </w:t>
      </w:r>
      <w:r w:rsidRPr="004441CE">
        <w:rPr>
          <w:rFonts w:ascii="Times New Roman" w:hAnsi="Times New Roman"/>
          <w:sz w:val="28"/>
          <w:szCs w:val="28"/>
        </w:rPr>
        <w:t>2008</w:t>
      </w:r>
      <w:r>
        <w:rPr>
          <w:rFonts w:ascii="Times New Roman" w:hAnsi="Times New Roman"/>
          <w:sz w:val="28"/>
          <w:szCs w:val="28"/>
        </w:rPr>
        <w:t xml:space="preserve"> года</w:t>
      </w:r>
      <w:r w:rsidRPr="004441CE">
        <w:rPr>
          <w:rFonts w:ascii="Times New Roman" w:hAnsi="Times New Roman"/>
          <w:sz w:val="28"/>
          <w:szCs w:val="28"/>
        </w:rPr>
        <w:t>. Удельный вес средств на корреспондентских счетах кредитных организаций в Банке России снизился с 15,5</w:t>
      </w:r>
      <w:r>
        <w:rPr>
          <w:rFonts w:ascii="Times New Roman" w:hAnsi="Times New Roman"/>
          <w:sz w:val="28"/>
          <w:szCs w:val="28"/>
        </w:rPr>
        <w:t>%</w:t>
      </w:r>
      <w:r w:rsidRPr="004441CE">
        <w:rPr>
          <w:rFonts w:ascii="Times New Roman" w:hAnsi="Times New Roman"/>
          <w:sz w:val="28"/>
          <w:szCs w:val="28"/>
        </w:rPr>
        <w:t xml:space="preserve"> до 14,6%. Доля средств на счетах обязательных резервов сократилась с 5,3</w:t>
      </w:r>
      <w:r>
        <w:rPr>
          <w:rFonts w:ascii="Times New Roman" w:hAnsi="Times New Roman"/>
          <w:sz w:val="28"/>
          <w:szCs w:val="28"/>
        </w:rPr>
        <w:t>%</w:t>
      </w:r>
      <w:r w:rsidRPr="004441CE">
        <w:rPr>
          <w:rFonts w:ascii="Times New Roman" w:hAnsi="Times New Roman"/>
          <w:sz w:val="28"/>
          <w:szCs w:val="28"/>
        </w:rPr>
        <w:t xml:space="preserve"> до 4,0%. Удельный вес облигаций Банка России у кредитных организаций понизился с 2,5</w:t>
      </w:r>
      <w:r>
        <w:rPr>
          <w:rFonts w:ascii="Times New Roman" w:hAnsi="Times New Roman"/>
          <w:sz w:val="28"/>
          <w:szCs w:val="28"/>
        </w:rPr>
        <w:t>%</w:t>
      </w:r>
      <w:r w:rsidRPr="004441CE">
        <w:rPr>
          <w:rFonts w:ascii="Times New Roman" w:hAnsi="Times New Roman"/>
          <w:sz w:val="28"/>
          <w:szCs w:val="28"/>
        </w:rPr>
        <w:t xml:space="preserve"> до 1,8%, а удельный вес депозитов кредитных организаций в Банке России возрос с 2,4</w:t>
      </w:r>
      <w:r>
        <w:rPr>
          <w:rFonts w:ascii="Times New Roman" w:hAnsi="Times New Roman"/>
          <w:sz w:val="28"/>
          <w:szCs w:val="28"/>
        </w:rPr>
        <w:t>%</w:t>
      </w:r>
      <w:r w:rsidRPr="004441CE">
        <w:rPr>
          <w:rFonts w:ascii="Times New Roman" w:hAnsi="Times New Roman"/>
          <w:sz w:val="28"/>
          <w:szCs w:val="28"/>
        </w:rPr>
        <w:t xml:space="preserve"> до 4,9% на соответствующие даты.</w:t>
      </w:r>
    </w:p>
    <w:p w:rsidR="00C57D9C" w:rsidRPr="004441CE" w:rsidRDefault="00C57D9C" w:rsidP="00C57D9C">
      <w:pPr>
        <w:spacing w:after="0" w:line="360" w:lineRule="auto"/>
        <w:ind w:firstLine="851"/>
        <w:jc w:val="both"/>
        <w:rPr>
          <w:rFonts w:ascii="Times New Roman" w:hAnsi="Times New Roman"/>
          <w:sz w:val="28"/>
          <w:szCs w:val="28"/>
        </w:rPr>
      </w:pPr>
      <w:r w:rsidRPr="004441CE">
        <w:rPr>
          <w:rFonts w:ascii="Times New Roman" w:hAnsi="Times New Roman"/>
          <w:sz w:val="28"/>
          <w:szCs w:val="28"/>
        </w:rPr>
        <w:t>Нестабильная ситуация, возникшая на мировых финансовых рынках летом 2007 года в результате проблем на ипотечном рынке США, обусловила ухудшение условий внешних заимствований для российских экономич</w:t>
      </w:r>
      <w:r>
        <w:rPr>
          <w:rFonts w:ascii="Times New Roman" w:hAnsi="Times New Roman"/>
          <w:sz w:val="28"/>
          <w:szCs w:val="28"/>
        </w:rPr>
        <w:t xml:space="preserve">еских агентов и как следствие – </w:t>
      </w:r>
      <w:r w:rsidRPr="004441CE">
        <w:rPr>
          <w:rFonts w:ascii="Times New Roman" w:hAnsi="Times New Roman"/>
          <w:sz w:val="28"/>
          <w:szCs w:val="28"/>
        </w:rPr>
        <w:t>уменьшение степени участия Банка России на внутреннем валютном рынке. На фоне продолжающегося роста остатков средств на счетах органов государственного управления в Банке России это привело со второй половины августа 2007 г</w:t>
      </w:r>
      <w:r>
        <w:rPr>
          <w:rFonts w:ascii="Times New Roman" w:hAnsi="Times New Roman"/>
          <w:sz w:val="28"/>
          <w:szCs w:val="28"/>
        </w:rPr>
        <w:t>ода</w:t>
      </w:r>
      <w:r w:rsidRPr="004441CE">
        <w:rPr>
          <w:rFonts w:ascii="Times New Roman" w:hAnsi="Times New Roman"/>
          <w:sz w:val="28"/>
          <w:szCs w:val="28"/>
        </w:rPr>
        <w:t xml:space="preserve"> к сокращению ликвидных </w:t>
      </w:r>
      <w:r w:rsidRPr="004441CE">
        <w:rPr>
          <w:rFonts w:ascii="Times New Roman" w:hAnsi="Times New Roman"/>
          <w:sz w:val="28"/>
          <w:szCs w:val="28"/>
        </w:rPr>
        <w:lastRenderedPageBreak/>
        <w:t>рублевых денежных средств у банков. В то же время сезонная потребность кредитных организаций в свободных резервах в декабре в большей степени была удовлетворена за счет перечислений денежных средств из бюджета, что в итоге привело к уменьшению напряжения на денежном рынке.</w:t>
      </w:r>
    </w:p>
    <w:p w:rsidR="00C57D9C" w:rsidRDefault="00C57D9C" w:rsidP="00C57D9C">
      <w:pPr>
        <w:spacing w:after="0" w:line="360" w:lineRule="auto"/>
        <w:ind w:firstLine="851"/>
        <w:jc w:val="both"/>
        <w:rPr>
          <w:rFonts w:ascii="Times New Roman" w:hAnsi="Times New Roman"/>
          <w:sz w:val="28"/>
          <w:szCs w:val="28"/>
        </w:rPr>
      </w:pPr>
      <w:r w:rsidRPr="004441CE">
        <w:rPr>
          <w:rFonts w:ascii="Times New Roman" w:hAnsi="Times New Roman"/>
          <w:sz w:val="28"/>
          <w:szCs w:val="28"/>
        </w:rPr>
        <w:t>Небольшой объем совокупных банковски</w:t>
      </w:r>
      <w:r>
        <w:rPr>
          <w:rFonts w:ascii="Times New Roman" w:hAnsi="Times New Roman"/>
          <w:sz w:val="28"/>
          <w:szCs w:val="28"/>
        </w:rPr>
        <w:t>х резервов в IV квартале 2007 года</w:t>
      </w:r>
      <w:r w:rsidRPr="004441CE">
        <w:rPr>
          <w:rFonts w:ascii="Times New Roman" w:hAnsi="Times New Roman"/>
          <w:sz w:val="28"/>
          <w:szCs w:val="28"/>
        </w:rPr>
        <w:t xml:space="preserve"> послужил причиной сохранения на протяжении большей его части высокого уровня ставок на рынке МБК. Средняя ставка по размещенным российскими банками однодневным рублевым МБК в IV квартале составила 5,4% годовых против 4,9% годовых в III квартале 2007 года.</w:t>
      </w:r>
    </w:p>
    <w:p w:rsidR="00C57D9C" w:rsidRDefault="00C57D9C" w:rsidP="00C57D9C">
      <w:pPr>
        <w:spacing w:after="0" w:line="360" w:lineRule="auto"/>
        <w:ind w:firstLine="851"/>
        <w:jc w:val="both"/>
        <w:rPr>
          <w:rFonts w:ascii="Times New Roman" w:hAnsi="Times New Roman"/>
          <w:sz w:val="28"/>
          <w:szCs w:val="28"/>
        </w:rPr>
      </w:pPr>
      <w:r>
        <w:rPr>
          <w:rFonts w:ascii="Times New Roman" w:hAnsi="Times New Roman"/>
          <w:sz w:val="28"/>
          <w:szCs w:val="28"/>
        </w:rPr>
        <w:t>В IV квартале 2007 года</w:t>
      </w:r>
      <w:r w:rsidRPr="004441CE">
        <w:rPr>
          <w:rFonts w:ascii="Times New Roman" w:hAnsi="Times New Roman"/>
          <w:sz w:val="28"/>
          <w:szCs w:val="28"/>
        </w:rPr>
        <w:t xml:space="preserve"> кредитные организации более активно по сравнению с III кварталом использовали операции Банка России по предоставлению ликвидности при сохранении невысокого спроса на операции по ее абсорбированию.</w:t>
      </w:r>
    </w:p>
    <w:p w:rsidR="00C57D9C" w:rsidRDefault="00C57D9C" w:rsidP="00C57D9C">
      <w:pPr>
        <w:spacing w:after="0" w:line="360" w:lineRule="auto"/>
        <w:ind w:firstLine="851"/>
        <w:jc w:val="both"/>
        <w:rPr>
          <w:rFonts w:ascii="Times New Roman" w:hAnsi="Times New Roman"/>
          <w:sz w:val="28"/>
          <w:szCs w:val="28"/>
        </w:rPr>
      </w:pPr>
      <w:r w:rsidRPr="004441CE">
        <w:rPr>
          <w:rFonts w:ascii="Times New Roman" w:hAnsi="Times New Roman"/>
          <w:sz w:val="28"/>
          <w:szCs w:val="28"/>
        </w:rPr>
        <w:t>Совокупный объем сделок "валютный своп" по опера</w:t>
      </w:r>
      <w:r>
        <w:rPr>
          <w:rFonts w:ascii="Times New Roman" w:hAnsi="Times New Roman"/>
          <w:sz w:val="28"/>
          <w:szCs w:val="28"/>
        </w:rPr>
        <w:t>циям рубль/доллар США в октябре-ноябре 2007 года составил 5317,9 млн. долларов</w:t>
      </w:r>
      <w:r w:rsidRPr="004441CE">
        <w:rPr>
          <w:rFonts w:ascii="Times New Roman" w:hAnsi="Times New Roman"/>
          <w:sz w:val="28"/>
          <w:szCs w:val="28"/>
        </w:rPr>
        <w:t xml:space="preserve"> США</w:t>
      </w:r>
      <w:r>
        <w:rPr>
          <w:rFonts w:ascii="Times New Roman" w:hAnsi="Times New Roman"/>
          <w:sz w:val="28"/>
          <w:szCs w:val="28"/>
        </w:rPr>
        <w:t xml:space="preserve">, по операциям рубль/евро – </w:t>
      </w:r>
      <w:r w:rsidRPr="004441CE">
        <w:rPr>
          <w:rFonts w:ascii="Times New Roman" w:hAnsi="Times New Roman"/>
          <w:sz w:val="28"/>
          <w:szCs w:val="28"/>
        </w:rPr>
        <w:t xml:space="preserve">115,1 млн. евро. </w:t>
      </w:r>
      <w:r>
        <w:rPr>
          <w:rFonts w:ascii="Times New Roman" w:hAnsi="Times New Roman"/>
          <w:sz w:val="28"/>
          <w:szCs w:val="28"/>
        </w:rPr>
        <w:t>Сделки "валютный своп" в 2007 году</w:t>
      </w:r>
      <w:r w:rsidRPr="004441CE">
        <w:rPr>
          <w:rFonts w:ascii="Times New Roman" w:hAnsi="Times New Roman"/>
          <w:sz w:val="28"/>
          <w:szCs w:val="28"/>
        </w:rPr>
        <w:t xml:space="preserve"> заключались также в августе и сентябре, их </w:t>
      </w:r>
      <w:r>
        <w:rPr>
          <w:rFonts w:ascii="Times New Roman" w:hAnsi="Times New Roman"/>
          <w:sz w:val="28"/>
          <w:szCs w:val="28"/>
        </w:rPr>
        <w:t>объем составил 2311,3 млн. долларов</w:t>
      </w:r>
      <w:r w:rsidRPr="004441CE">
        <w:rPr>
          <w:rFonts w:ascii="Times New Roman" w:hAnsi="Times New Roman"/>
          <w:sz w:val="28"/>
          <w:szCs w:val="28"/>
        </w:rPr>
        <w:t xml:space="preserve"> США и 40,1 млн. евро.</w:t>
      </w:r>
    </w:p>
    <w:p w:rsidR="00C57D9C" w:rsidRPr="00C57D9C" w:rsidRDefault="00C57D9C" w:rsidP="00C57D9C">
      <w:pPr>
        <w:spacing w:after="0" w:line="360" w:lineRule="auto"/>
        <w:ind w:firstLine="851"/>
        <w:jc w:val="both"/>
        <w:rPr>
          <w:rFonts w:ascii="Times New Roman" w:hAnsi="Times New Roman"/>
          <w:sz w:val="28"/>
          <w:szCs w:val="28"/>
          <w:lang w:val="en-US"/>
        </w:rPr>
      </w:pPr>
      <w:r>
        <w:rPr>
          <w:rFonts w:ascii="Times New Roman" w:hAnsi="Times New Roman"/>
          <w:sz w:val="28"/>
          <w:szCs w:val="28"/>
        </w:rPr>
        <w:t xml:space="preserve">По состоянию на 1 января </w:t>
      </w:r>
      <w:r w:rsidRPr="004441CE">
        <w:rPr>
          <w:rFonts w:ascii="Times New Roman" w:hAnsi="Times New Roman"/>
          <w:sz w:val="28"/>
          <w:szCs w:val="28"/>
        </w:rPr>
        <w:t xml:space="preserve">2008 </w:t>
      </w:r>
      <w:r>
        <w:rPr>
          <w:rFonts w:ascii="Times New Roman" w:hAnsi="Times New Roman"/>
          <w:sz w:val="28"/>
          <w:szCs w:val="28"/>
        </w:rPr>
        <w:t xml:space="preserve">года </w:t>
      </w:r>
      <w:r w:rsidRPr="004441CE">
        <w:rPr>
          <w:rFonts w:ascii="Times New Roman" w:hAnsi="Times New Roman"/>
          <w:sz w:val="28"/>
          <w:szCs w:val="28"/>
        </w:rPr>
        <w:t>рыночная стоимость заблокированных кредитными организациями ценных бумаг для обеспечения кредитов Банка Р</w:t>
      </w:r>
      <w:r>
        <w:rPr>
          <w:rFonts w:ascii="Times New Roman" w:hAnsi="Times New Roman"/>
          <w:sz w:val="28"/>
          <w:szCs w:val="28"/>
        </w:rPr>
        <w:t>оссии составила 173,2 млрд. рублей</w:t>
      </w:r>
      <w:r w:rsidRPr="004441CE">
        <w:rPr>
          <w:rFonts w:ascii="Times New Roman" w:hAnsi="Times New Roman"/>
          <w:sz w:val="28"/>
          <w:szCs w:val="28"/>
        </w:rPr>
        <w:t xml:space="preserve"> и </w:t>
      </w:r>
      <w:r>
        <w:rPr>
          <w:rFonts w:ascii="Times New Roman" w:hAnsi="Times New Roman"/>
          <w:sz w:val="28"/>
          <w:szCs w:val="28"/>
        </w:rPr>
        <w:t xml:space="preserve">увеличилась по сравнению с 1 октября </w:t>
      </w:r>
      <w:r w:rsidRPr="004441CE">
        <w:rPr>
          <w:rFonts w:ascii="Times New Roman" w:hAnsi="Times New Roman"/>
          <w:sz w:val="28"/>
          <w:szCs w:val="28"/>
        </w:rPr>
        <w:t xml:space="preserve">2007 </w:t>
      </w:r>
      <w:r>
        <w:rPr>
          <w:rFonts w:ascii="Times New Roman" w:hAnsi="Times New Roman"/>
          <w:sz w:val="28"/>
          <w:szCs w:val="28"/>
        </w:rPr>
        <w:t xml:space="preserve">года </w:t>
      </w:r>
      <w:r w:rsidRPr="004441CE">
        <w:rPr>
          <w:rFonts w:ascii="Times New Roman" w:hAnsi="Times New Roman"/>
          <w:sz w:val="28"/>
          <w:szCs w:val="28"/>
        </w:rPr>
        <w:t>на 12%.</w:t>
      </w:r>
      <w:r w:rsidRPr="00C57D9C">
        <w:rPr>
          <w:rFonts w:ascii="Times New Roman" w:hAnsi="Times New Roman"/>
          <w:sz w:val="28"/>
          <w:szCs w:val="28"/>
        </w:rPr>
        <w:t xml:space="preserve"> [</w:t>
      </w:r>
      <w:r>
        <w:rPr>
          <w:rFonts w:ascii="Times New Roman" w:hAnsi="Times New Roman"/>
          <w:sz w:val="28"/>
          <w:szCs w:val="28"/>
          <w:lang w:val="en-US"/>
        </w:rPr>
        <w:t>14]</w:t>
      </w:r>
    </w:p>
    <w:p w:rsidR="00C57D9C" w:rsidRDefault="00C57D9C" w:rsidP="00C57D9C">
      <w:pPr>
        <w:spacing w:after="0" w:line="360" w:lineRule="auto"/>
        <w:ind w:firstLine="851"/>
        <w:jc w:val="both"/>
        <w:rPr>
          <w:rFonts w:ascii="Times New Roman" w:hAnsi="Times New Roman"/>
          <w:sz w:val="28"/>
          <w:szCs w:val="28"/>
        </w:rPr>
      </w:pPr>
      <w:r w:rsidRPr="004441CE">
        <w:rPr>
          <w:rFonts w:ascii="Times New Roman" w:hAnsi="Times New Roman"/>
          <w:sz w:val="28"/>
          <w:szCs w:val="28"/>
        </w:rPr>
        <w:t>Б</w:t>
      </w:r>
      <w:r>
        <w:rPr>
          <w:rFonts w:ascii="Times New Roman" w:hAnsi="Times New Roman"/>
          <w:sz w:val="28"/>
          <w:szCs w:val="28"/>
        </w:rPr>
        <w:t xml:space="preserve">анк России в IV квартале 2007 году предоставил 32,8 млрд. рублей других кредитов – </w:t>
      </w:r>
      <w:r w:rsidRPr="004441CE">
        <w:rPr>
          <w:rFonts w:ascii="Times New Roman" w:hAnsi="Times New Roman"/>
          <w:sz w:val="28"/>
          <w:szCs w:val="28"/>
        </w:rPr>
        <w:t>кредитные организации с октября смогли воспользоваться возможностью получить рефинансирование Банка России на срок до 180 дней под залог векселей, прав требования по кредитным договорам организаций или поручительства кредитных организаций в соответствии с Положением Банка России от</w:t>
      </w:r>
      <w:r>
        <w:rPr>
          <w:rFonts w:ascii="Times New Roman" w:hAnsi="Times New Roman"/>
          <w:sz w:val="28"/>
          <w:szCs w:val="28"/>
        </w:rPr>
        <w:t xml:space="preserve"> 14.07.2005 № 273-П. За октябрь-</w:t>
      </w:r>
      <w:r w:rsidRPr="004441CE">
        <w:rPr>
          <w:rFonts w:ascii="Times New Roman" w:hAnsi="Times New Roman"/>
          <w:sz w:val="28"/>
          <w:szCs w:val="28"/>
        </w:rPr>
        <w:t xml:space="preserve">декабрь заключено 8 договоров с 7 кредитными организациями в 4 территориальных учреждениях Банка России. </w:t>
      </w:r>
      <w:r w:rsidRPr="004441CE">
        <w:rPr>
          <w:rFonts w:ascii="Times New Roman" w:hAnsi="Times New Roman"/>
          <w:sz w:val="28"/>
          <w:szCs w:val="28"/>
        </w:rPr>
        <w:lastRenderedPageBreak/>
        <w:t>Из общего объема выданных за рассматриваемый период других кредитов на срок до 90 д</w:t>
      </w:r>
      <w:r>
        <w:rPr>
          <w:rFonts w:ascii="Times New Roman" w:hAnsi="Times New Roman"/>
          <w:sz w:val="28"/>
          <w:szCs w:val="28"/>
        </w:rPr>
        <w:t xml:space="preserve">ней предоставлено 8,7 млрд. рублей, на срок от 91 до 180 дней – </w:t>
      </w:r>
      <w:r w:rsidRPr="004441CE">
        <w:rPr>
          <w:rFonts w:ascii="Times New Roman" w:hAnsi="Times New Roman"/>
          <w:sz w:val="28"/>
          <w:szCs w:val="28"/>
        </w:rPr>
        <w:t>24,1 млрд. рублей.</w:t>
      </w:r>
    </w:p>
    <w:p w:rsidR="007F6475" w:rsidRDefault="00C57D9C" w:rsidP="00C57D9C">
      <w:pPr>
        <w:spacing w:after="0" w:line="360" w:lineRule="auto"/>
        <w:ind w:firstLine="851"/>
        <w:jc w:val="both"/>
        <w:rPr>
          <w:rFonts w:ascii="Times New Roman" w:hAnsi="Times New Roman"/>
          <w:sz w:val="28"/>
          <w:szCs w:val="28"/>
        </w:rPr>
      </w:pPr>
      <w:r>
        <w:rPr>
          <w:rFonts w:ascii="Times New Roman" w:hAnsi="Times New Roman"/>
          <w:sz w:val="28"/>
          <w:szCs w:val="28"/>
        </w:rPr>
        <w:t>В октябре 2007 года</w:t>
      </w:r>
      <w:r w:rsidRPr="004441CE">
        <w:rPr>
          <w:rFonts w:ascii="Times New Roman" w:hAnsi="Times New Roman"/>
          <w:sz w:val="28"/>
          <w:szCs w:val="28"/>
        </w:rPr>
        <w:t xml:space="preserve"> Банк России осуществил продажу ценных бумаг из собственного портфеля в объеме 13,6 млрд. рублей.</w:t>
      </w:r>
      <w:r>
        <w:rPr>
          <w:rFonts w:ascii="Times New Roman" w:hAnsi="Times New Roman"/>
          <w:sz w:val="28"/>
          <w:szCs w:val="28"/>
        </w:rPr>
        <w:t xml:space="preserve"> В IV квартале 2007 года</w:t>
      </w:r>
      <w:r w:rsidRPr="004441CE">
        <w:rPr>
          <w:rFonts w:ascii="Times New Roman" w:hAnsi="Times New Roman"/>
          <w:sz w:val="28"/>
          <w:szCs w:val="28"/>
        </w:rPr>
        <w:t xml:space="preserve"> в связи со сложившейся ситуацией с банковской ликвидностью Банк России принял решение о временном снижении на 1 процентный пункт нормативов обязательных резервов</w:t>
      </w:r>
      <w:r>
        <w:rPr>
          <w:rFonts w:ascii="Times New Roman" w:hAnsi="Times New Roman"/>
          <w:sz w:val="28"/>
          <w:szCs w:val="28"/>
        </w:rPr>
        <w:t>.</w:t>
      </w:r>
    </w:p>
    <w:p w:rsidR="00C57D9C" w:rsidRPr="007F6475" w:rsidRDefault="00C57D9C" w:rsidP="00C57D9C">
      <w:pPr>
        <w:spacing w:after="0" w:line="360" w:lineRule="auto"/>
        <w:ind w:firstLine="851"/>
        <w:jc w:val="both"/>
        <w:rPr>
          <w:rFonts w:ascii="Times New Roman" w:hAnsi="Times New Roman"/>
          <w:bCs/>
          <w:sz w:val="28"/>
          <w:szCs w:val="28"/>
        </w:rPr>
      </w:pPr>
    </w:p>
    <w:p w:rsidR="002835E3" w:rsidRPr="002835E3" w:rsidRDefault="00D02C59" w:rsidP="00D02C59">
      <w:pPr>
        <w:spacing w:after="0" w:line="480" w:lineRule="auto"/>
        <w:ind w:firstLine="851"/>
        <w:jc w:val="both"/>
        <w:rPr>
          <w:rFonts w:ascii="Times New Roman" w:hAnsi="Times New Roman"/>
          <w:b/>
          <w:bCs/>
          <w:sz w:val="28"/>
          <w:szCs w:val="28"/>
        </w:rPr>
      </w:pPr>
      <w:r>
        <w:rPr>
          <w:rFonts w:ascii="Times New Roman" w:hAnsi="Times New Roman"/>
          <w:b/>
          <w:bCs/>
          <w:sz w:val="28"/>
          <w:szCs w:val="28"/>
        </w:rPr>
        <w:t>2</w:t>
      </w:r>
      <w:r w:rsidR="00E969C6">
        <w:rPr>
          <w:rFonts w:ascii="Times New Roman" w:hAnsi="Times New Roman"/>
          <w:b/>
          <w:bCs/>
          <w:sz w:val="28"/>
          <w:szCs w:val="28"/>
        </w:rPr>
        <w:t>.2</w:t>
      </w:r>
      <w:r w:rsidR="00BC23D3">
        <w:rPr>
          <w:rFonts w:ascii="Times New Roman" w:hAnsi="Times New Roman"/>
          <w:b/>
          <w:bCs/>
          <w:sz w:val="28"/>
          <w:szCs w:val="28"/>
        </w:rPr>
        <w:t xml:space="preserve">. </w:t>
      </w:r>
      <w:r w:rsidR="007C4350">
        <w:rPr>
          <w:rFonts w:ascii="Times New Roman" w:hAnsi="Times New Roman"/>
          <w:b/>
          <w:bCs/>
          <w:sz w:val="28"/>
          <w:szCs w:val="28"/>
        </w:rPr>
        <w:t>Проблемы современной кредитной системы РФ</w:t>
      </w:r>
    </w:p>
    <w:p w:rsidR="005700CD" w:rsidRPr="00E969C6" w:rsidRDefault="00D02C59" w:rsidP="00D02C59">
      <w:pPr>
        <w:spacing w:after="0" w:line="360" w:lineRule="auto"/>
        <w:ind w:firstLine="851"/>
        <w:jc w:val="both"/>
        <w:rPr>
          <w:rFonts w:ascii="Times New Roman" w:hAnsi="Times New Roman"/>
          <w:sz w:val="28"/>
          <w:szCs w:val="28"/>
        </w:rPr>
      </w:pPr>
      <w:r>
        <w:rPr>
          <w:rFonts w:ascii="Times New Roman" w:hAnsi="Times New Roman"/>
          <w:sz w:val="28"/>
          <w:szCs w:val="28"/>
        </w:rPr>
        <w:t>Середина 2007 года ознаменовалась существенными изменениями в финансовом секторе мировой экономики. Ипотечный кризис США привел к некоторым проблемам с ликвидностью банков в Европе и понизил котировки ценных бумаг на азиатских фондовых рынках. Идет медленная девальвация доллара США, подхлестываемая войной в Ираке. На фоне снижения цен на углеводороды растут цены на продовольствие. В это же время наблюдается рост резервных фондов отдельных стран (Япония, Китай, Россия). На России финансовые потрясения пока еще не сказались так значительно. Однако для принятия верных решений в области финансовой политики и извлечения пользы для экономики страны необходим обстоятельный анализ ситуации в финансово-кредитной сфере России.</w:t>
      </w:r>
      <w:r w:rsidR="00397840" w:rsidRPr="00397840">
        <w:rPr>
          <w:rFonts w:ascii="Times New Roman" w:hAnsi="Times New Roman"/>
          <w:sz w:val="28"/>
          <w:szCs w:val="28"/>
        </w:rPr>
        <w:t xml:space="preserve"> </w:t>
      </w:r>
    </w:p>
    <w:p w:rsidR="00D02C59" w:rsidRPr="00397840" w:rsidRDefault="00D02C59" w:rsidP="00D02C59">
      <w:pPr>
        <w:spacing w:after="0" w:line="360" w:lineRule="auto"/>
        <w:ind w:firstLine="851"/>
        <w:jc w:val="both"/>
        <w:rPr>
          <w:rFonts w:ascii="Times New Roman" w:hAnsi="Times New Roman"/>
          <w:sz w:val="28"/>
          <w:szCs w:val="28"/>
        </w:rPr>
      </w:pPr>
      <w:r>
        <w:rPr>
          <w:rFonts w:ascii="Times New Roman" w:hAnsi="Times New Roman"/>
          <w:sz w:val="28"/>
          <w:szCs w:val="28"/>
        </w:rPr>
        <w:t>Вначале рассмотрим положение дел в банковском секторе России. В настоящее время он переживает период слияний и поглощений</w:t>
      </w:r>
      <w:r w:rsidR="003A44DE">
        <w:rPr>
          <w:rFonts w:ascii="Times New Roman" w:hAnsi="Times New Roman"/>
          <w:sz w:val="28"/>
          <w:szCs w:val="28"/>
        </w:rPr>
        <w:t>, причина этого увеличение минимального уставного капитала, установленного требованиями Банка России. Число кредитных организаций за период с 2001 по 2007 года умень</w:t>
      </w:r>
      <w:r w:rsidR="0075164C">
        <w:rPr>
          <w:rFonts w:ascii="Times New Roman" w:hAnsi="Times New Roman"/>
          <w:sz w:val="28"/>
          <w:szCs w:val="28"/>
        </w:rPr>
        <w:t>шилось на 781, а в последние 3</w:t>
      </w:r>
      <w:r w:rsidR="003A44DE">
        <w:rPr>
          <w:rFonts w:ascii="Times New Roman" w:hAnsi="Times New Roman"/>
          <w:sz w:val="28"/>
          <w:szCs w:val="28"/>
        </w:rPr>
        <w:t xml:space="preserve"> года эти уменьшения составляют от 50 до 70 ежегодно. В связи с этим растет совокупный уставной капитал кредитных организаций, с 2001 года он вырос на 359,1 млрд. руб. или в 2,7 раза, </w:t>
      </w:r>
      <w:r w:rsidR="003A44DE">
        <w:rPr>
          <w:rFonts w:ascii="Times New Roman" w:hAnsi="Times New Roman"/>
          <w:sz w:val="28"/>
          <w:szCs w:val="28"/>
        </w:rPr>
        <w:lastRenderedPageBreak/>
        <w:t>значительно этот рост так</w:t>
      </w:r>
      <w:r w:rsidR="0075164C">
        <w:rPr>
          <w:rFonts w:ascii="Times New Roman" w:hAnsi="Times New Roman"/>
          <w:sz w:val="28"/>
          <w:szCs w:val="28"/>
        </w:rPr>
        <w:t>же активировался в последние 3</w:t>
      </w:r>
      <w:r w:rsidR="00397840">
        <w:rPr>
          <w:rFonts w:ascii="Times New Roman" w:hAnsi="Times New Roman"/>
          <w:sz w:val="28"/>
          <w:szCs w:val="28"/>
        </w:rPr>
        <w:t xml:space="preserve"> года.</w:t>
      </w:r>
      <w:r w:rsidR="00397840" w:rsidRPr="00397840">
        <w:rPr>
          <w:rFonts w:ascii="Times New Roman" w:hAnsi="Times New Roman"/>
          <w:sz w:val="28"/>
          <w:szCs w:val="28"/>
        </w:rPr>
        <w:t xml:space="preserve"> </w:t>
      </w:r>
      <w:r w:rsidR="003A44DE">
        <w:rPr>
          <w:rFonts w:ascii="Times New Roman" w:hAnsi="Times New Roman"/>
          <w:sz w:val="28"/>
          <w:szCs w:val="28"/>
        </w:rPr>
        <w:t>Большую активность также стали проявлять на российском рынке иностранные банки. Если до этого их число ум</w:t>
      </w:r>
      <w:r w:rsidR="0075164C">
        <w:rPr>
          <w:rFonts w:ascii="Times New Roman" w:hAnsi="Times New Roman"/>
          <w:sz w:val="28"/>
          <w:szCs w:val="28"/>
        </w:rPr>
        <w:t>еньшалось, то в последние 4</w:t>
      </w:r>
      <w:r w:rsidR="003A44DE">
        <w:rPr>
          <w:rFonts w:ascii="Times New Roman" w:hAnsi="Times New Roman"/>
          <w:sz w:val="28"/>
          <w:szCs w:val="28"/>
        </w:rPr>
        <w:t xml:space="preserve"> года количество иностранных банков увеличивается в разы.</w:t>
      </w:r>
      <w:r w:rsidR="00397840">
        <w:rPr>
          <w:rFonts w:ascii="Times New Roman" w:hAnsi="Times New Roman"/>
          <w:sz w:val="28"/>
          <w:szCs w:val="28"/>
        </w:rPr>
        <w:t xml:space="preserve"> </w:t>
      </w:r>
      <w:r w:rsidR="00397840" w:rsidRPr="00397840">
        <w:rPr>
          <w:rFonts w:ascii="Times New Roman" w:hAnsi="Times New Roman"/>
          <w:sz w:val="28"/>
          <w:szCs w:val="28"/>
        </w:rPr>
        <w:t>[</w:t>
      </w:r>
      <w:r w:rsidR="00397840" w:rsidRPr="00E969C6">
        <w:rPr>
          <w:rFonts w:ascii="Times New Roman" w:hAnsi="Times New Roman"/>
          <w:sz w:val="28"/>
          <w:szCs w:val="28"/>
        </w:rPr>
        <w:t>10, 49]</w:t>
      </w:r>
    </w:p>
    <w:p w:rsidR="003A44DE" w:rsidRDefault="003A44DE" w:rsidP="00D02C59">
      <w:pPr>
        <w:spacing w:after="0" w:line="360" w:lineRule="auto"/>
        <w:ind w:firstLine="851"/>
        <w:jc w:val="both"/>
        <w:rPr>
          <w:rFonts w:ascii="Times New Roman" w:hAnsi="Times New Roman"/>
          <w:sz w:val="28"/>
          <w:szCs w:val="28"/>
        </w:rPr>
      </w:pPr>
      <w:r>
        <w:rPr>
          <w:rFonts w:ascii="Times New Roman" w:hAnsi="Times New Roman"/>
          <w:sz w:val="28"/>
          <w:szCs w:val="28"/>
        </w:rPr>
        <w:t>Однако причины уменьшения числа российских банков связаны не только с поглощением и слиянием, но и с тем, что в течение последних двух лет наблюдается недостаток средств. В результате этого банки вынуждены заимствовать средства для пополнения своих пассивов у иностранных инвесторов.</w:t>
      </w:r>
      <w:r w:rsidR="0075164C">
        <w:rPr>
          <w:rFonts w:ascii="Times New Roman" w:hAnsi="Times New Roman"/>
          <w:sz w:val="28"/>
          <w:szCs w:val="28"/>
        </w:rPr>
        <w:t xml:space="preserve"> Международная инвестиционная политика банковского сектора России в 2004 году составляла 11,3 млрд. долларов США, а в 2006 году она увеличилась более чем в 4 раза и составила 58,6 млрд. долларов США. Основная причина этого увеличение ссуд и займов в 2,4 раза, причем долгосрочных – в 3,3 раза, долгосрочных текущих счетов и депозитов – в 4,7 раза и портфельных инвестиций – в 3,6 раза.</w:t>
      </w:r>
    </w:p>
    <w:p w:rsidR="0075164C" w:rsidRDefault="0075164C" w:rsidP="00D02C59">
      <w:pPr>
        <w:spacing w:after="0" w:line="360" w:lineRule="auto"/>
        <w:ind w:firstLine="851"/>
        <w:jc w:val="both"/>
        <w:rPr>
          <w:rFonts w:ascii="Times New Roman" w:hAnsi="Times New Roman"/>
          <w:sz w:val="28"/>
          <w:szCs w:val="28"/>
        </w:rPr>
      </w:pPr>
      <w:r>
        <w:rPr>
          <w:rFonts w:ascii="Times New Roman" w:hAnsi="Times New Roman"/>
          <w:sz w:val="28"/>
          <w:szCs w:val="28"/>
        </w:rPr>
        <w:t>Такая ситуация наблюдается не только в банковском секторе. Совокупная задолженность российских компаний и банков составляет 160 млрд. долларов США. Одна треть приходится на Газпром и Роснефть. По мнению международных аналитиков, российские банки не защищены от внезапного возникновения кризиса ликвидности, когда из-за нехватки средств банки прекратят обслуживание клиентов.</w:t>
      </w:r>
      <w:r w:rsidR="00EE225F">
        <w:rPr>
          <w:rFonts w:ascii="Times New Roman" w:hAnsi="Times New Roman"/>
          <w:sz w:val="28"/>
          <w:szCs w:val="28"/>
        </w:rPr>
        <w:t xml:space="preserve"> По оценке внешний долг российских банков в пассивах составляет около 15%.</w:t>
      </w:r>
    </w:p>
    <w:p w:rsidR="00EF27C8" w:rsidRDefault="00A31894" w:rsidP="00EF27C8">
      <w:pPr>
        <w:spacing w:after="0" w:line="360" w:lineRule="auto"/>
        <w:ind w:firstLine="851"/>
        <w:jc w:val="both"/>
        <w:rPr>
          <w:rFonts w:ascii="Times New Roman" w:hAnsi="Times New Roman"/>
          <w:sz w:val="28"/>
          <w:szCs w:val="28"/>
        </w:rPr>
      </w:pPr>
      <w:r>
        <w:rPr>
          <w:rFonts w:ascii="Times New Roman" w:hAnsi="Times New Roman"/>
          <w:sz w:val="28"/>
          <w:szCs w:val="28"/>
        </w:rPr>
        <w:t xml:space="preserve">Об ухудшении ситуации можно судить относительно роста показателей экспорта и импорта. В долларовом выражении приросты экспорта и импорта товаров были достаточно близки – 25% и 31% соответственно, но их факторы принципиально разные. </w:t>
      </w:r>
      <w:r w:rsidR="00397840" w:rsidRPr="00397840">
        <w:rPr>
          <w:rFonts w:ascii="Times New Roman" w:hAnsi="Times New Roman"/>
          <w:sz w:val="28"/>
          <w:szCs w:val="28"/>
        </w:rPr>
        <w:t xml:space="preserve">[18, 7] </w:t>
      </w:r>
      <w:r>
        <w:rPr>
          <w:rFonts w:ascii="Times New Roman" w:hAnsi="Times New Roman"/>
          <w:sz w:val="28"/>
          <w:szCs w:val="28"/>
        </w:rPr>
        <w:t xml:space="preserve">В росте экспорта главную роль сыграли благоприятные внешнеторговые цены, которые объясняют почти 80% всего прироста, соответственно примерно 20% прироста явились следствием увеличения физических объемов. Напротив, в импорте товаров только 20% его прироста связана с ценовым фактором, остальное – с увеличением физических </w:t>
      </w:r>
      <w:r>
        <w:rPr>
          <w:rFonts w:ascii="Times New Roman" w:hAnsi="Times New Roman"/>
          <w:sz w:val="28"/>
          <w:szCs w:val="28"/>
        </w:rPr>
        <w:lastRenderedPageBreak/>
        <w:t>объемов. Тенденция, конечно, довольно тревожная, хотя положительным можно назвать медленное, но устойчивое повышение доли машин и оборудования, достигшей почти половины всего товарного импорта.</w:t>
      </w:r>
      <w:r w:rsidR="00EF27C8">
        <w:rPr>
          <w:rFonts w:ascii="Times New Roman" w:hAnsi="Times New Roman"/>
          <w:sz w:val="28"/>
          <w:szCs w:val="28"/>
        </w:rPr>
        <w:t xml:space="preserve"> Таким образом, экспортная выручка, служившая главным источником притока валюты в страну до 2005 года, постепенно перестает быть таковым вследствие замедления роста физических объемов экспорта. Увеличение положительного сальдо счета текущих операций замедляется, и в недалеком будущем можно ожидать его сокращения. Данный показатель в процентах к ВВП, начиная с 2004 года, постоянно снижается. Соответственно падает роль счета текущих операций в качестве эмиссионного источника.</w:t>
      </w:r>
    </w:p>
    <w:p w:rsidR="004E3A77" w:rsidRDefault="00221F78" w:rsidP="004E3A77">
      <w:pPr>
        <w:spacing w:after="0" w:line="360" w:lineRule="auto"/>
        <w:ind w:firstLine="851"/>
        <w:jc w:val="both"/>
        <w:rPr>
          <w:rFonts w:ascii="Times New Roman" w:hAnsi="Times New Roman"/>
          <w:sz w:val="28"/>
          <w:szCs w:val="28"/>
        </w:rPr>
      </w:pPr>
      <w:r>
        <w:rPr>
          <w:rFonts w:ascii="Times New Roman" w:hAnsi="Times New Roman"/>
          <w:sz w:val="28"/>
          <w:szCs w:val="28"/>
        </w:rPr>
        <w:t>Негативный фактор оказывает огромное поступление денег в экономику, который отражается увеличением денежной массы.</w:t>
      </w:r>
      <w:r w:rsidR="004E3A77">
        <w:rPr>
          <w:rFonts w:ascii="Times New Roman" w:hAnsi="Times New Roman"/>
          <w:sz w:val="28"/>
          <w:szCs w:val="28"/>
        </w:rPr>
        <w:t xml:space="preserve"> Говоря об опасностях, ассоциируемых с крупным притоком капитала, обычно отмечают: - быстрое укрепление национальной валюты, снижающее конкурентоспособность отечественных </w:t>
      </w:r>
      <w:r w:rsidR="00204DD8">
        <w:rPr>
          <w:rFonts w:ascii="Times New Roman" w:hAnsi="Times New Roman"/>
          <w:sz w:val="28"/>
          <w:szCs w:val="28"/>
        </w:rPr>
        <w:t>производителей,</w:t>
      </w:r>
      <w:r w:rsidR="004E3A77">
        <w:rPr>
          <w:rFonts w:ascii="Times New Roman" w:hAnsi="Times New Roman"/>
          <w:sz w:val="28"/>
          <w:szCs w:val="28"/>
        </w:rPr>
        <w:t xml:space="preserve"> как на международных рынках, так и на внутреннем рынке; - появление в стране «горячего» краткосрочного капитала, характеризующегося повышенной мобильностью и чувствительностью к реальным или мнимым изменениям на мировых финансовых рынках</w:t>
      </w:r>
      <w:r w:rsidR="00204DD8">
        <w:rPr>
          <w:rFonts w:ascii="Times New Roman" w:hAnsi="Times New Roman"/>
          <w:sz w:val="28"/>
          <w:szCs w:val="28"/>
        </w:rPr>
        <w:t>, могут произойти структурные перекосы в экономике, а продолжительное присутствие такого капитала в стране не поддается прогнозированию; - наличие различных рыночных «пузырей», существенный приток капитала может «перегреть» финансовые рынки небольших размеров, характерные для стран с переходной экономикой; - ослабление самостоятельной денежно-кредитной политики, в условиях свободного движения капитала практически невозможно выдержать целевые установки по основным денежно-кредитным показателям, поскольку они будут полностью зависеть от непредсказуемого поведения потоков капитала.</w:t>
      </w:r>
    </w:p>
    <w:p w:rsidR="00221F78" w:rsidRPr="00A31894" w:rsidRDefault="00221F78" w:rsidP="004E3A77">
      <w:pPr>
        <w:spacing w:after="0" w:line="360" w:lineRule="auto"/>
        <w:ind w:firstLine="851"/>
        <w:jc w:val="both"/>
        <w:rPr>
          <w:rFonts w:ascii="Times New Roman" w:hAnsi="Times New Roman"/>
          <w:sz w:val="28"/>
          <w:szCs w:val="28"/>
        </w:rPr>
      </w:pPr>
      <w:r>
        <w:rPr>
          <w:rFonts w:ascii="Times New Roman" w:hAnsi="Times New Roman"/>
          <w:sz w:val="28"/>
          <w:szCs w:val="28"/>
        </w:rPr>
        <w:t>В начале 2008 года тенденция наращив</w:t>
      </w:r>
      <w:r w:rsidR="00BB4652">
        <w:rPr>
          <w:rFonts w:ascii="Times New Roman" w:hAnsi="Times New Roman"/>
          <w:sz w:val="28"/>
          <w:szCs w:val="28"/>
        </w:rPr>
        <w:t>ания денежной массы составляла</w:t>
      </w:r>
      <w:r>
        <w:rPr>
          <w:rFonts w:ascii="Times New Roman" w:hAnsi="Times New Roman"/>
          <w:sz w:val="28"/>
          <w:szCs w:val="28"/>
        </w:rPr>
        <w:t>: на 1</w:t>
      </w:r>
      <w:r w:rsidR="00771FEF">
        <w:rPr>
          <w:rFonts w:ascii="Times New Roman" w:hAnsi="Times New Roman"/>
          <w:sz w:val="28"/>
          <w:szCs w:val="28"/>
        </w:rPr>
        <w:t xml:space="preserve"> июня 20</w:t>
      </w:r>
      <w:r>
        <w:rPr>
          <w:rFonts w:ascii="Times New Roman" w:hAnsi="Times New Roman"/>
          <w:sz w:val="28"/>
          <w:szCs w:val="28"/>
        </w:rPr>
        <w:t xml:space="preserve">08 </w:t>
      </w:r>
      <w:r w:rsidR="00771FEF">
        <w:rPr>
          <w:rFonts w:ascii="Times New Roman" w:hAnsi="Times New Roman"/>
          <w:sz w:val="28"/>
          <w:szCs w:val="28"/>
        </w:rPr>
        <w:t xml:space="preserve">года </w:t>
      </w:r>
      <w:r>
        <w:rPr>
          <w:rFonts w:ascii="Times New Roman" w:hAnsi="Times New Roman"/>
          <w:sz w:val="28"/>
          <w:szCs w:val="28"/>
        </w:rPr>
        <w:t xml:space="preserve">прирост денежной массы за предыдущие 12 месяцев </w:t>
      </w:r>
      <w:r>
        <w:rPr>
          <w:rFonts w:ascii="Times New Roman" w:hAnsi="Times New Roman"/>
          <w:sz w:val="28"/>
          <w:szCs w:val="28"/>
        </w:rPr>
        <w:lastRenderedPageBreak/>
        <w:t>составил 61,7%. Тем не менее, инфляция потребительских цен снизилась с 5,9% в январе – мае 2006 года до 4,7% в том же периоде 2007 года.</w:t>
      </w:r>
      <w:r w:rsidR="00397840" w:rsidRPr="00397840">
        <w:rPr>
          <w:rFonts w:ascii="Times New Roman" w:hAnsi="Times New Roman"/>
          <w:sz w:val="28"/>
          <w:szCs w:val="28"/>
        </w:rPr>
        <w:t xml:space="preserve"> [15]</w:t>
      </w:r>
      <w:r>
        <w:rPr>
          <w:rFonts w:ascii="Times New Roman" w:hAnsi="Times New Roman"/>
          <w:sz w:val="28"/>
          <w:szCs w:val="28"/>
        </w:rPr>
        <w:t xml:space="preserve"> Частично это можно объяснить резким ростом цен на некоторые продукты (сахар, крупу) в начале прошлого года. Но имеет место и другой, обнадеживающий фактор: денежная масса снижает свое давление на потребительский рынок. Этот процесс выражается</w:t>
      </w:r>
      <w:r w:rsidR="003C2D91">
        <w:rPr>
          <w:rFonts w:ascii="Times New Roman" w:hAnsi="Times New Roman"/>
          <w:sz w:val="28"/>
          <w:szCs w:val="28"/>
        </w:rPr>
        <w:t xml:space="preserve"> в снижении скорости обращения денег: рассчитанная по агрегату М2, она упала в 2007 году на 14% по сравнению с предшествующим годом. Значительно выросли вклады в коммерческие банки – на 47,9%. При этом заметно повысилась доля рублевых вкладов – в основном за счет краткосрочных (до 1 года) депозитов юридических лиц. Объем валютных вкладов сократился до рекордно низкого показателя – 22,2%. Темпы реального роста конечного потребления домашних хозяйств остаются высокими. Правда, в 2007 году они снизились до 11,2% по сравнению с 12,8</w:t>
      </w:r>
      <w:r w:rsidR="006C3E8E">
        <w:rPr>
          <w:rFonts w:ascii="Times New Roman" w:hAnsi="Times New Roman"/>
          <w:sz w:val="28"/>
          <w:szCs w:val="28"/>
        </w:rPr>
        <w:t>%</w:t>
      </w:r>
      <w:r w:rsidR="003C2D91">
        <w:rPr>
          <w:rFonts w:ascii="Times New Roman" w:hAnsi="Times New Roman"/>
          <w:sz w:val="28"/>
          <w:szCs w:val="28"/>
        </w:rPr>
        <w:t xml:space="preserve"> в 2006 году. Одновременно заметно выросли темпы увеличения валового накопления основного капитала – с 8,3% до 13,9%. Это значит, что происходит перераспределение денежных средств от потребительского рынка в сектор инвестиционных товаров, что позволяет ускоренно наращивать денежную массу без риска негативного воздействия на уровень потребительских цен.</w:t>
      </w:r>
    </w:p>
    <w:p w:rsidR="00EE225F" w:rsidRPr="00397840" w:rsidRDefault="00EE225F" w:rsidP="00D02C59">
      <w:pPr>
        <w:spacing w:after="0" w:line="360" w:lineRule="auto"/>
        <w:ind w:firstLine="851"/>
        <w:jc w:val="both"/>
        <w:rPr>
          <w:rFonts w:ascii="Times New Roman" w:hAnsi="Times New Roman"/>
          <w:sz w:val="28"/>
          <w:szCs w:val="28"/>
          <w:lang w:val="en-US"/>
        </w:rPr>
      </w:pPr>
      <w:r>
        <w:rPr>
          <w:rFonts w:ascii="Times New Roman" w:hAnsi="Times New Roman"/>
          <w:sz w:val="28"/>
          <w:szCs w:val="28"/>
        </w:rPr>
        <w:t>Также о нехватке денежных средств можно судить по стагнации рынка недвижимости в целом по России. Например, в Москве квартиры приобретают только 2% от общего числа горожан, хотя платежеспособностью обладают 10% населения, но не покупают квартиры по различным причинам.</w:t>
      </w:r>
      <w:r w:rsidR="00397840" w:rsidRPr="00397840">
        <w:rPr>
          <w:rFonts w:ascii="Times New Roman" w:hAnsi="Times New Roman"/>
          <w:sz w:val="28"/>
          <w:szCs w:val="28"/>
        </w:rPr>
        <w:t xml:space="preserve"> [</w:t>
      </w:r>
      <w:r w:rsidR="00397840">
        <w:rPr>
          <w:rFonts w:ascii="Times New Roman" w:hAnsi="Times New Roman"/>
          <w:sz w:val="28"/>
          <w:szCs w:val="28"/>
          <w:lang w:val="en-US"/>
        </w:rPr>
        <w:t>18, 9]</w:t>
      </w:r>
    </w:p>
    <w:p w:rsidR="007C4350" w:rsidRDefault="007C4350" w:rsidP="00D02C59">
      <w:pPr>
        <w:spacing w:after="0" w:line="360" w:lineRule="auto"/>
        <w:ind w:firstLine="851"/>
        <w:jc w:val="both"/>
        <w:rPr>
          <w:rFonts w:ascii="Times New Roman" w:hAnsi="Times New Roman"/>
          <w:sz w:val="28"/>
          <w:szCs w:val="28"/>
        </w:rPr>
      </w:pPr>
      <w:r>
        <w:rPr>
          <w:rFonts w:ascii="Times New Roman" w:hAnsi="Times New Roman"/>
          <w:sz w:val="28"/>
          <w:szCs w:val="28"/>
        </w:rPr>
        <w:t xml:space="preserve">Итак, с одной стороны, в России наблюдается обнуление торгового профицита, и объемы экспорта уже не покрывают объемы импорта. Российской экономике не хватает средств, и эти средства заимствуются через банки у иностранных инвесторов. Как известно, это приводит не только к финансовой зависимости, но и политической, поскольку под угрозу ставится финансовая безопасность. Следующий показатель финансового неблагополучия в стране – это стагнация рынка недвижимости. И в качестве выхода из сложившегося </w:t>
      </w:r>
      <w:r>
        <w:rPr>
          <w:rFonts w:ascii="Times New Roman" w:hAnsi="Times New Roman"/>
          <w:sz w:val="28"/>
          <w:szCs w:val="28"/>
        </w:rPr>
        <w:lastRenderedPageBreak/>
        <w:t>кризиса называется девальвация рубля</w:t>
      </w:r>
      <w:r w:rsidR="00994F52">
        <w:rPr>
          <w:rFonts w:ascii="Times New Roman" w:hAnsi="Times New Roman"/>
          <w:sz w:val="28"/>
          <w:szCs w:val="28"/>
        </w:rPr>
        <w:t>. По мнению экспертов, если сейчас снизить долларовое содержание рубля, то можно получить за продажу наших ресурсов больше средств в рублевом эквиваленте и соответственно это подтолкнет экономику России к росту.</w:t>
      </w:r>
    </w:p>
    <w:p w:rsidR="004D03CC" w:rsidRDefault="00994F52" w:rsidP="004D03CC">
      <w:pPr>
        <w:spacing w:after="0" w:line="360" w:lineRule="auto"/>
        <w:ind w:firstLine="851"/>
        <w:jc w:val="both"/>
        <w:rPr>
          <w:rFonts w:ascii="Times New Roman" w:hAnsi="Times New Roman"/>
          <w:sz w:val="28"/>
          <w:szCs w:val="28"/>
        </w:rPr>
      </w:pPr>
      <w:r>
        <w:rPr>
          <w:rFonts w:ascii="Times New Roman" w:hAnsi="Times New Roman"/>
          <w:sz w:val="28"/>
          <w:szCs w:val="28"/>
        </w:rPr>
        <w:t xml:space="preserve">Однако сейчас девальвация это не лучший вариант выхода из сложившейся ситуации. Во-первых, в отличие от ситуации 1998 года девальвация даст только кратковременный рост в течение 1 года, а не 5 лет как после девальвации 1998 года. Во-вторых, девальвация приведет к резкому росту инфляции (до 30%), а это противоречит экономическим интересам современной России. В-третьих, в результате девальвации Россия не станет богаче </w:t>
      </w:r>
      <w:r w:rsidR="006D1630">
        <w:rPr>
          <w:rFonts w:ascii="Times New Roman" w:hAnsi="Times New Roman"/>
          <w:sz w:val="28"/>
          <w:szCs w:val="28"/>
        </w:rPr>
        <w:t>и экономически более развитой, это будет кратковременной облегчение финансовой ситуации.</w:t>
      </w:r>
    </w:p>
    <w:p w:rsidR="00AC2CDD" w:rsidRDefault="00AC2CDD" w:rsidP="004D03CC">
      <w:pPr>
        <w:spacing w:after="0" w:line="360" w:lineRule="auto"/>
        <w:ind w:firstLine="851"/>
        <w:jc w:val="both"/>
        <w:rPr>
          <w:rFonts w:ascii="Times New Roman" w:hAnsi="Times New Roman"/>
          <w:sz w:val="28"/>
          <w:szCs w:val="28"/>
        </w:rPr>
      </w:pPr>
    </w:p>
    <w:p w:rsidR="00AC2CDD" w:rsidRPr="00AC2CDD" w:rsidRDefault="00E969C6" w:rsidP="00AC2CDD">
      <w:pPr>
        <w:spacing w:after="0" w:line="480" w:lineRule="auto"/>
        <w:ind w:firstLine="851"/>
        <w:jc w:val="both"/>
        <w:rPr>
          <w:rFonts w:ascii="Times New Roman" w:hAnsi="Times New Roman"/>
          <w:b/>
          <w:sz w:val="28"/>
          <w:szCs w:val="28"/>
        </w:rPr>
      </w:pPr>
      <w:r>
        <w:rPr>
          <w:rFonts w:ascii="Times New Roman" w:hAnsi="Times New Roman"/>
          <w:b/>
          <w:sz w:val="28"/>
          <w:szCs w:val="28"/>
        </w:rPr>
        <w:t>2.3</w:t>
      </w:r>
      <w:r w:rsidR="00AC2CDD">
        <w:rPr>
          <w:rFonts w:ascii="Times New Roman" w:hAnsi="Times New Roman"/>
          <w:b/>
          <w:sz w:val="28"/>
          <w:szCs w:val="28"/>
        </w:rPr>
        <w:t>. Пути совершенствования кредитной системы РФ</w:t>
      </w:r>
    </w:p>
    <w:p w:rsidR="006D1630" w:rsidRDefault="004D03CC" w:rsidP="00D02C59">
      <w:pPr>
        <w:spacing w:after="0" w:line="360" w:lineRule="auto"/>
        <w:ind w:firstLine="851"/>
        <w:jc w:val="both"/>
        <w:rPr>
          <w:rFonts w:ascii="Times New Roman" w:hAnsi="Times New Roman"/>
          <w:sz w:val="28"/>
          <w:szCs w:val="28"/>
        </w:rPr>
      </w:pPr>
      <w:r>
        <w:rPr>
          <w:rFonts w:ascii="Times New Roman" w:hAnsi="Times New Roman"/>
          <w:sz w:val="28"/>
          <w:szCs w:val="28"/>
        </w:rPr>
        <w:t>У</w:t>
      </w:r>
      <w:r w:rsidR="006D1630">
        <w:rPr>
          <w:rFonts w:ascii="Times New Roman" w:hAnsi="Times New Roman"/>
          <w:sz w:val="28"/>
          <w:szCs w:val="28"/>
        </w:rPr>
        <w:t xml:space="preserve"> страны есть два крупных фонда – золотовалютные резервы Банка России и </w:t>
      </w:r>
      <w:r w:rsidR="00D03BC6">
        <w:rPr>
          <w:rFonts w:ascii="Times New Roman" w:hAnsi="Times New Roman"/>
          <w:sz w:val="28"/>
          <w:szCs w:val="28"/>
        </w:rPr>
        <w:t>Резервный</w:t>
      </w:r>
      <w:r w:rsidR="006D1630">
        <w:rPr>
          <w:rFonts w:ascii="Times New Roman" w:hAnsi="Times New Roman"/>
          <w:sz w:val="28"/>
          <w:szCs w:val="28"/>
        </w:rPr>
        <w:t xml:space="preserve"> фонд РФ, которые размещены в иностранные ценные бумаги, деньги и золото, но пользы для российской экономики не приносят. </w:t>
      </w:r>
      <w:r w:rsidR="00D03BC6">
        <w:rPr>
          <w:rFonts w:ascii="Times New Roman" w:hAnsi="Times New Roman"/>
          <w:sz w:val="28"/>
          <w:szCs w:val="28"/>
        </w:rPr>
        <w:t xml:space="preserve">Резервный фонд является частью средств федерального бюджета, призван обеспечивать выполнение государством своих расходных обязательств. Объем Резервного фонда на 1 декабря 2008 года составляет 3661, 37 млрд. рублей. </w:t>
      </w:r>
      <w:r w:rsidR="00397840" w:rsidRPr="00397840">
        <w:rPr>
          <w:rFonts w:ascii="Times New Roman" w:hAnsi="Times New Roman"/>
          <w:sz w:val="28"/>
          <w:szCs w:val="28"/>
        </w:rPr>
        <w:t xml:space="preserve">[15] </w:t>
      </w:r>
      <w:r w:rsidR="00D03BC6">
        <w:rPr>
          <w:rFonts w:ascii="Times New Roman" w:hAnsi="Times New Roman"/>
          <w:sz w:val="28"/>
          <w:szCs w:val="28"/>
        </w:rPr>
        <w:t>По расчетам экспертов, если Россия вложит 40% накопленных средств в гособлигации иностранных правительств, а 60% - в корпоративные  бумаги и удержится</w:t>
      </w:r>
      <w:r w:rsidR="00E00714">
        <w:rPr>
          <w:rFonts w:ascii="Times New Roman" w:hAnsi="Times New Roman"/>
          <w:sz w:val="28"/>
          <w:szCs w:val="28"/>
        </w:rPr>
        <w:t xml:space="preserve"> от расходования этих средств в течение 10 лет, то уже к 2018 году Россия сможет жить на проценты от нефтяных доходов. Как известно Министерство Финансов и Правительство РФ уже вложили одну часть денег в гособлигации 14 государств с высоким инвестиционным рейтингом, а вторую – в более доходные инструменты: акции иностранных компании – «голубых фишек».</w:t>
      </w:r>
    </w:p>
    <w:p w:rsidR="00E00714" w:rsidRDefault="00093682" w:rsidP="00D02C59">
      <w:pPr>
        <w:spacing w:after="0" w:line="360" w:lineRule="auto"/>
        <w:ind w:firstLine="851"/>
        <w:jc w:val="both"/>
        <w:rPr>
          <w:rFonts w:ascii="Times New Roman" w:hAnsi="Times New Roman"/>
          <w:sz w:val="28"/>
          <w:szCs w:val="28"/>
        </w:rPr>
      </w:pPr>
      <w:r>
        <w:rPr>
          <w:rFonts w:ascii="Times New Roman" w:hAnsi="Times New Roman"/>
          <w:sz w:val="28"/>
          <w:szCs w:val="28"/>
        </w:rPr>
        <w:lastRenderedPageBreak/>
        <w:t xml:space="preserve">Другим важным финансовым резервом России являются золотовалютные резервы Банка России. На начало 2008 года объем золотовалютных резервов РФ был зафиксирован на отметке 478,8 млрд. долларов США. </w:t>
      </w:r>
      <w:r w:rsidR="00397840" w:rsidRPr="00397840">
        <w:rPr>
          <w:rFonts w:ascii="Times New Roman" w:hAnsi="Times New Roman"/>
          <w:sz w:val="28"/>
          <w:szCs w:val="28"/>
        </w:rPr>
        <w:t xml:space="preserve">[14] </w:t>
      </w:r>
      <w:r>
        <w:rPr>
          <w:rFonts w:ascii="Times New Roman" w:hAnsi="Times New Roman"/>
          <w:sz w:val="28"/>
          <w:szCs w:val="28"/>
        </w:rPr>
        <w:t xml:space="preserve">Но в связи с ипотечным кризисом в США и </w:t>
      </w:r>
      <w:r w:rsidR="005915BD">
        <w:rPr>
          <w:rFonts w:ascii="Times New Roman" w:hAnsi="Times New Roman"/>
          <w:sz w:val="28"/>
          <w:szCs w:val="28"/>
        </w:rPr>
        <w:t>проблемами ликвидности банков, Правительство РФ было вынуждено сократить золотовалютные запасы и на 5 декабря 2008 года они составили 437 млрд. долларов США.</w:t>
      </w:r>
    </w:p>
    <w:p w:rsidR="005915BD" w:rsidRDefault="005915BD" w:rsidP="00D02C59">
      <w:pPr>
        <w:spacing w:after="0" w:line="360" w:lineRule="auto"/>
        <w:ind w:firstLine="851"/>
        <w:jc w:val="both"/>
        <w:rPr>
          <w:rFonts w:ascii="Times New Roman" w:hAnsi="Times New Roman"/>
          <w:sz w:val="28"/>
          <w:szCs w:val="28"/>
        </w:rPr>
      </w:pPr>
      <w:r>
        <w:rPr>
          <w:rFonts w:ascii="Times New Roman" w:hAnsi="Times New Roman"/>
          <w:sz w:val="28"/>
          <w:szCs w:val="28"/>
        </w:rPr>
        <w:t>Таким образом, совокупные резервы России в виде Резервного фонда и золотовалютных запасов Банка России на 1 декабря 2008 года составляют 572,63 млрд. долларов США.</w:t>
      </w:r>
    </w:p>
    <w:p w:rsidR="005915BD" w:rsidRDefault="005915BD" w:rsidP="00D02C59">
      <w:pPr>
        <w:spacing w:after="0" w:line="360" w:lineRule="auto"/>
        <w:ind w:firstLine="851"/>
        <w:jc w:val="both"/>
        <w:rPr>
          <w:rFonts w:ascii="Times New Roman" w:hAnsi="Times New Roman"/>
          <w:sz w:val="28"/>
          <w:szCs w:val="28"/>
        </w:rPr>
      </w:pPr>
      <w:r>
        <w:rPr>
          <w:rFonts w:ascii="Times New Roman" w:hAnsi="Times New Roman"/>
          <w:sz w:val="28"/>
          <w:szCs w:val="28"/>
        </w:rPr>
        <w:t>Как раз сейчас пришло то самое время, когда эти резервы необходимо использовать для нужд российской экономики. Как уже отмечалось, совокупная задолженность российских банков и компаний составляет более 160 млрд. долларов США, что сопоставимо с объемом Резервного фонда страны.</w:t>
      </w:r>
      <w:r w:rsidR="00CA21EC">
        <w:rPr>
          <w:rFonts w:ascii="Times New Roman" w:hAnsi="Times New Roman"/>
          <w:sz w:val="28"/>
          <w:szCs w:val="28"/>
        </w:rPr>
        <w:t xml:space="preserve"> Более того, ситуация на мировой арене не лучшая для России. С одной стороны, Россия пытается показать свою политическую, экономическую и военную мощь и задается вопросом, как стать мировым лидером, а с другой стороны как какая-то третьесортная страна вкладывает свои средства в иностранные активы.</w:t>
      </w:r>
    </w:p>
    <w:p w:rsidR="00CA21EC" w:rsidRPr="00E969C6" w:rsidRDefault="00CA21EC" w:rsidP="00D02C59">
      <w:pPr>
        <w:spacing w:after="0" w:line="360" w:lineRule="auto"/>
        <w:ind w:firstLine="851"/>
        <w:jc w:val="both"/>
        <w:rPr>
          <w:rFonts w:ascii="Times New Roman" w:hAnsi="Times New Roman"/>
          <w:sz w:val="28"/>
          <w:szCs w:val="28"/>
        </w:rPr>
      </w:pPr>
      <w:r>
        <w:rPr>
          <w:rFonts w:ascii="Times New Roman" w:hAnsi="Times New Roman"/>
          <w:sz w:val="28"/>
          <w:szCs w:val="28"/>
        </w:rPr>
        <w:t>Сейчас в России можно с гораздо меньшим риском разместить средства Резервного фонда (финансовый кризис может обесценить российские сбережения) и решить два важных вопроса – экономический (средства Резервного фонда выдавать в кредит российским банкам, что позволит обеспечить российскую экономику деньгами, позволит повысить инвестиционную привлекательность России) и политический (снижение социального напряжения в обществе, что очень важно для дальнейшего развития)</w:t>
      </w:r>
      <w:r w:rsidR="00DB5F7C">
        <w:rPr>
          <w:rFonts w:ascii="Times New Roman" w:hAnsi="Times New Roman"/>
          <w:sz w:val="28"/>
          <w:szCs w:val="28"/>
        </w:rPr>
        <w:t>.</w:t>
      </w:r>
      <w:r w:rsidR="00C1187E" w:rsidRPr="00C1187E">
        <w:rPr>
          <w:rFonts w:ascii="Times New Roman" w:hAnsi="Times New Roman"/>
          <w:sz w:val="28"/>
          <w:szCs w:val="28"/>
        </w:rPr>
        <w:t xml:space="preserve"> [</w:t>
      </w:r>
      <w:r w:rsidR="00C1187E" w:rsidRPr="00E969C6">
        <w:rPr>
          <w:rFonts w:ascii="Times New Roman" w:hAnsi="Times New Roman"/>
          <w:sz w:val="28"/>
          <w:szCs w:val="28"/>
        </w:rPr>
        <w:t>10, 51]</w:t>
      </w:r>
    </w:p>
    <w:p w:rsidR="004D03CC" w:rsidRPr="00E969C6" w:rsidRDefault="004D03CC" w:rsidP="00E953A0">
      <w:pPr>
        <w:spacing w:after="0" w:line="360" w:lineRule="auto"/>
        <w:ind w:firstLine="851"/>
        <w:jc w:val="both"/>
        <w:rPr>
          <w:rFonts w:ascii="Times New Roman" w:hAnsi="Times New Roman"/>
          <w:sz w:val="28"/>
          <w:szCs w:val="28"/>
        </w:rPr>
      </w:pPr>
      <w:r>
        <w:rPr>
          <w:rFonts w:ascii="Times New Roman" w:hAnsi="Times New Roman"/>
          <w:sz w:val="28"/>
          <w:szCs w:val="28"/>
        </w:rPr>
        <w:t xml:space="preserve">Проблемы, связанные с притоком капитала в </w:t>
      </w:r>
      <w:r w:rsidR="00771FEF">
        <w:rPr>
          <w:rFonts w:ascii="Times New Roman" w:hAnsi="Times New Roman"/>
          <w:sz w:val="28"/>
          <w:szCs w:val="28"/>
        </w:rPr>
        <w:t>страну можно решить с помощью его</w:t>
      </w:r>
      <w:r>
        <w:rPr>
          <w:rFonts w:ascii="Times New Roman" w:hAnsi="Times New Roman"/>
          <w:sz w:val="28"/>
          <w:szCs w:val="28"/>
        </w:rPr>
        <w:t xml:space="preserve"> стерилизации. Теоретически стерилизация притока капитала может осуществляться с помощью целого ряда инструментов. Традиционно </w:t>
      </w:r>
      <w:r>
        <w:rPr>
          <w:rFonts w:ascii="Times New Roman" w:hAnsi="Times New Roman"/>
          <w:sz w:val="28"/>
          <w:szCs w:val="28"/>
        </w:rPr>
        <w:lastRenderedPageBreak/>
        <w:t xml:space="preserve">главным из них являются операции на открытом рынке, то есть поглощение </w:t>
      </w:r>
      <w:r w:rsidR="00771FEF">
        <w:rPr>
          <w:rFonts w:ascii="Times New Roman" w:hAnsi="Times New Roman"/>
          <w:sz w:val="28"/>
          <w:szCs w:val="28"/>
        </w:rPr>
        <w:t>ЦБ</w:t>
      </w:r>
      <w:r>
        <w:rPr>
          <w:rFonts w:ascii="Times New Roman" w:hAnsi="Times New Roman"/>
          <w:sz w:val="28"/>
          <w:szCs w:val="28"/>
        </w:rPr>
        <w:t xml:space="preserve"> денежной ликвидности в обмен на эмиссию ценных бумаг. В развитых странах рынки ценных бумаг настолько велики, что позволяют своим</w:t>
      </w:r>
      <w:r w:rsidR="00EE7FE4">
        <w:rPr>
          <w:rFonts w:ascii="Times New Roman" w:hAnsi="Times New Roman"/>
          <w:sz w:val="28"/>
          <w:szCs w:val="28"/>
        </w:rPr>
        <w:t xml:space="preserve"> центральным </w:t>
      </w:r>
      <w:r w:rsidR="00771FEF">
        <w:rPr>
          <w:rFonts w:ascii="Times New Roman" w:hAnsi="Times New Roman"/>
          <w:sz w:val="28"/>
          <w:szCs w:val="28"/>
        </w:rPr>
        <w:t>ЦБ</w:t>
      </w:r>
      <w:r w:rsidR="00EE7FE4">
        <w:rPr>
          <w:rFonts w:ascii="Times New Roman" w:hAnsi="Times New Roman"/>
          <w:sz w:val="28"/>
          <w:szCs w:val="28"/>
        </w:rPr>
        <w:t xml:space="preserve"> незаметно, без изменения рыночных процентных ставок предлагать экономическим агентам дополнительные бумаги в обмен на их ликвидность. В большинстве стран с переходной экономикой размер финансовых рынков существенно меньше, а в России его по-прежнему можно считать небольшим, несмотря на бурный рост в последние годы. Это обстоятельство существенно ограничивает действенность операций на открытом рынке.</w:t>
      </w:r>
      <w:r w:rsidR="00C1187E" w:rsidRPr="00E969C6">
        <w:rPr>
          <w:rFonts w:ascii="Times New Roman" w:hAnsi="Times New Roman"/>
          <w:sz w:val="28"/>
          <w:szCs w:val="28"/>
        </w:rPr>
        <w:t xml:space="preserve"> </w:t>
      </w:r>
      <w:r w:rsidR="00C1187E" w:rsidRPr="00C1187E">
        <w:rPr>
          <w:rFonts w:ascii="Times New Roman" w:hAnsi="Times New Roman"/>
          <w:sz w:val="28"/>
          <w:szCs w:val="28"/>
        </w:rPr>
        <w:t>[</w:t>
      </w:r>
      <w:r w:rsidR="00C1187E" w:rsidRPr="00E969C6">
        <w:rPr>
          <w:rFonts w:ascii="Times New Roman" w:hAnsi="Times New Roman"/>
          <w:sz w:val="28"/>
          <w:szCs w:val="28"/>
        </w:rPr>
        <w:t>18, 17]</w:t>
      </w:r>
    </w:p>
    <w:p w:rsidR="00CC310C" w:rsidRDefault="00BB52E2" w:rsidP="00E953A0">
      <w:pPr>
        <w:spacing w:after="0" w:line="360" w:lineRule="auto"/>
        <w:ind w:firstLine="851"/>
        <w:jc w:val="both"/>
        <w:rPr>
          <w:rFonts w:ascii="Times New Roman" w:hAnsi="Times New Roman"/>
          <w:sz w:val="28"/>
          <w:szCs w:val="28"/>
        </w:rPr>
      </w:pPr>
      <w:r>
        <w:rPr>
          <w:rFonts w:ascii="Times New Roman" w:hAnsi="Times New Roman"/>
          <w:sz w:val="28"/>
          <w:szCs w:val="28"/>
        </w:rPr>
        <w:t xml:space="preserve">Ускоренное наращивание предложения </w:t>
      </w:r>
      <w:r w:rsidR="00771FEF">
        <w:rPr>
          <w:rFonts w:ascii="Times New Roman" w:hAnsi="Times New Roman"/>
          <w:sz w:val="28"/>
          <w:szCs w:val="28"/>
        </w:rPr>
        <w:t>ЦБ</w:t>
      </w:r>
      <w:r>
        <w:rPr>
          <w:rFonts w:ascii="Times New Roman" w:hAnsi="Times New Roman"/>
          <w:sz w:val="28"/>
          <w:szCs w:val="28"/>
        </w:rPr>
        <w:t xml:space="preserve"> ценных бумаг на относительно небольшом финансовом рынке может вызвать повышение процентных ставок. Но, ведь именно арбитраж процентных ставок является одной из причин притока капитала. Другими словами операции на открытом рынке могут способствовать как стерилизации притока капитала, так и его дополнительному притоку, причем индикатором точки превращения лекарства в яд являются процентные ставки. С целью минимизации рисков для подобных операций используются наиболее ликвидные и надежные ценные бумаги, как правило, государственные облигации.</w:t>
      </w:r>
    </w:p>
    <w:p w:rsidR="00AC2CDD" w:rsidRDefault="00BB52E2" w:rsidP="00391713">
      <w:pPr>
        <w:spacing w:after="0" w:line="360" w:lineRule="auto"/>
        <w:ind w:firstLine="851"/>
        <w:jc w:val="both"/>
        <w:rPr>
          <w:rFonts w:ascii="Times New Roman" w:hAnsi="Times New Roman"/>
          <w:sz w:val="28"/>
          <w:szCs w:val="28"/>
        </w:rPr>
      </w:pPr>
      <w:r>
        <w:rPr>
          <w:rFonts w:ascii="Times New Roman" w:hAnsi="Times New Roman"/>
          <w:sz w:val="28"/>
          <w:szCs w:val="28"/>
        </w:rPr>
        <w:t>Таким образом, проблему стерилизации притока капитала следует решать на основе комплекса мер, операции же на открытом рынке являются лишь одним из его обязательных элементов. Рассмотрим</w:t>
      </w:r>
      <w:r w:rsidR="00771FEF">
        <w:rPr>
          <w:rFonts w:ascii="Times New Roman" w:hAnsi="Times New Roman"/>
          <w:sz w:val="28"/>
          <w:szCs w:val="28"/>
        </w:rPr>
        <w:t xml:space="preserve"> перечень мер, которые </w:t>
      </w:r>
      <w:r w:rsidR="00F95E4F">
        <w:rPr>
          <w:rFonts w:ascii="Times New Roman" w:hAnsi="Times New Roman"/>
          <w:sz w:val="28"/>
          <w:szCs w:val="28"/>
        </w:rPr>
        <w:t>могут</w:t>
      </w:r>
      <w:r w:rsidR="00771FEF">
        <w:rPr>
          <w:rFonts w:ascii="Times New Roman" w:hAnsi="Times New Roman"/>
          <w:sz w:val="28"/>
          <w:szCs w:val="28"/>
        </w:rPr>
        <w:t xml:space="preserve"> способствовать решению проблемы: 1) Усложнение и удорожание выдачи ЦБ ликвидности коммерческим банкам. Эта мера направлена не столько на стерилизацию избыточной ликвидности, сколько на ограничение других ее источников. 2) Повышение нормы обязательного резервирования. Это простой и широко используемый инструмент, но его применение ограничено соображениями развития банковской системы. Обязательное резервирование является по своей сути особым налогом на банковскую деятельность, и его повышение</w:t>
      </w:r>
      <w:r w:rsidR="003F2D4D">
        <w:rPr>
          <w:rFonts w:ascii="Times New Roman" w:hAnsi="Times New Roman"/>
          <w:sz w:val="28"/>
          <w:szCs w:val="28"/>
        </w:rPr>
        <w:t xml:space="preserve"> может негативно сказаться на состоянии </w:t>
      </w:r>
      <w:r w:rsidR="003F2D4D">
        <w:rPr>
          <w:rFonts w:ascii="Times New Roman" w:hAnsi="Times New Roman"/>
          <w:sz w:val="28"/>
          <w:szCs w:val="28"/>
        </w:rPr>
        <w:lastRenderedPageBreak/>
        <w:t xml:space="preserve">банковской системы, особенно малых и средних банков. 3) Введение норматива капитализации банков по отношению к обязательствам перед нерезидентами. Суть норматива – увязать внешние заимствования коммерческих банков с размером их собственных средств. 4) Повышение депозитных ставок ЦБ. Этот инструмент во многом схож с операциями на открытом рынке. Он способствует стерилизации притока капитала лишь до тех пор, пока депозитные ставки не сравняются с процентными ставками по свободно общающимся государственным облигациям. 5) </w:t>
      </w:r>
      <w:r w:rsidR="00FA6AFF">
        <w:rPr>
          <w:rFonts w:ascii="Times New Roman" w:hAnsi="Times New Roman"/>
          <w:sz w:val="28"/>
          <w:szCs w:val="28"/>
        </w:rPr>
        <w:t xml:space="preserve">Использование валютного свопа. В рамках валютного свопа ЦБ соглашается продать валюту по текущему курсу и одновременно обязуется ее выкупить в определенный момент времени по заранее согласованному форвардному курсу. 6) </w:t>
      </w:r>
      <w:r w:rsidR="00A93DA7">
        <w:rPr>
          <w:rFonts w:ascii="Times New Roman" w:hAnsi="Times New Roman"/>
          <w:sz w:val="28"/>
          <w:szCs w:val="28"/>
        </w:rPr>
        <w:t xml:space="preserve">Привлечение иностранных и международных организаций к размещению своих ценных бумаг на внутреннем рынке. Эта мера позволит создать дополнительные инвестиционные инструменты в национальной валюте и тем самым «связать» избыточную ликвидность. 7) Введение депозитных требований на внешние заимствования. Суть состоит в обязанности заемщика заморозить на некоторое время на счету ЦБ часть привлекаемых им средств в иностранной валюте. Это – своего рода налог на внешние заимствования. </w:t>
      </w:r>
    </w:p>
    <w:p w:rsidR="008A0131" w:rsidRDefault="008A0131" w:rsidP="00E953A0">
      <w:pPr>
        <w:spacing w:after="0" w:line="360" w:lineRule="auto"/>
        <w:ind w:firstLine="851"/>
        <w:jc w:val="both"/>
        <w:rPr>
          <w:rFonts w:ascii="Times New Roman" w:hAnsi="Times New Roman"/>
          <w:sz w:val="28"/>
          <w:szCs w:val="28"/>
        </w:rPr>
      </w:pPr>
      <w:r>
        <w:rPr>
          <w:rFonts w:ascii="Times New Roman" w:hAnsi="Times New Roman"/>
          <w:sz w:val="28"/>
          <w:szCs w:val="28"/>
        </w:rPr>
        <w:t xml:space="preserve">Таким образом, у России есть все необходимые возможности для минимизации потерь от мирового финансового кризиса. Для этого необходимо, во-первых, направить Резервные фонд РФ и часть золотовалютных запасов в экономику страны в виде инвестиций и кредитов через Банк России или государственную финансовую корпорацию. Тем самым будет улучшена ликвидность банков и финансовое положение российских компаний. Во-вторых, в России нет необходимости проводить девальвацию рубля, поскольку это вызовет новый виток инфляции, снижение реальных доходов населения. А дальнейшее снижение доходов населения приведет к стагнации не только рынок недвижимости, но и другие рынки (автомобилестроение, машиностроение и др.). И, в-третьих, России необходимо проводить свою </w:t>
      </w:r>
      <w:r>
        <w:rPr>
          <w:rFonts w:ascii="Times New Roman" w:hAnsi="Times New Roman"/>
          <w:sz w:val="28"/>
          <w:szCs w:val="28"/>
        </w:rPr>
        <w:lastRenderedPageBreak/>
        <w:t>независимую финансовую политику. Финансовые ресурсы и возможности для этого есть. Только в этом случае возможен прорыв даже в условиях мирового финансового кризиса.</w:t>
      </w:r>
    </w:p>
    <w:p w:rsidR="004D03CC" w:rsidRDefault="000366B0" w:rsidP="006C3E8E">
      <w:pPr>
        <w:spacing w:after="0" w:line="360" w:lineRule="auto"/>
        <w:ind w:firstLine="851"/>
        <w:jc w:val="both"/>
        <w:rPr>
          <w:rFonts w:ascii="Times New Roman" w:hAnsi="Times New Roman"/>
          <w:sz w:val="28"/>
          <w:szCs w:val="28"/>
        </w:rPr>
      </w:pPr>
      <w:r>
        <w:rPr>
          <w:rFonts w:ascii="Times New Roman" w:hAnsi="Times New Roman"/>
          <w:sz w:val="28"/>
          <w:szCs w:val="28"/>
        </w:rPr>
        <w:t>На будущее в</w:t>
      </w:r>
      <w:r w:rsidR="00900107">
        <w:rPr>
          <w:rFonts w:ascii="Times New Roman" w:hAnsi="Times New Roman"/>
          <w:sz w:val="28"/>
          <w:szCs w:val="28"/>
        </w:rPr>
        <w:t xml:space="preserve"> период до 2010 года предполагается сохранение благоприятных внешних условий функционирования российской экономики. Международные финансовые институты (МВФ, Всемирный банк) прогнозирую сохранение в этот период темпов</w:t>
      </w:r>
      <w:r w:rsidR="008D3E40">
        <w:rPr>
          <w:rFonts w:ascii="Times New Roman" w:hAnsi="Times New Roman"/>
          <w:sz w:val="28"/>
          <w:szCs w:val="28"/>
        </w:rPr>
        <w:t xml:space="preserve"> роста мировой экономики. В перспективе до 2010 года прогнозируется продолжение экономического роста в мире темпами, близкими к среднегодовому показателю в 2004 – 2008 годах. При этом не исключается возможность замедления роста мирового ВВП.</w:t>
      </w:r>
    </w:p>
    <w:p w:rsidR="008D3E40" w:rsidRDefault="008D3E40" w:rsidP="006C3E8E">
      <w:pPr>
        <w:spacing w:after="0" w:line="360" w:lineRule="auto"/>
        <w:ind w:firstLine="851"/>
        <w:jc w:val="both"/>
        <w:rPr>
          <w:rFonts w:ascii="Times New Roman" w:hAnsi="Times New Roman"/>
          <w:sz w:val="28"/>
          <w:szCs w:val="28"/>
        </w:rPr>
      </w:pPr>
      <w:r>
        <w:rPr>
          <w:rFonts w:ascii="Times New Roman" w:hAnsi="Times New Roman"/>
          <w:sz w:val="28"/>
          <w:szCs w:val="28"/>
        </w:rPr>
        <w:t>Банк России рассмотрел три варианта условий проведения денежно-кредитной политики в этот период, которые соответствуют прогнозам Правительства РФ. Первые два варианта предполагают ухудшение ценовой внешнеэкономической конъюнктуры в среднесрочном периоде, третий – ее улучшение.</w:t>
      </w:r>
    </w:p>
    <w:p w:rsidR="008D3E40" w:rsidRDefault="008D3E40" w:rsidP="006C3E8E">
      <w:pPr>
        <w:spacing w:after="0" w:line="360" w:lineRule="auto"/>
        <w:ind w:firstLine="851"/>
        <w:jc w:val="both"/>
        <w:rPr>
          <w:rFonts w:ascii="Times New Roman" w:hAnsi="Times New Roman"/>
          <w:sz w:val="28"/>
          <w:szCs w:val="28"/>
        </w:rPr>
      </w:pPr>
      <w:r>
        <w:rPr>
          <w:rFonts w:ascii="Times New Roman" w:hAnsi="Times New Roman"/>
          <w:sz w:val="28"/>
          <w:szCs w:val="28"/>
        </w:rPr>
        <w:t xml:space="preserve">В рамках первого варианта развития российской экономики предусматривается существенное снижение цены на нефть – до 44 долларов США за баррель. В этих условиях ожидается сокращение по сравнению с 2007 годом экспорта товаров и услуг и рост их импорта. </w:t>
      </w:r>
      <w:r w:rsidR="00202F6F">
        <w:rPr>
          <w:rFonts w:ascii="Times New Roman" w:hAnsi="Times New Roman"/>
          <w:sz w:val="28"/>
          <w:szCs w:val="28"/>
        </w:rPr>
        <w:t>Несмотря на ухудшение внешних условий функционирования российской экономики, они не будут препятствовать ее дальнейшему развитию. Реальные предполагаемые денежные доходы населения могут увеличиться на 7,2%. Относительное снижение доходов от экспорта скажется на инвестиционной активности. Темп прироста инвестиций в основной капитал может составить примерно 10%. Темп прироста ВВП ожидается на уровне 5,4%.</w:t>
      </w:r>
    </w:p>
    <w:p w:rsidR="00202F6F" w:rsidRDefault="00202F6F" w:rsidP="006C3E8E">
      <w:pPr>
        <w:spacing w:after="0" w:line="360" w:lineRule="auto"/>
        <w:ind w:firstLine="851"/>
        <w:jc w:val="both"/>
        <w:rPr>
          <w:rFonts w:ascii="Times New Roman" w:hAnsi="Times New Roman"/>
          <w:sz w:val="28"/>
          <w:szCs w:val="28"/>
        </w:rPr>
      </w:pPr>
      <w:r>
        <w:rPr>
          <w:rFonts w:ascii="Times New Roman" w:hAnsi="Times New Roman"/>
          <w:sz w:val="28"/>
          <w:szCs w:val="28"/>
        </w:rPr>
        <w:t xml:space="preserve">В рамках второго варианта рассматривается прогноз, положенный в основу проекта федерального бюджета. Исходными условиями для формирования этого варианта является предположение о снижении цены на российскую нефть до 53 долларов США за баррель. </w:t>
      </w:r>
      <w:r w:rsidR="00A06343">
        <w:rPr>
          <w:rFonts w:ascii="Times New Roman" w:hAnsi="Times New Roman"/>
          <w:sz w:val="28"/>
          <w:szCs w:val="28"/>
        </w:rPr>
        <w:t xml:space="preserve">Согласно этому варианту </w:t>
      </w:r>
      <w:r w:rsidR="00A06343">
        <w:rPr>
          <w:rFonts w:ascii="Times New Roman" w:hAnsi="Times New Roman"/>
          <w:sz w:val="28"/>
          <w:szCs w:val="28"/>
        </w:rPr>
        <w:lastRenderedPageBreak/>
        <w:t>развития вследствие ускоренного роста инвестиций в инновационный сектор экономики повысятся эффективность и конкурентоспособность отечественного производства. Ожидаются высокие темпы роста внутреннего спроса. Прирост инвестиций в основной капитал может составить 11,9%, реальных располагаемых денежных доходов населения – 9,1%. Темпы экономического роста в этом случае составят 6,1%.</w:t>
      </w:r>
    </w:p>
    <w:p w:rsidR="00A06343" w:rsidRDefault="00A06343" w:rsidP="00A06343">
      <w:pPr>
        <w:spacing w:after="0" w:line="360" w:lineRule="auto"/>
        <w:ind w:firstLine="851"/>
        <w:jc w:val="both"/>
        <w:rPr>
          <w:rFonts w:ascii="Times New Roman" w:hAnsi="Times New Roman"/>
          <w:sz w:val="28"/>
          <w:szCs w:val="28"/>
        </w:rPr>
      </w:pPr>
      <w:r>
        <w:rPr>
          <w:rFonts w:ascii="Times New Roman" w:hAnsi="Times New Roman"/>
          <w:sz w:val="28"/>
          <w:szCs w:val="28"/>
        </w:rPr>
        <w:t>В рамках третьего варианта предполагается, что цена на российскую нефть повысится до 62 долларов США за баррель. Несмотря на улучшение ценовой внешнеэкономической конъюнктуры, активное сальдо счета текущих операций платежного баланса сократится. Прирост валютных резервов будет меньше. Темп прироста реальных располагаемых денежных доходов населения может составить 10,6%. Инвестиции</w:t>
      </w:r>
      <w:r w:rsidR="00D90BF3">
        <w:rPr>
          <w:rFonts w:ascii="Times New Roman" w:hAnsi="Times New Roman"/>
          <w:sz w:val="28"/>
          <w:szCs w:val="28"/>
        </w:rPr>
        <w:t xml:space="preserve"> в основной капитал могут увеличиться на 13,2%. В этих условиях темпы</w:t>
      </w:r>
      <w:r w:rsidR="00095FF6">
        <w:rPr>
          <w:rFonts w:ascii="Times New Roman" w:hAnsi="Times New Roman"/>
          <w:sz w:val="28"/>
          <w:szCs w:val="28"/>
        </w:rPr>
        <w:t xml:space="preserve"> экономического роста возрастут до 6,7%.</w:t>
      </w:r>
    </w:p>
    <w:p w:rsidR="001530EF" w:rsidRPr="00E969C6" w:rsidRDefault="001530EF" w:rsidP="00A06343">
      <w:pPr>
        <w:spacing w:after="0" w:line="360" w:lineRule="auto"/>
        <w:ind w:firstLine="851"/>
        <w:jc w:val="both"/>
        <w:rPr>
          <w:rFonts w:ascii="Times New Roman" w:hAnsi="Times New Roman"/>
          <w:sz w:val="28"/>
          <w:szCs w:val="28"/>
        </w:rPr>
      </w:pPr>
      <w:r>
        <w:rPr>
          <w:rFonts w:ascii="Times New Roman" w:hAnsi="Times New Roman"/>
          <w:sz w:val="28"/>
          <w:szCs w:val="28"/>
        </w:rPr>
        <w:t>В соответствии с прогнозом на среднесрочный период предполагается, что цена на российскую нефть в 2010 году по первому варианту может составить 39 долларов США за баррель, по второму – 50 долларов США за баррель, по третьему – 62 доллара США за баррель. Изменение ценовой внешнеэкономической конъюнктуры скажется на развитии российской экономики. Ожидается, что темп роста объема ВВП в 2009 – 2010 годах может составить 5,3% – 6,3%.</w:t>
      </w:r>
      <w:r w:rsidR="00C1187E" w:rsidRPr="00C1187E">
        <w:rPr>
          <w:rFonts w:ascii="Times New Roman" w:hAnsi="Times New Roman"/>
          <w:sz w:val="28"/>
          <w:szCs w:val="28"/>
        </w:rPr>
        <w:t xml:space="preserve"> </w:t>
      </w:r>
      <w:r w:rsidR="00C1187E" w:rsidRPr="00E969C6">
        <w:rPr>
          <w:rFonts w:ascii="Times New Roman" w:hAnsi="Times New Roman"/>
          <w:sz w:val="28"/>
          <w:szCs w:val="28"/>
        </w:rPr>
        <w:t>[13, 4]</w:t>
      </w:r>
    </w:p>
    <w:p w:rsidR="009E60CB" w:rsidRDefault="009E60CB" w:rsidP="00A06343">
      <w:pPr>
        <w:spacing w:after="0" w:line="360" w:lineRule="auto"/>
        <w:ind w:firstLine="851"/>
        <w:jc w:val="both"/>
        <w:rPr>
          <w:rFonts w:ascii="Times New Roman" w:hAnsi="Times New Roman"/>
          <w:sz w:val="28"/>
          <w:szCs w:val="28"/>
        </w:rPr>
      </w:pPr>
      <w:r>
        <w:rPr>
          <w:rFonts w:ascii="Times New Roman" w:hAnsi="Times New Roman"/>
          <w:sz w:val="28"/>
          <w:szCs w:val="28"/>
        </w:rPr>
        <w:t>При первом варианте прогноза, предусматривающее наибольшее снижение цен на нефть, экспорт товаров и услуг может уменьшиться до 321,9 млрд. долларов США, а положительное сальдо баланса торговли товарами и услугами – до 29,5 млрд. долларов США.</w:t>
      </w:r>
    </w:p>
    <w:p w:rsidR="009E60CB" w:rsidRDefault="009E60CB" w:rsidP="00A06343">
      <w:pPr>
        <w:spacing w:after="0" w:line="360" w:lineRule="auto"/>
        <w:ind w:firstLine="851"/>
        <w:jc w:val="both"/>
        <w:rPr>
          <w:rFonts w:ascii="Times New Roman" w:hAnsi="Times New Roman"/>
          <w:sz w:val="28"/>
          <w:szCs w:val="28"/>
        </w:rPr>
      </w:pPr>
      <w:r>
        <w:rPr>
          <w:rFonts w:ascii="Times New Roman" w:hAnsi="Times New Roman"/>
          <w:sz w:val="28"/>
          <w:szCs w:val="28"/>
        </w:rPr>
        <w:t>В условиях второго варианта, предусматривающего незначительное понижение по сравнению с 2007 годом цен на вывозимую Россией нефть, предполагается рост экспорта товаров и услуг до 352,3 млрд. долларов США. В этом случае положительное сальдо торговли товарами и услугами может составить 42,5 млрд. долларов США.</w:t>
      </w:r>
    </w:p>
    <w:p w:rsidR="009E60CB" w:rsidRDefault="009E60CB" w:rsidP="00A06343">
      <w:pPr>
        <w:spacing w:after="0" w:line="360" w:lineRule="auto"/>
        <w:ind w:firstLine="851"/>
        <w:jc w:val="both"/>
        <w:rPr>
          <w:rFonts w:ascii="Times New Roman" w:hAnsi="Times New Roman"/>
          <w:sz w:val="28"/>
          <w:szCs w:val="28"/>
        </w:rPr>
      </w:pPr>
      <w:r>
        <w:rPr>
          <w:rFonts w:ascii="Times New Roman" w:hAnsi="Times New Roman"/>
          <w:sz w:val="28"/>
          <w:szCs w:val="28"/>
        </w:rPr>
        <w:lastRenderedPageBreak/>
        <w:t>В соответствии с третьим вариантом, предполагающим улучшение внешнеэкономической конъюнктуры, ожидается более быстрый рост экспорта товаров и услуг – до 378,7 млрд. долларов США. Вместе с тем прогнозируется еще более интенсивное наращивание импорта. В этих условиях активное сальдо торговли товарами и услугами может сократиться до 62,1 млрд. долларов США.</w:t>
      </w:r>
    </w:p>
    <w:p w:rsidR="009E60CB" w:rsidRDefault="009E60CB" w:rsidP="00A06343">
      <w:pPr>
        <w:spacing w:after="0" w:line="360" w:lineRule="auto"/>
        <w:ind w:firstLine="851"/>
        <w:jc w:val="both"/>
        <w:rPr>
          <w:rFonts w:ascii="Times New Roman" w:hAnsi="Times New Roman"/>
          <w:sz w:val="28"/>
          <w:szCs w:val="28"/>
        </w:rPr>
      </w:pPr>
      <w:r>
        <w:rPr>
          <w:rFonts w:ascii="Times New Roman" w:hAnsi="Times New Roman"/>
          <w:sz w:val="28"/>
          <w:szCs w:val="28"/>
        </w:rPr>
        <w:t>Дефицит баланса доходов и текущих трансфертов прогнозируется в диапазоне 25,9 – 28,0 млрд. долларов США при умеренном росте соответствующих поступлений и выплат.</w:t>
      </w:r>
    </w:p>
    <w:p w:rsidR="0066769C" w:rsidRDefault="0066769C" w:rsidP="00A06343">
      <w:pPr>
        <w:spacing w:after="0" w:line="360" w:lineRule="auto"/>
        <w:ind w:firstLine="851"/>
        <w:jc w:val="both"/>
        <w:rPr>
          <w:rFonts w:ascii="Times New Roman" w:hAnsi="Times New Roman"/>
          <w:sz w:val="28"/>
          <w:szCs w:val="28"/>
        </w:rPr>
      </w:pPr>
      <w:r>
        <w:rPr>
          <w:rFonts w:ascii="Times New Roman" w:hAnsi="Times New Roman"/>
          <w:sz w:val="28"/>
          <w:szCs w:val="28"/>
        </w:rPr>
        <w:t>Как и в 2007 году, совокупное воздействие внешнеэкономических факторов обусловит превышение предложения иностранной валюты над спросом на внутреннем валютном рынке. Вместе с тем в условиях сокращения профицита счета текущих операций давление на обменный курс рубля ослабнет, что выразится, в том числе в меньших темпах его укрепления в реальном выражении. Валютные резервы могут увеличиться на 68,4 млрд. долларов США.</w:t>
      </w:r>
    </w:p>
    <w:p w:rsidR="0066769C" w:rsidRDefault="0066769C" w:rsidP="00A06343">
      <w:pPr>
        <w:spacing w:after="0" w:line="360" w:lineRule="auto"/>
        <w:ind w:firstLine="851"/>
        <w:jc w:val="both"/>
        <w:rPr>
          <w:rFonts w:ascii="Times New Roman" w:hAnsi="Times New Roman"/>
          <w:sz w:val="28"/>
          <w:szCs w:val="28"/>
        </w:rPr>
      </w:pPr>
      <w:r>
        <w:rPr>
          <w:rFonts w:ascii="Times New Roman" w:hAnsi="Times New Roman"/>
          <w:sz w:val="28"/>
          <w:szCs w:val="28"/>
        </w:rPr>
        <w:t>Согласно среднесрочному прогнозу социально-экономического развития страны до 2010 года ожидается усиление негативного влияния внешних факторов на платежный баланс, прежде всего в сфере внешней торговли. В 2009 году значительное сокращение активного сальдо торгового баланса на фоне сохранения отрицательного сальдо баланса услуг и существенного превышения расходов по обслуживанию внешних обязательств над соответствующими доходами обусловит, в зависимости от варианта, дефицит счета текущих операций (в размере 33,1 млрд. долларов США или 17,7 млрд. долларов США) или уменьшение его профицита (до 4,6 млрд. долларов США). В 2010 году отрицательное сальдо счета текущих операций в зависимости от варианта может быть равно 56,5 млрд. долларов США; 46,4 млрд. долларов США и 31,2 млрд. долларов США соответственно.</w:t>
      </w:r>
    </w:p>
    <w:p w:rsidR="0066769C" w:rsidRDefault="00EE2793" w:rsidP="00A06343">
      <w:pPr>
        <w:spacing w:after="0" w:line="360" w:lineRule="auto"/>
        <w:ind w:firstLine="851"/>
        <w:jc w:val="both"/>
        <w:rPr>
          <w:rFonts w:ascii="Times New Roman" w:hAnsi="Times New Roman"/>
          <w:sz w:val="28"/>
          <w:szCs w:val="28"/>
        </w:rPr>
      </w:pPr>
      <w:r>
        <w:rPr>
          <w:rFonts w:ascii="Times New Roman" w:hAnsi="Times New Roman"/>
          <w:sz w:val="28"/>
          <w:szCs w:val="28"/>
        </w:rPr>
        <w:t xml:space="preserve">Общая макроэкономическая стабильность станет определяющим фактором роста инвестиционной привлекательности экономики. Ожидается, </w:t>
      </w:r>
      <w:r>
        <w:rPr>
          <w:rFonts w:ascii="Times New Roman" w:hAnsi="Times New Roman"/>
          <w:sz w:val="28"/>
          <w:szCs w:val="28"/>
        </w:rPr>
        <w:lastRenderedPageBreak/>
        <w:t>что чистый приток иностранного капитала в частный сектор составит 45 млрд. долларов США в 2009 году и 55 млрд. долларов США в 2010 году. Его объема будет достаточно для обеспечения внешнего финансирования дефицита счета текущих операций платежного баланса в 2009 году. Прирост валютных резервов может составить 46,3 млрд. долларов США. В 2010 году, возможно, их сокращение на 4,5 млрд. долларов США или рост на 20,8 млрд. долларов США.</w:t>
      </w:r>
    </w:p>
    <w:p w:rsidR="00EE2793" w:rsidRPr="00C1187E" w:rsidRDefault="00EE2793" w:rsidP="00A06343">
      <w:pPr>
        <w:spacing w:after="0" w:line="360" w:lineRule="auto"/>
        <w:ind w:firstLine="851"/>
        <w:jc w:val="both"/>
        <w:rPr>
          <w:rFonts w:ascii="Times New Roman" w:hAnsi="Times New Roman"/>
          <w:sz w:val="28"/>
          <w:szCs w:val="28"/>
          <w:lang w:val="en-US"/>
        </w:rPr>
      </w:pPr>
      <w:r>
        <w:rPr>
          <w:rFonts w:ascii="Times New Roman" w:hAnsi="Times New Roman"/>
          <w:sz w:val="28"/>
          <w:szCs w:val="28"/>
        </w:rPr>
        <w:t>В соответствии с вероятностным наступлением вышерассмотренных условий и основными параметрами прогноза социально-экономического развития РФ на период до 2010 года Правительство РФ и Банк России определили задачу снизить инфляцию в 2009 году до 5,5% – 6,5%, а в 2010 году до 5% – 6%</w:t>
      </w:r>
      <w:r w:rsidR="0032430A">
        <w:rPr>
          <w:rFonts w:ascii="Times New Roman" w:hAnsi="Times New Roman"/>
          <w:sz w:val="28"/>
          <w:szCs w:val="28"/>
        </w:rPr>
        <w:t>. Предполагается также увеличение денежной массы на 20% – 24% в 2009 году и 16% – 20% в 2010 году.</w:t>
      </w:r>
      <w:r w:rsidR="00C1187E" w:rsidRPr="00C1187E">
        <w:rPr>
          <w:rFonts w:ascii="Times New Roman" w:hAnsi="Times New Roman"/>
          <w:sz w:val="28"/>
          <w:szCs w:val="28"/>
        </w:rPr>
        <w:t xml:space="preserve"> [</w:t>
      </w:r>
      <w:r w:rsidR="00C1187E">
        <w:rPr>
          <w:rFonts w:ascii="Times New Roman" w:hAnsi="Times New Roman"/>
          <w:sz w:val="28"/>
          <w:szCs w:val="28"/>
          <w:lang w:val="en-US"/>
        </w:rPr>
        <w:t>13, 7]</w:t>
      </w:r>
    </w:p>
    <w:sectPr w:rsidR="00EE2793" w:rsidRPr="00C1187E" w:rsidSect="00253310">
      <w:headerReference w:type="default" r:id="rId8"/>
      <w:pgSz w:w="11906" w:h="16838"/>
      <w:pgMar w:top="1134" w:right="567" w:bottom="1134" w:left="1701" w:header="709" w:footer="709" w:gutter="0"/>
      <w:pgNumType w:start="1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065E" w:rsidRDefault="004C065E" w:rsidP="00253310">
      <w:pPr>
        <w:spacing w:after="0" w:line="240" w:lineRule="auto"/>
      </w:pPr>
      <w:r>
        <w:separator/>
      </w:r>
    </w:p>
  </w:endnote>
  <w:endnote w:type="continuationSeparator" w:id="1">
    <w:p w:rsidR="004C065E" w:rsidRDefault="004C065E" w:rsidP="002533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065E" w:rsidRDefault="004C065E" w:rsidP="00253310">
      <w:pPr>
        <w:spacing w:after="0" w:line="240" w:lineRule="auto"/>
      </w:pPr>
      <w:r>
        <w:separator/>
      </w:r>
    </w:p>
  </w:footnote>
  <w:footnote w:type="continuationSeparator" w:id="1">
    <w:p w:rsidR="004C065E" w:rsidRDefault="004C065E" w:rsidP="002533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310" w:rsidRDefault="002071AD">
    <w:pPr>
      <w:pStyle w:val="a9"/>
      <w:jc w:val="right"/>
    </w:pPr>
    <w:fldSimple w:instr=" PAGE   \* MERGEFORMAT ">
      <w:r w:rsidR="003A5A98">
        <w:rPr>
          <w:noProof/>
        </w:rPr>
        <w:t>19</w:t>
      </w:r>
    </w:fldSimple>
  </w:p>
  <w:p w:rsidR="00253310" w:rsidRDefault="0025331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CD21100"/>
    <w:lvl w:ilvl="0">
      <w:start w:val="1"/>
      <w:numFmt w:val="decimal"/>
      <w:lvlText w:val="%1."/>
      <w:lvlJc w:val="left"/>
      <w:pPr>
        <w:tabs>
          <w:tab w:val="num" w:pos="1492"/>
        </w:tabs>
        <w:ind w:left="1492" w:hanging="360"/>
      </w:pPr>
    </w:lvl>
  </w:abstractNum>
  <w:abstractNum w:abstractNumId="1">
    <w:nsid w:val="FFFFFF7D"/>
    <w:multiLevelType w:val="singleLevel"/>
    <w:tmpl w:val="50D68A3C"/>
    <w:lvl w:ilvl="0">
      <w:start w:val="1"/>
      <w:numFmt w:val="decimal"/>
      <w:lvlText w:val="%1."/>
      <w:lvlJc w:val="left"/>
      <w:pPr>
        <w:tabs>
          <w:tab w:val="num" w:pos="1209"/>
        </w:tabs>
        <w:ind w:left="1209" w:hanging="360"/>
      </w:pPr>
    </w:lvl>
  </w:abstractNum>
  <w:abstractNum w:abstractNumId="2">
    <w:nsid w:val="FFFFFF7E"/>
    <w:multiLevelType w:val="singleLevel"/>
    <w:tmpl w:val="C0F62634"/>
    <w:lvl w:ilvl="0">
      <w:start w:val="1"/>
      <w:numFmt w:val="decimal"/>
      <w:lvlText w:val="%1."/>
      <w:lvlJc w:val="left"/>
      <w:pPr>
        <w:tabs>
          <w:tab w:val="num" w:pos="926"/>
        </w:tabs>
        <w:ind w:left="926" w:hanging="360"/>
      </w:pPr>
    </w:lvl>
  </w:abstractNum>
  <w:abstractNum w:abstractNumId="3">
    <w:nsid w:val="FFFFFF7F"/>
    <w:multiLevelType w:val="singleLevel"/>
    <w:tmpl w:val="8056DF1E"/>
    <w:lvl w:ilvl="0">
      <w:start w:val="1"/>
      <w:numFmt w:val="decimal"/>
      <w:lvlText w:val="%1."/>
      <w:lvlJc w:val="left"/>
      <w:pPr>
        <w:tabs>
          <w:tab w:val="num" w:pos="643"/>
        </w:tabs>
        <w:ind w:left="643" w:hanging="360"/>
      </w:pPr>
    </w:lvl>
  </w:abstractNum>
  <w:abstractNum w:abstractNumId="4">
    <w:nsid w:val="FFFFFF80"/>
    <w:multiLevelType w:val="singleLevel"/>
    <w:tmpl w:val="A754CE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D094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78A2C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5697D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88A7972"/>
    <w:lvl w:ilvl="0">
      <w:start w:val="1"/>
      <w:numFmt w:val="decimal"/>
      <w:lvlText w:val="%1."/>
      <w:lvlJc w:val="left"/>
      <w:pPr>
        <w:tabs>
          <w:tab w:val="num" w:pos="360"/>
        </w:tabs>
        <w:ind w:left="360" w:hanging="360"/>
      </w:pPr>
    </w:lvl>
  </w:abstractNum>
  <w:abstractNum w:abstractNumId="9">
    <w:nsid w:val="FFFFFF89"/>
    <w:multiLevelType w:val="singleLevel"/>
    <w:tmpl w:val="C9706D4E"/>
    <w:lvl w:ilvl="0">
      <w:start w:val="1"/>
      <w:numFmt w:val="bullet"/>
      <w:lvlText w:val=""/>
      <w:lvlJc w:val="left"/>
      <w:pPr>
        <w:tabs>
          <w:tab w:val="num" w:pos="360"/>
        </w:tabs>
        <w:ind w:left="360" w:hanging="360"/>
      </w:pPr>
      <w:rPr>
        <w:rFonts w:ascii="Symbol" w:hAnsi="Symbol" w:hint="default"/>
      </w:rPr>
    </w:lvl>
  </w:abstractNum>
  <w:abstractNum w:abstractNumId="10">
    <w:nsid w:val="01082E69"/>
    <w:multiLevelType w:val="hybridMultilevel"/>
    <w:tmpl w:val="15B880C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35B305C"/>
    <w:multiLevelType w:val="singleLevel"/>
    <w:tmpl w:val="E95AE74C"/>
    <w:lvl w:ilvl="0">
      <w:start w:val="1"/>
      <w:numFmt w:val="decimal"/>
      <w:lvlText w:val="%1)"/>
      <w:lvlJc w:val="left"/>
      <w:pPr>
        <w:tabs>
          <w:tab w:val="num" w:pos="1017"/>
        </w:tabs>
        <w:ind w:left="1017" w:hanging="450"/>
      </w:pPr>
      <w:rPr>
        <w:rFonts w:hint="default"/>
      </w:rPr>
    </w:lvl>
  </w:abstractNum>
  <w:abstractNum w:abstractNumId="12">
    <w:nsid w:val="47344CE4"/>
    <w:multiLevelType w:val="singleLevel"/>
    <w:tmpl w:val="15A262F4"/>
    <w:lvl w:ilvl="0">
      <w:start w:val="1"/>
      <w:numFmt w:val="decimal"/>
      <w:lvlText w:val="%1)"/>
      <w:lvlJc w:val="left"/>
      <w:pPr>
        <w:tabs>
          <w:tab w:val="num" w:pos="927"/>
        </w:tabs>
        <w:ind w:left="927" w:hanging="360"/>
      </w:pPr>
      <w:rPr>
        <w:rFonts w:hint="default"/>
      </w:rPr>
    </w:lvl>
  </w:abstractNum>
  <w:abstractNum w:abstractNumId="13">
    <w:nsid w:val="5FBA282B"/>
    <w:multiLevelType w:val="singleLevel"/>
    <w:tmpl w:val="5130384E"/>
    <w:lvl w:ilvl="0">
      <w:start w:val="1"/>
      <w:numFmt w:val="decimal"/>
      <w:lvlText w:val="%1)"/>
      <w:lvlJc w:val="left"/>
      <w:pPr>
        <w:tabs>
          <w:tab w:val="num" w:pos="927"/>
        </w:tabs>
        <w:ind w:left="927" w:hanging="360"/>
      </w:pPr>
      <w:rPr>
        <w:rFonts w:hint="default"/>
      </w:rPr>
    </w:lvl>
  </w:abstractNum>
  <w:abstractNum w:abstractNumId="14">
    <w:nsid w:val="748867FE"/>
    <w:multiLevelType w:val="singleLevel"/>
    <w:tmpl w:val="940CF72A"/>
    <w:lvl w:ilvl="0">
      <w:start w:val="1"/>
      <w:numFmt w:val="decimal"/>
      <w:lvlText w:val="%1)"/>
      <w:lvlJc w:val="left"/>
      <w:pPr>
        <w:tabs>
          <w:tab w:val="num" w:pos="927"/>
        </w:tabs>
        <w:ind w:left="927" w:hanging="360"/>
      </w:pPr>
      <w:rPr>
        <w:rFonts w:hint="default"/>
      </w:rPr>
    </w:lvl>
  </w:abstractNum>
  <w:num w:numId="1">
    <w:abstractNumId w:val="10"/>
  </w:num>
  <w:num w:numId="2">
    <w:abstractNumId w:val="14"/>
  </w:num>
  <w:num w:numId="3">
    <w:abstractNumId w:val="11"/>
  </w:num>
  <w:num w:numId="4">
    <w:abstractNumId w:val="13"/>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835E3"/>
    <w:rsid w:val="000366B0"/>
    <w:rsid w:val="0004272A"/>
    <w:rsid w:val="00047121"/>
    <w:rsid w:val="00093682"/>
    <w:rsid w:val="00095FF6"/>
    <w:rsid w:val="000E5B5B"/>
    <w:rsid w:val="001530EF"/>
    <w:rsid w:val="00185FFA"/>
    <w:rsid w:val="001D1EEF"/>
    <w:rsid w:val="001D5992"/>
    <w:rsid w:val="00202F6F"/>
    <w:rsid w:val="00204DD8"/>
    <w:rsid w:val="002071AD"/>
    <w:rsid w:val="00207B2C"/>
    <w:rsid w:val="00221F78"/>
    <w:rsid w:val="00253310"/>
    <w:rsid w:val="002835E3"/>
    <w:rsid w:val="002A0184"/>
    <w:rsid w:val="002F77F9"/>
    <w:rsid w:val="00306FFF"/>
    <w:rsid w:val="0032430A"/>
    <w:rsid w:val="0034744E"/>
    <w:rsid w:val="00391713"/>
    <w:rsid w:val="00397840"/>
    <w:rsid w:val="003A44DE"/>
    <w:rsid w:val="003A5A98"/>
    <w:rsid w:val="003B2439"/>
    <w:rsid w:val="003B66D2"/>
    <w:rsid w:val="003C1829"/>
    <w:rsid w:val="003C2D91"/>
    <w:rsid w:val="003F2D4D"/>
    <w:rsid w:val="004154F0"/>
    <w:rsid w:val="00435D9D"/>
    <w:rsid w:val="00436ADA"/>
    <w:rsid w:val="0044065D"/>
    <w:rsid w:val="0046126E"/>
    <w:rsid w:val="004A4535"/>
    <w:rsid w:val="004C065E"/>
    <w:rsid w:val="004D03CC"/>
    <w:rsid w:val="004E3A77"/>
    <w:rsid w:val="004F7659"/>
    <w:rsid w:val="00516A41"/>
    <w:rsid w:val="005176C4"/>
    <w:rsid w:val="00537A7A"/>
    <w:rsid w:val="005450D4"/>
    <w:rsid w:val="005700CD"/>
    <w:rsid w:val="00573A7D"/>
    <w:rsid w:val="005915BD"/>
    <w:rsid w:val="005B75C7"/>
    <w:rsid w:val="005C7317"/>
    <w:rsid w:val="005D733B"/>
    <w:rsid w:val="0066769C"/>
    <w:rsid w:val="006B00E6"/>
    <w:rsid w:val="006C3E8E"/>
    <w:rsid w:val="006D1630"/>
    <w:rsid w:val="0075164C"/>
    <w:rsid w:val="007643F3"/>
    <w:rsid w:val="00771FEF"/>
    <w:rsid w:val="007C4350"/>
    <w:rsid w:val="007E7F68"/>
    <w:rsid w:val="007F6475"/>
    <w:rsid w:val="008A0131"/>
    <w:rsid w:val="008D3E40"/>
    <w:rsid w:val="00900107"/>
    <w:rsid w:val="00901C84"/>
    <w:rsid w:val="009668F7"/>
    <w:rsid w:val="00986840"/>
    <w:rsid w:val="00994F52"/>
    <w:rsid w:val="009D02BE"/>
    <w:rsid w:val="009E60CB"/>
    <w:rsid w:val="00A06343"/>
    <w:rsid w:val="00A31894"/>
    <w:rsid w:val="00A42D42"/>
    <w:rsid w:val="00A93DA7"/>
    <w:rsid w:val="00AC2CDD"/>
    <w:rsid w:val="00B006FA"/>
    <w:rsid w:val="00BB4652"/>
    <w:rsid w:val="00BB52E2"/>
    <w:rsid w:val="00BC23D3"/>
    <w:rsid w:val="00BD0294"/>
    <w:rsid w:val="00BD6A75"/>
    <w:rsid w:val="00C1187E"/>
    <w:rsid w:val="00C57D9C"/>
    <w:rsid w:val="00CA21EC"/>
    <w:rsid w:val="00CC310C"/>
    <w:rsid w:val="00D02C59"/>
    <w:rsid w:val="00D03BC6"/>
    <w:rsid w:val="00D55E74"/>
    <w:rsid w:val="00D708A5"/>
    <w:rsid w:val="00D90BF3"/>
    <w:rsid w:val="00DB5F7C"/>
    <w:rsid w:val="00DB6AD3"/>
    <w:rsid w:val="00DD15D0"/>
    <w:rsid w:val="00E00714"/>
    <w:rsid w:val="00E140B3"/>
    <w:rsid w:val="00E41F54"/>
    <w:rsid w:val="00E63D18"/>
    <w:rsid w:val="00E645FD"/>
    <w:rsid w:val="00E6604A"/>
    <w:rsid w:val="00E953A0"/>
    <w:rsid w:val="00E969C6"/>
    <w:rsid w:val="00EE225F"/>
    <w:rsid w:val="00EE2793"/>
    <w:rsid w:val="00EE7FE4"/>
    <w:rsid w:val="00EF27C8"/>
    <w:rsid w:val="00F02543"/>
    <w:rsid w:val="00F178FC"/>
    <w:rsid w:val="00F32D28"/>
    <w:rsid w:val="00F74086"/>
    <w:rsid w:val="00F95E4F"/>
    <w:rsid w:val="00FA6AFF"/>
    <w:rsid w:val="00FD7A2A"/>
    <w:rsid w:val="00FE0A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82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2835E3"/>
    <w:pPr>
      <w:spacing w:after="0" w:line="240" w:lineRule="auto"/>
      <w:ind w:firstLine="567"/>
      <w:jc w:val="both"/>
    </w:pPr>
    <w:rPr>
      <w:rFonts w:ascii="Times New Roman" w:hAnsi="Times New Roman"/>
      <w:sz w:val="24"/>
      <w:szCs w:val="24"/>
    </w:rPr>
  </w:style>
  <w:style w:type="character" w:customStyle="1" w:styleId="20">
    <w:name w:val="Основной текст с отступом 2 Знак"/>
    <w:basedOn w:val="a0"/>
    <w:link w:val="2"/>
    <w:uiPriority w:val="99"/>
    <w:rsid w:val="002835E3"/>
    <w:rPr>
      <w:rFonts w:ascii="Times New Roman" w:eastAsia="Times New Roman" w:hAnsi="Times New Roman" w:cs="Times New Roman"/>
      <w:sz w:val="24"/>
      <w:szCs w:val="24"/>
    </w:rPr>
  </w:style>
  <w:style w:type="paragraph" w:styleId="a3">
    <w:name w:val="Body Text"/>
    <w:basedOn w:val="a"/>
    <w:link w:val="a4"/>
    <w:uiPriority w:val="99"/>
    <w:rsid w:val="002835E3"/>
    <w:pPr>
      <w:spacing w:after="0" w:line="240" w:lineRule="auto"/>
      <w:jc w:val="center"/>
    </w:pPr>
    <w:rPr>
      <w:rFonts w:ascii="Times New Roman" w:hAnsi="Times New Roman"/>
      <w:sz w:val="24"/>
      <w:szCs w:val="24"/>
    </w:rPr>
  </w:style>
  <w:style w:type="character" w:customStyle="1" w:styleId="a4">
    <w:name w:val="Основной текст Знак"/>
    <w:basedOn w:val="a0"/>
    <w:link w:val="a3"/>
    <w:uiPriority w:val="99"/>
    <w:rsid w:val="002835E3"/>
    <w:rPr>
      <w:rFonts w:ascii="Times New Roman" w:eastAsia="Times New Roman" w:hAnsi="Times New Roman" w:cs="Times New Roman"/>
      <w:sz w:val="24"/>
      <w:szCs w:val="24"/>
    </w:rPr>
  </w:style>
  <w:style w:type="paragraph" w:styleId="a5">
    <w:name w:val="Body Text Indent"/>
    <w:basedOn w:val="a"/>
    <w:link w:val="a6"/>
    <w:uiPriority w:val="99"/>
    <w:unhideWhenUsed/>
    <w:rsid w:val="004154F0"/>
    <w:pPr>
      <w:spacing w:after="120"/>
      <w:ind w:left="283"/>
    </w:pPr>
  </w:style>
  <w:style w:type="character" w:customStyle="1" w:styleId="a6">
    <w:name w:val="Основной текст с отступом Знак"/>
    <w:basedOn w:val="a0"/>
    <w:link w:val="a5"/>
    <w:uiPriority w:val="99"/>
    <w:rsid w:val="004154F0"/>
  </w:style>
  <w:style w:type="paragraph" w:styleId="a7">
    <w:name w:val="footer"/>
    <w:basedOn w:val="a"/>
    <w:link w:val="a8"/>
    <w:semiHidden/>
    <w:rsid w:val="004154F0"/>
    <w:pPr>
      <w:widowControl w:val="0"/>
      <w:tabs>
        <w:tab w:val="center" w:pos="4536"/>
        <w:tab w:val="right" w:pos="9072"/>
      </w:tabs>
      <w:overflowPunct w:val="0"/>
      <w:autoSpaceDE w:val="0"/>
      <w:autoSpaceDN w:val="0"/>
      <w:adjustRightInd w:val="0"/>
      <w:spacing w:after="0" w:line="240" w:lineRule="auto"/>
      <w:textAlignment w:val="baseline"/>
    </w:pPr>
    <w:rPr>
      <w:rFonts w:ascii="Times New Roman" w:hAnsi="Times New Roman"/>
      <w:sz w:val="20"/>
      <w:szCs w:val="20"/>
      <w:lang w:val="en-AU"/>
    </w:rPr>
  </w:style>
  <w:style w:type="character" w:customStyle="1" w:styleId="a8">
    <w:name w:val="Нижний колонтитул Знак"/>
    <w:basedOn w:val="a0"/>
    <w:link w:val="a7"/>
    <w:semiHidden/>
    <w:rsid w:val="004154F0"/>
    <w:rPr>
      <w:rFonts w:ascii="Times New Roman" w:eastAsia="Times New Roman" w:hAnsi="Times New Roman" w:cs="Times New Roman"/>
      <w:sz w:val="20"/>
      <w:szCs w:val="20"/>
      <w:lang w:val="en-AU"/>
    </w:rPr>
  </w:style>
  <w:style w:type="paragraph" w:customStyle="1" w:styleId="ARTHUR">
    <w:name w:val="ARTHUR"/>
    <w:basedOn w:val="a"/>
    <w:rsid w:val="00901C84"/>
    <w:pPr>
      <w:spacing w:after="0" w:line="240" w:lineRule="auto"/>
      <w:ind w:left="737" w:right="567" w:firstLine="709"/>
      <w:jc w:val="both"/>
    </w:pPr>
    <w:rPr>
      <w:rFonts w:ascii="Pragmatica" w:hAnsi="Pragmatica"/>
      <w:sz w:val="20"/>
      <w:szCs w:val="20"/>
    </w:rPr>
  </w:style>
  <w:style w:type="paragraph" w:styleId="a9">
    <w:name w:val="header"/>
    <w:basedOn w:val="a"/>
    <w:link w:val="aa"/>
    <w:uiPriority w:val="99"/>
    <w:unhideWhenUsed/>
    <w:rsid w:val="00253310"/>
    <w:pPr>
      <w:tabs>
        <w:tab w:val="center" w:pos="4677"/>
        <w:tab w:val="right" w:pos="9355"/>
      </w:tabs>
    </w:pPr>
  </w:style>
  <w:style w:type="character" w:customStyle="1" w:styleId="aa">
    <w:name w:val="Верхний колонтитул Знак"/>
    <w:basedOn w:val="a0"/>
    <w:link w:val="a9"/>
    <w:uiPriority w:val="99"/>
    <w:rsid w:val="00253310"/>
    <w:rPr>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B665B-40E9-4A62-BA6C-379A8B669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4048</Words>
  <Characters>23077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2009-10-08T13:09:00Z</dcterms:created>
  <dcterms:modified xsi:type="dcterms:W3CDTF">2009-10-08T13:09:00Z</dcterms:modified>
</cp:coreProperties>
</file>