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60" w:rsidRDefault="00F06960">
      <w:pPr>
        <w:pStyle w:val="FR1"/>
        <w:spacing w:line="360" w:lineRule="auto"/>
        <w:ind w:left="0" w:right="-6" w:firstLine="567"/>
        <w:rPr>
          <w:rFonts w:cs="Arial"/>
          <w:sz w:val="36"/>
          <w:lang w:val="en-US"/>
        </w:rPr>
      </w:pPr>
    </w:p>
    <w:p w:rsidR="00F06960" w:rsidRDefault="00B4582E">
      <w:pPr>
        <w:pStyle w:val="FR1"/>
        <w:spacing w:line="360" w:lineRule="auto"/>
        <w:ind w:left="0" w:right="-6" w:firstLine="567"/>
        <w:rPr>
          <w:rFonts w:cs="Arial"/>
          <w:sz w:val="36"/>
        </w:rPr>
      </w:pPr>
      <w:r>
        <w:rPr>
          <w:rFonts w:cs="Arial"/>
          <w:sz w:val="36"/>
        </w:rPr>
        <w:t xml:space="preserve">Облік цінних паперів </w:t>
      </w:r>
    </w:p>
    <w:p w:rsidR="00F06960" w:rsidRDefault="00B4582E">
      <w:pPr>
        <w:pStyle w:val="FR1"/>
        <w:spacing w:line="360" w:lineRule="auto"/>
        <w:ind w:left="0" w:right="-6" w:firstLine="567"/>
        <w:rPr>
          <w:rFonts w:ascii="Times New Roman" w:hAnsi="Times New Roman"/>
          <w:sz w:val="28"/>
        </w:rPr>
      </w:pPr>
      <w:r>
        <w:rPr>
          <w:rFonts w:cs="Arial"/>
          <w:sz w:val="36"/>
        </w:rPr>
        <w:t>(рах. № 34 (клас 3); 62 (клас 6))</w:t>
      </w:r>
    </w:p>
    <w:p w:rsidR="00F06960" w:rsidRDefault="00B4582E">
      <w:pPr>
        <w:pStyle w:val="a3"/>
        <w:spacing w:line="360" w:lineRule="auto"/>
        <w:ind w:right="-6"/>
        <w:rPr>
          <w:lang w:val="uk-UA"/>
        </w:rPr>
      </w:pPr>
      <w:r>
        <w:rPr>
          <w:lang w:val="uk-UA"/>
        </w:rPr>
        <w:t>Перехід до ринкової економіки в Україні тісно пов'язаний з процесом реформування власності, супроводженням струк</w:t>
      </w:r>
      <w:r>
        <w:rPr>
          <w:lang w:val="uk-UA"/>
        </w:rPr>
        <w:softHyphen/>
        <w:t>турною перебудовою економіки, механізму сучасного підпри</w:t>
      </w:r>
      <w:r>
        <w:rPr>
          <w:lang w:val="uk-UA"/>
        </w:rPr>
        <w:softHyphen/>
        <w:t>ємства, формуванням розвиненої інфраструктури фінансового ринку, який би забезпечував вільний обіг коштів у формі цінних паперів.</w:t>
      </w:r>
    </w:p>
    <w:p w:rsidR="00F06960" w:rsidRDefault="00B4582E">
      <w:pPr>
        <w:spacing w:line="360" w:lineRule="auto"/>
        <w:ind w:right="-6" w:firstLine="567"/>
        <w:jc w:val="both"/>
        <w:rPr>
          <w:sz w:val="28"/>
        </w:rPr>
      </w:pPr>
      <w:r>
        <w:rPr>
          <w:sz w:val="28"/>
        </w:rPr>
        <w:t>Указом Президента</w:t>
      </w:r>
      <w:r>
        <w:rPr>
          <w:b/>
          <w:sz w:val="28"/>
        </w:rPr>
        <w:t xml:space="preserve"> України № 142/97 від 14 лютого 1997 р. затверджено Положення</w:t>
      </w:r>
      <w:r>
        <w:rPr>
          <w:sz w:val="28"/>
        </w:rPr>
        <w:t xml:space="preserve"> про державні комісії з цінних паперів і фондового ринку, яке значно розширює повноваження Державної комісії з цінних паперів і фондового ринку. У попередньому Положенні, затвердженому Указом Президента від 12 червня 1995 р., нараховувалося лише 2 пункти прав, а в новому їх — 26.</w:t>
      </w:r>
      <w:r>
        <w:rPr>
          <w:b/>
          <w:sz w:val="28"/>
        </w:rPr>
        <w:t xml:space="preserve"> Комісія стала державним органом, здатним здійснювати державне регулювання ринку цінних паперів, захищати права інвесторів, </w:t>
      </w:r>
      <w:r>
        <w:rPr>
          <w:sz w:val="28"/>
        </w:rPr>
        <w:t>координувати діяльність державних органів з питань функці</w:t>
      </w:r>
      <w:r>
        <w:rPr>
          <w:sz w:val="28"/>
        </w:rPr>
        <w:softHyphen/>
        <w:t>онування в Україні ринку цінних паперів та їх похідних. Це можливо шляхом визначення обов'язкових нормативів, призу</w:t>
      </w:r>
      <w:r>
        <w:rPr>
          <w:sz w:val="28"/>
        </w:rPr>
        <w:softHyphen/>
        <w:t>пинення на термін до одного року розміщення й обігу цінних паперів у разі порушення законодавства, звернення до суду і арбітражного суду, проведення перевірок і ревізії фінансо</w:t>
      </w:r>
      <w:r>
        <w:rPr>
          <w:sz w:val="28"/>
        </w:rPr>
        <w:softHyphen/>
        <w:t>во-господарської діяльності суб'єктів фондового ринку, накла</w:t>
      </w:r>
      <w:r>
        <w:rPr>
          <w:sz w:val="28"/>
        </w:rPr>
        <w:softHyphen/>
        <w:t>дання штрафних санкцій, іншими методами.</w:t>
      </w:r>
    </w:p>
    <w:p w:rsidR="00F06960" w:rsidRDefault="00F06960">
      <w:pPr>
        <w:spacing w:line="360" w:lineRule="auto"/>
        <w:ind w:right="-6" w:firstLine="567"/>
        <w:jc w:val="both"/>
        <w:rPr>
          <w:b/>
          <w:sz w:val="28"/>
        </w:rPr>
      </w:pPr>
    </w:p>
    <w:p w:rsidR="00F06960" w:rsidRDefault="00B4582E">
      <w:pPr>
        <w:spacing w:line="360" w:lineRule="auto"/>
        <w:ind w:right="-6" w:firstLine="567"/>
        <w:jc w:val="center"/>
        <w:rPr>
          <w:sz w:val="28"/>
        </w:rPr>
      </w:pPr>
      <w:r>
        <w:rPr>
          <w:b/>
          <w:sz w:val="28"/>
        </w:rPr>
        <w:t>Види цінних паперів</w:t>
      </w:r>
    </w:p>
    <w:p w:rsidR="00F06960" w:rsidRDefault="00B4582E">
      <w:pPr>
        <w:spacing w:line="360" w:lineRule="auto"/>
        <w:ind w:right="-6" w:firstLine="567"/>
        <w:jc w:val="both"/>
        <w:rPr>
          <w:sz w:val="28"/>
        </w:rPr>
      </w:pPr>
      <w:r>
        <w:rPr>
          <w:b/>
          <w:sz w:val="28"/>
        </w:rPr>
        <w:t>Цінний папір</w:t>
      </w:r>
      <w:r>
        <w:rPr>
          <w:sz w:val="28"/>
        </w:rPr>
        <w:t xml:space="preserve"> - це грошовий документ, що засвідчує право володіння або відносини позики і визначає стосунки між особою, що випустила цей документ, і його власником.</w:t>
      </w:r>
    </w:p>
    <w:p w:rsidR="00F06960" w:rsidRDefault="00B4582E">
      <w:pPr>
        <w:spacing w:line="360" w:lineRule="auto"/>
        <w:ind w:right="-6" w:firstLine="567"/>
        <w:jc w:val="both"/>
        <w:rPr>
          <w:sz w:val="28"/>
        </w:rPr>
      </w:pPr>
      <w:r>
        <w:rPr>
          <w:b/>
          <w:sz w:val="28"/>
        </w:rPr>
        <w:lastRenderedPageBreak/>
        <w:t>До цінних паперів належать акції, облігації, зобо</w:t>
      </w:r>
      <w:r>
        <w:rPr>
          <w:b/>
          <w:sz w:val="28"/>
        </w:rPr>
        <w:softHyphen/>
        <w:t>в'язання Державної скарбниці, ощадні сертифікати, векселі, приватизаційні папери, національні лотереї.</w:t>
      </w:r>
    </w:p>
    <w:p w:rsidR="00F06960" w:rsidRDefault="00B4582E">
      <w:pPr>
        <w:spacing w:line="360" w:lineRule="auto"/>
        <w:ind w:right="-6" w:firstLine="567"/>
        <w:jc w:val="both"/>
        <w:rPr>
          <w:sz w:val="28"/>
        </w:rPr>
      </w:pPr>
      <w:r>
        <w:rPr>
          <w:b/>
          <w:sz w:val="28"/>
        </w:rPr>
        <w:t>Цінні папери являють собою</w:t>
      </w:r>
      <w:r>
        <w:rPr>
          <w:sz w:val="28"/>
        </w:rPr>
        <w:t xml:space="preserve"> засвідчене право володін-йя грошовими документами, що визначає відносини між юридичною особою, що випустила ці документи від свого імені (емітент), та їх власником (покупцем), і передбачають як "Равило виплату доходів у вигляді дивидентів відповідно до внесеної суми на розвиток виробництва, а також передавання ''рошових прав іншим особам (схеми 7.1, 7.2, 7.3).</w:t>
      </w:r>
    </w:p>
    <w:p w:rsidR="00F06960" w:rsidRDefault="00B4582E">
      <w:pPr>
        <w:pStyle w:val="FR1"/>
        <w:spacing w:line="360" w:lineRule="auto"/>
        <w:ind w:left="0" w:right="-6" w:firstLine="567"/>
      </w:pPr>
      <w:r>
        <w:br w:type="page"/>
      </w:r>
      <w:r w:rsidR="00131F4E">
        <w:rPr>
          <w:noProof/>
        </w:rPr>
        <w:lastRenderedPageBreak/>
        <w:pict>
          <v:group id="_x0000_s1026" style="position:absolute;left:0;text-align:left;margin-left:29.7pt;margin-top:15.3pt;width:453.6pt;height:6in;z-index:251656704" coordorigin="1584,1152" coordsize="8928,864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320;top:1152;width:3168;height:864">
              <v:textbox>
                <w:txbxContent>
                  <w:p w:rsidR="00F06960" w:rsidRDefault="00B4582E">
                    <w:pPr>
                      <w:pStyle w:val="2"/>
                    </w:pPr>
                    <w:r>
                      <w:t>Ринок цінних паперів</w:t>
                    </w:r>
                  </w:p>
                  <w:p w:rsidR="00F06960" w:rsidRDefault="00B4582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(РЦП)</w:t>
                    </w:r>
                  </w:p>
                </w:txbxContent>
              </v:textbox>
            </v:shape>
            <v:shape id="_x0000_s1028" type="#_x0000_t202" style="position:absolute;left:1728;top:2448;width:4032;height:576">
              <v:textbox style="mso-next-textbox:#_x0000_s1028">
                <w:txbxContent>
                  <w:p w:rsidR="00F06960" w:rsidRDefault="00B4582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Види цінних паперів</w:t>
                    </w:r>
                  </w:p>
                </w:txbxContent>
              </v:textbox>
            </v:shape>
            <v:shape id="_x0000_s1029" type="#_x0000_t202" style="position:absolute;left:6336;top:2448;width:4032;height:576">
              <v:textbox style="mso-next-textbox:#_x0000_s1029">
                <w:txbxContent>
                  <w:p w:rsidR="00F06960" w:rsidRDefault="00B4582E">
                    <w:pPr>
                      <w:pStyle w:val="2"/>
                    </w:pPr>
                    <w:r>
                      <w:t>Фондовий ринок</w:t>
                    </w:r>
                  </w:p>
                </w:txbxContent>
              </v:textbox>
            </v:shape>
            <v:shape id="_x0000_s1030" type="#_x0000_t202" style="position:absolute;left:1728;top:3312;width:1872;height:432">
              <v:textbox>
                <w:txbxContent>
                  <w:p w:rsidR="00F06960" w:rsidRDefault="00B4582E">
                    <w:pPr>
                      <w:pStyle w:val="5"/>
                    </w:pPr>
                    <w:r>
                      <w:t>Капітальні ЦП</w:t>
                    </w:r>
                  </w:p>
                </w:txbxContent>
              </v:textbox>
            </v:shape>
            <v:shape id="_x0000_s1031" type="#_x0000_t202" style="position:absolute;left:3888;top:3312;width:1872;height:432">
              <v:textbox>
                <w:txbxContent>
                  <w:p w:rsidR="00F06960" w:rsidRDefault="00B4582E">
                    <w:pPr>
                      <w:pStyle w:val="5"/>
                    </w:pPr>
                    <w:r>
                      <w:t>Грошові ЦП</w:t>
                    </w:r>
                  </w:p>
                </w:txbxContent>
              </v:textbox>
            </v:shape>
            <v:shape id="_x0000_s1032" type="#_x0000_t202" style="position:absolute;left:1728;top:3888;width:1872;height:432">
              <v:textbox>
                <w:txbxContent>
                  <w:p w:rsidR="00F06960" w:rsidRDefault="00B4582E">
                    <w:pPr>
                      <w:pStyle w:val="5"/>
                      <w:rPr>
                        <w:sz w:val="28"/>
                      </w:rPr>
                    </w:pPr>
                    <w:r>
                      <w:t xml:space="preserve">Акції </w:t>
                    </w:r>
                  </w:p>
                </w:txbxContent>
              </v:textbox>
            </v:shape>
            <v:shape id="_x0000_s1033" type="#_x0000_t202" style="position:absolute;left:3888;top:3888;width:1872;height:432">
              <v:textbox>
                <w:txbxContent>
                  <w:p w:rsidR="00F06960" w:rsidRDefault="00B4582E">
                    <w:pPr>
                      <w:pStyle w:val="5"/>
                    </w:pPr>
                    <w:r>
                      <w:t xml:space="preserve">Векселі </w:t>
                    </w:r>
                  </w:p>
                </w:txbxContent>
              </v:textbox>
            </v:shape>
            <v:shape id="_x0000_s1034" type="#_x0000_t202" style="position:absolute;left:1728;top:4608;width:1872;height:432">
              <v:textbox>
                <w:txbxContent>
                  <w:p w:rsidR="00F06960" w:rsidRDefault="00B4582E">
                    <w:pPr>
                      <w:pStyle w:val="5"/>
                      <w:rPr>
                        <w:sz w:val="28"/>
                      </w:rPr>
                    </w:pPr>
                    <w:r>
                      <w:t xml:space="preserve">Облігації </w:t>
                    </w:r>
                  </w:p>
                </w:txbxContent>
              </v:textbox>
            </v:shape>
            <v:shape id="_x0000_s1035" type="#_x0000_t202" style="position:absolute;left:3888;top:4464;width:1872;height:720">
              <v:textbox>
                <w:txbxContent>
                  <w:p w:rsidR="00F06960" w:rsidRDefault="00B4582E">
                    <w:pPr>
                      <w:pStyle w:val="5"/>
                    </w:pPr>
                    <w:r>
                      <w:t>Банківські акцепти</w:t>
                    </w:r>
                  </w:p>
                </w:txbxContent>
              </v:textbox>
            </v:shape>
            <v:shape id="_x0000_s1036" type="#_x0000_t202" style="position:absolute;left:1728;top:5328;width:1872;height:720">
              <v:textbox>
                <w:txbxContent>
                  <w:p w:rsidR="00F06960" w:rsidRDefault="00B4582E">
                    <w:pPr>
                      <w:pStyle w:val="5"/>
                    </w:pPr>
                    <w:r>
                      <w:t>Інвестиційні сертифікати</w:t>
                    </w:r>
                  </w:p>
                </w:txbxContent>
              </v:textbox>
            </v:shape>
            <v:shape id="_x0000_s1037" type="#_x0000_t202" style="position:absolute;left:3888;top:5472;width:1872;height:432">
              <v:textbox>
                <w:txbxContent>
                  <w:p w:rsidR="00F06960" w:rsidRDefault="00B4582E">
                    <w:pPr>
                      <w:pStyle w:val="5"/>
                    </w:pPr>
                    <w:r>
                      <w:t xml:space="preserve">Чеки </w:t>
                    </w:r>
                  </w:p>
                </w:txbxContent>
              </v:textbox>
            </v:shape>
            <v:shape id="_x0000_s1038" type="#_x0000_t202" style="position:absolute;left:1728;top:6336;width:1872;height:1008">
              <v:textbox>
                <w:txbxContent>
                  <w:p w:rsidR="00F06960" w:rsidRDefault="00B4582E">
                    <w:pPr>
                      <w:pStyle w:val="5"/>
                    </w:pPr>
                    <w:r>
                      <w:t>Іпотеки (закладні під нерухомість)</w:t>
                    </w:r>
                  </w:p>
                </w:txbxContent>
              </v:textbox>
            </v:shape>
            <v:shape id="_x0000_s1039" type="#_x0000_t202" style="position:absolute;left:3888;top:6192;width:1872;height:1296">
              <v:textbox>
                <w:txbxContent>
                  <w:p w:rsidR="00F06960" w:rsidRDefault="00B4582E">
                    <w:pPr>
                      <w:pStyle w:val="5"/>
                    </w:pPr>
                    <w:r>
                      <w:t>Короткостро-кові ощадні і дефіцитні сертифікати</w:t>
                    </w:r>
                  </w:p>
                </w:txbxContent>
              </v:textbox>
            </v:shape>
            <v:shape id="_x0000_s1040" type="#_x0000_t202" style="position:absolute;left:1728;top:7632;width:1872;height:1440">
              <v:textbox>
                <w:txbxContent>
                  <w:p w:rsidR="00F06960" w:rsidRDefault="00B4582E">
                    <w:pPr>
                      <w:pStyle w:val="5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Казначейські зобов’язання (довгострокові, середньостро-кові) </w:t>
                    </w:r>
                  </w:p>
                </w:txbxContent>
              </v:textbox>
            </v:shape>
            <v:shape id="_x0000_s1041" type="#_x0000_t202" style="position:absolute;left:3888;top:7776;width:1872;height:1152">
              <v:textbox>
                <w:txbxContent>
                  <w:p w:rsidR="00F06960" w:rsidRDefault="00B4582E">
                    <w:pPr>
                      <w:pStyle w:val="5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 xml:space="preserve">Казначейські зобов’язання (короткостро-кові) </w:t>
                    </w:r>
                  </w:p>
                  <w:p w:rsidR="00F06960" w:rsidRDefault="00F06960"/>
                </w:txbxContent>
              </v:textbox>
            </v:shape>
            <v:shape id="_x0000_s1042" type="#_x0000_t202" style="position:absolute;left:6336;top:3312;width:1872;height:720">
              <v:textbox style="mso-next-textbox:#_x0000_s1042">
                <w:txbxContent>
                  <w:p w:rsidR="00F06960" w:rsidRDefault="00B4582E">
                    <w:pPr>
                      <w:pStyle w:val="5"/>
                    </w:pPr>
                    <w:r>
                      <w:t>Первинний ринок ЦП</w:t>
                    </w:r>
                  </w:p>
                </w:txbxContent>
              </v:textbox>
            </v:shape>
            <v:shape id="_x0000_s1043" type="#_x0000_t202" style="position:absolute;left:8496;top:3312;width:1872;height:720">
              <v:textbox style="mso-next-textbox:#_x0000_s1043">
                <w:txbxContent>
                  <w:p w:rsidR="00F06960" w:rsidRDefault="00B4582E">
                    <w:pPr>
                      <w:pStyle w:val="5"/>
                    </w:pPr>
                    <w:r>
                      <w:t>Вторинний ринок ЦП</w:t>
                    </w:r>
                  </w:p>
                </w:txbxContent>
              </v:textbox>
            </v:shape>
            <v:shape id="_x0000_s1044" type="#_x0000_t202" style="position:absolute;left:6336;top:4176;width:1872;height:720">
              <v:textbox style="mso-next-textbox:#_x0000_s1044">
                <w:txbxContent>
                  <w:p w:rsidR="00F06960" w:rsidRDefault="00B4582E">
                    <w:pPr>
                      <w:pStyle w:val="5"/>
                      <w:rPr>
                        <w:sz w:val="28"/>
                      </w:rPr>
                    </w:pPr>
                    <w:r>
                      <w:t>Ринок перших емісій</w:t>
                    </w:r>
                  </w:p>
                </w:txbxContent>
              </v:textbox>
            </v:shape>
            <v:shape id="_x0000_s1045" type="#_x0000_t202" style="position:absolute;left:8496;top:4176;width:1872;height:432">
              <v:textbox style="mso-next-textbox:#_x0000_s1045">
                <w:txbxContent>
                  <w:p w:rsidR="00F06960" w:rsidRDefault="00B4582E">
                    <w:pPr>
                      <w:pStyle w:val="5"/>
                    </w:pPr>
                    <w:r>
                      <w:t>Фондові біржі</w:t>
                    </w:r>
                  </w:p>
                </w:txbxContent>
              </v:textbox>
            </v:shape>
            <v:shape id="_x0000_s1046" type="#_x0000_t202" style="position:absolute;left:6336;top:5040;width:1872;height:1008">
              <v:textbox>
                <w:txbxContent>
                  <w:p w:rsidR="00F06960" w:rsidRDefault="00B4582E">
                    <w:pPr>
                      <w:pStyle w:val="5"/>
                    </w:pPr>
                    <w:r>
                      <w:t>Ринок вторинних емісій</w:t>
                    </w:r>
                  </w:p>
                </w:txbxContent>
              </v:textbox>
            </v:shape>
            <v:shape id="_x0000_s1047" type="#_x0000_t202" style="position:absolute;left:8496;top:5040;width:1872;height:1008">
              <v:textbox>
                <w:txbxContent>
                  <w:p w:rsidR="00F06960" w:rsidRDefault="00B4582E">
                    <w:pPr>
                      <w:pStyle w:val="5"/>
                    </w:pPr>
                    <w:r>
                      <w:t>Позабіржовий ринок цінних паперів</w:t>
                    </w:r>
                  </w:p>
                </w:txbxContent>
              </v:textbox>
            </v:shape>
            <v:line id="_x0000_s1048" style="position:absolute;flip:x" from="3456,1584" to="4320,1584"/>
            <v:line id="_x0000_s1049" style="position:absolute" from="7488,1584" to="8352,1584"/>
            <v:line id="_x0000_s1050" style="position:absolute" from="5904,3600" to="5904,8352"/>
            <v:line id="_x0000_s1051" style="position:absolute;flip:x" from="5760,8352" to="5904,8352"/>
            <v:line id="_x0000_s1052" style="position:absolute;flip:x" from="5760,6768" to="5904,6768"/>
            <v:line id="_x0000_s1053" style="position:absolute;flip:x" from="5760,5616" to="5904,5616"/>
            <v:line id="_x0000_s1054" style="position:absolute;flip:x" from="5760,4752" to="5904,4752"/>
            <v:line id="_x0000_s1055" style="position:absolute;flip:x" from="5760,4032" to="5904,4032"/>
            <v:line id="_x0000_s1056" style="position:absolute;flip:x" from="5760,3600" to="5904,3600"/>
            <v:line id="_x0000_s1057" style="position:absolute" from="1584,3600" to="1584,8352"/>
            <v:line id="_x0000_s1058" style="position:absolute" from="1584,8352" to="1728,8352"/>
            <v:line id="_x0000_s1059" style="position:absolute" from="1584,6768" to="1728,6768"/>
            <v:line id="_x0000_s1060" style="position:absolute" from="1584,5616" to="1728,5616"/>
            <v:line id="_x0000_s1061" style="position:absolute" from="1584,4896" to="1728,4896"/>
            <v:line id="_x0000_s1062" style="position:absolute" from="1584,4032" to="1728,4032"/>
            <v:line id="_x0000_s1063" style="position:absolute;flip:x" from="1584,3600" to="1728,3600"/>
            <v:line id="_x0000_s1064" style="position:absolute;flip:x" from="6192,3744" to="6336,3744"/>
            <v:line id="_x0000_s1065" style="position:absolute" from="6192,3744" to="6192,5616"/>
            <v:line id="_x0000_s1066" style="position:absolute" from="6192,5616" to="6336,5616"/>
            <v:line id="_x0000_s1067" style="position:absolute" from="6192,4608" to="6336,4608"/>
            <v:line id="_x0000_s1068" style="position:absolute" from="10368,3744" to="10512,3744"/>
            <v:line id="_x0000_s1069" style="position:absolute" from="10512,3744" to="10512,5616"/>
            <v:line id="_x0000_s1070" style="position:absolute;flip:x" from="10368,5616" to="10512,5616"/>
            <v:line id="_x0000_s1071" style="position:absolute;flip:x" from="10368,4320" to="10512,4320"/>
            <v:line id="_x0000_s1072" style="position:absolute" from="3456,1584" to="3456,2448">
              <v:stroke endarrow="block"/>
            </v:line>
            <v:line id="_x0000_s1073" style="position:absolute" from="8352,1584" to="8352,2448">
              <v:stroke endarrow="block"/>
            </v:line>
            <v:line id="_x0000_s1074" style="position:absolute;flip:x" from="2736,3024" to="3744,3312">
              <v:stroke endarrow="block"/>
            </v:line>
            <v:line id="_x0000_s1075" style="position:absolute" from="3744,3024" to="4752,3312">
              <v:stroke endarrow="block"/>
            </v:line>
            <v:line id="_x0000_s1076" style="position:absolute;flip:x" from="7344,3024" to="8352,3312">
              <v:stroke endarrow="block"/>
            </v:line>
            <v:line id="_x0000_s1077" style="position:absolute" from="8352,3024" to="9360,3312">
              <v:stroke endarrow="block"/>
            </v:line>
            <v:shape id="_x0000_s1078" type="#_x0000_t202" style="position:absolute;left:3024;top:9216;width:6768;height:576" stroked="f">
              <v:textbox>
                <w:txbxContent>
                  <w:p w:rsidR="00F06960" w:rsidRDefault="00B4582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Схема. 1. Види цінних паперів та їх фондовий ринок</w:t>
                    </w:r>
                  </w:p>
                </w:txbxContent>
              </v:textbox>
            </v:shape>
          </v:group>
        </w:pict>
      </w:r>
      <w:r>
        <w:br w:type="page"/>
      </w:r>
      <w:r w:rsidR="00131F4E">
        <w:rPr>
          <w:noProof/>
        </w:rPr>
        <w:lastRenderedPageBreak/>
        <w:pict>
          <v:group id="_x0000_s1108" style="position:absolute;left:0;text-align:left;margin-left:22.5pt;margin-top:382.5pt;width:460.8pt;height:338.25pt;z-index:251658752" coordorigin="1584,9216" coordsize="9216,6765" o:allowincell="f">
            <v:shape id="_x0000_s1109" type="#_x0000_t202" style="position:absolute;left:1728;top:9216;width:2016;height:1152">
              <v:textbox style="mso-next-textbox:#_x0000_s1109">
                <w:txbxContent>
                  <w:p w:rsidR="00F06960" w:rsidRDefault="00B4582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Операції з цінними паперами</w:t>
                    </w:r>
                  </w:p>
                </w:txbxContent>
              </v:textbox>
            </v:shape>
            <v:shape id="_x0000_s1110" type="#_x0000_t202" style="position:absolute;left:5472;top:10368;width:2304;height:1008">
              <v:textbox style="mso-next-textbox:#_x0000_s1110">
                <w:txbxContent>
                  <w:p w:rsidR="00F06960" w:rsidRDefault="00B4582E">
                    <w:pPr>
                      <w:pStyle w:val="2"/>
                    </w:pPr>
                    <w:r>
                      <w:t>Цінні папери власної емісії</w:t>
                    </w:r>
                  </w:p>
                </w:txbxContent>
              </v:textbox>
            </v:shape>
            <v:shape id="_x0000_s1111" type="#_x0000_t202" style="position:absolute;left:8064;top:10368;width:2304;height:1008">
              <v:textbox style="mso-next-textbox:#_x0000_s1111">
                <w:txbxContent>
                  <w:p w:rsidR="00F06960" w:rsidRDefault="00B4582E">
                    <w:pPr>
                      <w:pStyle w:val="2"/>
                    </w:pPr>
                    <w:r>
                      <w:t>Цінні папери не власної емісії</w:t>
                    </w:r>
                  </w:p>
                  <w:p w:rsidR="00F06960" w:rsidRDefault="00F06960"/>
                </w:txbxContent>
              </v:textbox>
            </v:shape>
            <v:shape id="_x0000_s1112" type="#_x0000_t202" style="position:absolute;left:1584;top:10800;width:1296;height:864">
              <v:textbox style="mso-next-textbox:#_x0000_s1112">
                <w:txbxContent>
                  <w:p w:rsidR="00F06960" w:rsidRDefault="00B4582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Оплата ЦП</w:t>
                    </w:r>
                  </w:p>
                </w:txbxContent>
              </v:textbox>
            </v:shape>
            <v:shape id="_x0000_s1113" type="#_x0000_t202" style="position:absolute;left:3024;top:10800;width:1728;height:2160">
              <v:textbox style="mso-next-textbox:#_x0000_s1113">
                <w:txbxContent>
                  <w:p w:rsidR="00F06960" w:rsidRDefault="00B4582E">
                    <w:pPr>
                      <w:pStyle w:val="30"/>
                    </w:pPr>
                    <w:r>
                      <w:t>Одержання дивідендів або процентів на ЦП</w:t>
                    </w:r>
                  </w:p>
                </w:txbxContent>
              </v:textbox>
            </v:shape>
            <v:shape id="_x0000_s1114" type="#_x0000_t202" style="position:absolute;left:5472;top:11664;width:2304;height:576">
              <v:textbox style="mso-next-textbox:#_x0000_s1114">
                <w:txbxContent>
                  <w:p w:rsidR="00F06960" w:rsidRDefault="00B4582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Емісія (випуск)</w:t>
                    </w:r>
                  </w:p>
                </w:txbxContent>
              </v:textbox>
            </v:shape>
            <v:shape id="_x0000_s1115" type="#_x0000_t202" style="position:absolute;left:5472;top:12384;width:2304;height:1152">
              <v:textbox style="mso-next-textbox:#_x0000_s1115">
                <w:txbxContent>
                  <w:p w:rsidR="00F06960" w:rsidRDefault="00B4582E">
                    <w:pPr>
                      <w:pStyle w:val="30"/>
                    </w:pPr>
                    <w:r>
                      <w:t>Ремісія (вилучення) Анулювання</w:t>
                    </w:r>
                  </w:p>
                </w:txbxContent>
              </v:textbox>
            </v:shape>
            <v:shape id="_x0000_s1116" type="#_x0000_t202" style="position:absolute;left:5472;top:13680;width:2304;height:432">
              <v:textbox style="mso-next-textbox:#_x0000_s1116">
                <w:txbxContent>
                  <w:p w:rsidR="00F06960" w:rsidRDefault="00B4582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Продаж </w:t>
                    </w:r>
                  </w:p>
                </w:txbxContent>
              </v:textbox>
            </v:shape>
            <v:shape id="_x0000_s1117" type="#_x0000_t202" style="position:absolute;left:5472;top:14832;width:2304;height:432">
              <v:textbox style="mso-next-textbox:#_x0000_s1117">
                <w:txbxContent>
                  <w:p w:rsidR="00F06960" w:rsidRDefault="00B4582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Викуп </w:t>
                    </w:r>
                  </w:p>
                </w:txbxContent>
              </v:textbox>
            </v:shape>
            <v:shape id="_x0000_s1118" type="#_x0000_t202" style="position:absolute;left:5472;top:14256;width:2304;height:432">
              <v:textbox style="mso-next-textbox:#_x0000_s1118">
                <w:txbxContent>
                  <w:p w:rsidR="00F06960" w:rsidRDefault="00B4582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Обмін </w:t>
                    </w:r>
                  </w:p>
                </w:txbxContent>
              </v:textbox>
            </v:shape>
            <v:shape id="_x0000_s1119" type="#_x0000_t202" style="position:absolute;left:8064;top:11664;width:2304;height:864">
              <v:textbox style="mso-next-textbox:#_x0000_s1119">
                <w:txbxContent>
                  <w:p w:rsidR="00F06960" w:rsidRDefault="00B4582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Купівля (придбання)</w:t>
                    </w:r>
                  </w:p>
                </w:txbxContent>
              </v:textbox>
            </v:shape>
            <v:shape id="_x0000_s1120" type="#_x0000_t202" style="position:absolute;left:8064;top:13824;width:2304;height:432">
              <v:textbox style="mso-next-textbox:#_x0000_s1120">
                <w:txbxContent>
                  <w:p w:rsidR="00F06960" w:rsidRDefault="00B4582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Зберігання </w:t>
                    </w:r>
                  </w:p>
                </w:txbxContent>
              </v:textbox>
            </v:shape>
            <v:shape id="_x0000_s1121" type="#_x0000_t202" style="position:absolute;left:8064;top:12960;width:2304;height:432">
              <v:textbox style="mso-next-textbox:#_x0000_s1121">
                <w:txbxContent>
                  <w:p w:rsidR="00F06960" w:rsidRDefault="00B4582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Продаж </w:t>
                    </w:r>
                  </w:p>
                </w:txbxContent>
              </v:textbox>
            </v:shape>
            <v:shape id="_x0000_s1122" type="#_x0000_t202" style="position:absolute;left:9504;top:14832;width:1296;height:432">
              <v:textbox style="mso-next-textbox:#_x0000_s1122">
                <w:txbxContent>
                  <w:p w:rsidR="00F06960" w:rsidRDefault="00B4582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 себе</w:t>
                    </w:r>
                  </w:p>
                </w:txbxContent>
              </v:textbox>
            </v:shape>
            <v:shape id="_x0000_s1123" type="#_x0000_t202" style="position:absolute;left:7920;top:14832;width:1296;height:432">
              <v:textbox style="mso-next-textbox:#_x0000_s1123">
                <w:txbxContent>
                  <w:p w:rsidR="00F06960" w:rsidRDefault="00B4582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 банку (випуск)</w:t>
                    </w:r>
                  </w:p>
                </w:txbxContent>
              </v:textbox>
            </v:shape>
            <v:line id="_x0000_s1124" style="position:absolute" from="3744,9792" to="7920,9792"/>
            <v:line id="_x0000_s1125" style="position:absolute" from="10368,10800" to="10800,10800"/>
            <v:line id="_x0000_s1126" style="position:absolute" from="10800,10800" to="10800,13968"/>
            <v:line id="_x0000_s1127" style="position:absolute;flip:x" from="5184,10800" to="5472,10800"/>
            <v:line id="_x0000_s1128" style="position:absolute" from="5184,10800" to="5184,14976"/>
            <v:line id="_x0000_s1129" style="position:absolute" from="2304,10656" to="3600,10656"/>
            <v:line id="_x0000_s1130" style="position:absolute" from="3024,10368" to="3024,10656">
              <v:stroke endarrow="block"/>
            </v:line>
            <v:line id="_x0000_s1131" style="position:absolute" from="7920,9792" to="7920,10080">
              <v:stroke endarrow="block"/>
            </v:line>
            <v:line id="_x0000_s1132" style="position:absolute;flip:x" from="10368,12096" to="10800,12096">
              <v:stroke endarrow="block"/>
            </v:line>
            <v:line id="_x0000_s1133" style="position:absolute;flip:x" from="10368,13104" to="10800,13104">
              <v:stroke endarrow="block"/>
            </v:line>
            <v:line id="_x0000_s1134" style="position:absolute;flip:x" from="10368,13968" to="10800,13968">
              <v:stroke endarrow="block"/>
            </v:line>
            <v:line id="_x0000_s1135" style="position:absolute;flip:x" from="8640,14256" to="9360,14832">
              <v:stroke endarrow="block"/>
            </v:line>
            <v:line id="_x0000_s1136" style="position:absolute" from="9360,14256" to="10080,14832">
              <v:stroke endarrow="block"/>
            </v:line>
            <v:line id="_x0000_s1137" style="position:absolute" from="5184,11952" to="5472,11952">
              <v:stroke endarrow="block"/>
            </v:line>
            <v:line id="_x0000_s1138" style="position:absolute" from="5184,12816" to="5472,12816">
              <v:stroke endarrow="block"/>
            </v:line>
            <v:line id="_x0000_s1139" style="position:absolute" from="5184,13824" to="5472,13824">
              <v:stroke endarrow="block"/>
            </v:line>
            <v:line id="_x0000_s1140" style="position:absolute" from="5184,14400" to="5472,14400">
              <v:stroke endarrow="block"/>
            </v:line>
            <v:line id="_x0000_s1141" style="position:absolute" from="5184,14976" to="5472,14976">
              <v:stroke endarrow="block"/>
            </v:line>
            <v:line id="_x0000_s1142" style="position:absolute" from="3600,10656" to="3600,10800">
              <v:stroke endarrow="block"/>
            </v:line>
            <v:line id="_x0000_s1143" style="position:absolute" from="2304,10656" to="2304,10800">
              <v:stroke endarrow="block"/>
            </v:line>
            <v:line id="_x0000_s1144" style="position:absolute" from="6624,10080" to="6624,10368">
              <v:stroke endarrow="block"/>
            </v:line>
            <v:line id="_x0000_s1145" style="position:absolute" from="9216,10080" to="9216,10368">
              <v:stroke endarrow="block"/>
            </v:line>
            <v:line id="_x0000_s1146" style="position:absolute" from="6624,10080" to="9216,10080"/>
            <v:shape id="_x0000_s1147" type="#_x0000_t202" style="position:absolute;left:1872;top:15405;width:8640;height:576" stroked="f">
              <v:textbox style="mso-next-textbox:#_x0000_s1147">
                <w:txbxContent>
                  <w:p w:rsidR="00F06960" w:rsidRDefault="00B4582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Схема. Типи операцій з цінними паперами</w:t>
                    </w:r>
                  </w:p>
                </w:txbxContent>
              </v:textbox>
            </v:shape>
          </v:group>
        </w:pict>
      </w:r>
      <w:r w:rsidR="00131F4E">
        <w:rPr>
          <w:noProof/>
        </w:rPr>
        <w:pict>
          <v:group id="_x0000_s1079" style="position:absolute;left:0;text-align:left;margin-left:8.1pt;margin-top:8.1pt;width:475.2pt;height:367.2pt;z-index:251657728" coordorigin="1296,1296" coordsize="9504,7344" o:allowincell="f">
            <v:group id="_x0000_s1080" style="position:absolute;left:1296;top:1296;width:9504;height:5040" coordorigin="1440,10224" coordsize="9504,5040">
              <v:shape id="_x0000_s1081" type="#_x0000_t202" style="position:absolute;left:1440;top:12528;width:4320;height:1872">
                <v:textbox>
                  <w:txbxContent>
                    <w:p w:rsidR="00F06960" w:rsidRDefault="00B4582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Шляхом повного індосаменту (передавальний надпис на зворотному боці чека, що засвідчує перехід права по цінних паперах до іншої особи)</w:t>
                      </w:r>
                    </w:p>
                  </w:txbxContent>
                </v:textbox>
              </v:shape>
              <v:group id="_x0000_s1082" style="position:absolute;left:2304;top:10224;width:8640;height:5040" coordorigin="2304,10224" coordsize="8640,5040">
                <v:shape id="_x0000_s1083" type="#_x0000_t202" style="position:absolute;left:4752;top:10224;width:3024;height:576">
                  <v:textbox>
                    <w:txbxContent>
                      <w:p w:rsidR="00F06960" w:rsidRDefault="00B4582E">
                        <w:pPr>
                          <w:pStyle w:val="2"/>
                        </w:pPr>
                        <w:r>
                          <w:t>Цінні папери</w:t>
                        </w:r>
                      </w:p>
                    </w:txbxContent>
                  </v:textbox>
                </v:shape>
                <v:shape id="_x0000_s1084" type="#_x0000_t202" style="position:absolute;left:7200;top:10944;width:3024;height:576">
                  <v:textbox>
                    <w:txbxContent>
                      <w:p w:rsidR="00F06960" w:rsidRDefault="00B4582E">
                        <w:pPr>
                          <w:pStyle w:val="2"/>
                        </w:pPr>
                        <w:r>
                          <w:t xml:space="preserve">На пред’явника </w:t>
                        </w:r>
                      </w:p>
                    </w:txbxContent>
                  </v:textbox>
                </v:shape>
                <v:shape id="_x0000_s1085" type="#_x0000_t202" style="position:absolute;left:2304;top:10944;width:3024;height:576">
                  <v:textbox>
                    <w:txbxContent>
                      <w:p w:rsidR="00F06960" w:rsidRDefault="00B4582E">
                        <w:pPr>
                          <w:pStyle w:val="2"/>
                        </w:pPr>
                        <w:r>
                          <w:t xml:space="preserve">Іменні </w:t>
                        </w:r>
                      </w:p>
                    </w:txbxContent>
                  </v:textbox>
                </v:shape>
                <v:shape id="_x0000_s1086" type="#_x0000_t202" style="position:absolute;left:4752;top:11664;width:3024;height:576">
                  <v:textbox>
                    <w:txbxContent>
                      <w:p w:rsidR="00F06960" w:rsidRDefault="00B4582E">
                        <w:pPr>
                          <w:pStyle w:val="2"/>
                        </w:pPr>
                        <w:r>
                          <w:t>Можуть передаватися</w:t>
                        </w:r>
                      </w:p>
                    </w:txbxContent>
                  </v:textbox>
                </v:shape>
                <v:shape id="_x0000_s1087" type="#_x0000_t202" style="position:absolute;left:4320;top:14688;width:3888;height:576">
                  <v:textbox>
                    <w:txbxContent>
                      <w:p w:rsidR="00F06960" w:rsidRDefault="00B4582E">
                        <w:pPr>
                          <w:pStyle w:val="2"/>
                        </w:pPr>
                        <w:r>
                          <w:t>Можуть використовуватися</w:t>
                        </w:r>
                      </w:p>
                    </w:txbxContent>
                  </v:textbox>
                </v:shape>
                <v:shape id="_x0000_s1088" type="#_x0000_t202" style="position:absolute;left:6624;top:12528;width:4320;height:1872">
                  <v:textbox>
                    <w:txbxContent>
                      <w:p w:rsidR="00F06960" w:rsidRDefault="00F06960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F06960" w:rsidRDefault="00B458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Через фондові біржі </w:t>
                        </w:r>
                      </w:p>
                      <w:p w:rsidR="00F06960" w:rsidRDefault="00B4582E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(цінні папери обертаються вільно)</w:t>
                        </w:r>
                      </w:p>
                    </w:txbxContent>
                  </v:textbox>
                </v:shape>
                <v:line id="_x0000_s1089" style="position:absolute" from="7776,10512" to="8640,10512"/>
                <v:line id="_x0000_s1090" style="position:absolute;flip:x" from="3888,10512" to="4752,10512"/>
                <v:line id="_x0000_s1091" style="position:absolute" from="3888,10512" to="3888,10944">
                  <v:stroke endarrow="block"/>
                </v:line>
                <v:line id="_x0000_s1092" style="position:absolute" from="8640,10512" to="8640,10944">
                  <v:stroke endarrow="block"/>
                </v:line>
                <v:line id="_x0000_s1093" style="position:absolute" from="3888,11520" to="3888,11952"/>
                <v:line id="_x0000_s1094" style="position:absolute" from="8640,11520" to="8640,11952"/>
                <v:line id="_x0000_s1095" style="position:absolute" from="3888,11952" to="4752,11952">
                  <v:stroke endarrow="block"/>
                </v:line>
                <v:line id="_x0000_s1096" style="position:absolute;flip:x" from="7776,11952" to="8640,11952">
                  <v:stroke endarrow="block"/>
                </v:line>
                <v:line id="_x0000_s1097" style="position:absolute;flip:x" from="3456,12240" to="6192,12528">
                  <v:stroke endarrow="block"/>
                </v:line>
                <v:line id="_x0000_s1098" style="position:absolute" from="6192,12240" to="8784,12528">
                  <v:stroke endarrow="block"/>
                </v:line>
                <v:line id="_x0000_s1099" style="position:absolute;flip:x" from="8208,14976" to="8928,14976">
                  <v:stroke endarrow="block"/>
                </v:line>
                <v:line id="_x0000_s1100" style="position:absolute" from="3600,14976" to="4320,14976">
                  <v:stroke endarrow="block"/>
                </v:line>
                <v:line id="_x0000_s1101" style="position:absolute;flip:y" from="3600,14400" to="3600,14976"/>
                <v:line id="_x0000_s1102" style="position:absolute;flip:y" from="8928,14400" to="8928,14976"/>
              </v:group>
            </v:group>
            <v:shape id="_x0000_s1103" type="#_x0000_t202" style="position:absolute;left:1584;top:6912;width:4176;height:864">
              <v:textbox>
                <w:txbxContent>
                  <w:p w:rsidR="00F06960" w:rsidRDefault="00B4582E">
                    <w:pPr>
                      <w:pStyle w:val="2"/>
                    </w:pPr>
                    <w:r>
                      <w:t>Для здійснення розрахунків</w:t>
                    </w:r>
                  </w:p>
                </w:txbxContent>
              </v:textbox>
            </v:shape>
            <v:shape id="_x0000_s1104" type="#_x0000_t202" style="position:absolute;left:6192;top:6912;width:4176;height:864">
              <v:textbox>
                <w:txbxContent>
                  <w:p w:rsidR="00F06960" w:rsidRDefault="00B4582E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Як залог (для здійснення платежів і кредитів)</w:t>
                    </w:r>
                  </w:p>
                </w:txbxContent>
              </v:textbox>
            </v:shape>
            <v:line id="_x0000_s1105" style="position:absolute;flip:x" from="3600,6336" to="6048,6912">
              <v:stroke endarrow="block"/>
            </v:line>
            <v:line id="_x0000_s1106" style="position:absolute" from="6048,6336" to="8928,6912">
              <v:stroke endarrow="block"/>
            </v:line>
            <v:shape id="_x0000_s1107" type="#_x0000_t202" style="position:absolute;left:1872;top:8064;width:8352;height:576" stroked="f">
              <v:textbox>
                <w:txbxContent>
                  <w:p w:rsidR="00F06960" w:rsidRDefault="00B4582E">
                    <w:pPr>
                      <w:pStyle w:val="2"/>
                    </w:pPr>
                    <w:r>
                      <w:t>Схема 7.2. Передача і використання цінних паперів</w:t>
                    </w:r>
                  </w:p>
                </w:txbxContent>
              </v:textbox>
            </v:shape>
          </v:group>
        </w:pict>
      </w:r>
      <w:r>
        <w:br w:type="page"/>
      </w:r>
      <w:r>
        <w:lastRenderedPageBreak/>
        <w:t xml:space="preserve"> </w:t>
      </w:r>
    </w:p>
    <w:p w:rsidR="00F06960" w:rsidRDefault="00F06960">
      <w:pPr>
        <w:rPr>
          <w:outline/>
          <w:sz w:val="28"/>
        </w:rPr>
      </w:pPr>
      <w:bookmarkStart w:id="0" w:name="_GoBack"/>
      <w:bookmarkEnd w:id="0"/>
    </w:p>
    <w:sectPr w:rsidR="00F069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B3A1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5C522BD"/>
    <w:multiLevelType w:val="singleLevel"/>
    <w:tmpl w:val="43EE657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BD829CE"/>
    <w:multiLevelType w:val="singleLevel"/>
    <w:tmpl w:val="79369A2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82E"/>
    <w:rsid w:val="00131F4E"/>
    <w:rsid w:val="00B4582E"/>
    <w:rsid w:val="00F0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9"/>
    <o:shapelayout v:ext="edit">
      <o:idmap v:ext="edit" data="1"/>
    </o:shapelayout>
  </w:shapeDefaults>
  <w:decimalSymbol w:val=","/>
  <w:listSeparator w:val=";"/>
  <w15:chartTrackingRefBased/>
  <w15:docId w15:val="{E0F3EE96-EBBA-4695-B952-6F554031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24"/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709"/>
      <w:jc w:val="center"/>
      <w:outlineLvl w:val="0"/>
    </w:pPr>
    <w:rPr>
      <w:rFonts w:ascii="Arial" w:hAnsi="Arial" w:cs="Arial"/>
      <w:b/>
      <w:bCs/>
      <w:kern w:val="32"/>
      <w:szCs w:val="32"/>
      <w:lang w:val="ru-RU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jc w:val="center"/>
      <w:outlineLvl w:val="4"/>
    </w:pPr>
    <w:rPr>
      <w:sz w:val="24"/>
      <w:szCs w:val="20"/>
    </w:rPr>
  </w:style>
  <w:style w:type="paragraph" w:styleId="6">
    <w:name w:val="heading 6"/>
    <w:basedOn w:val="a"/>
    <w:next w:val="a"/>
    <w:qFormat/>
    <w:pPr>
      <w:keepNext/>
      <w:widowControl w:val="0"/>
      <w:autoSpaceDE w:val="0"/>
      <w:autoSpaceDN w:val="0"/>
      <w:adjustRightInd w:val="0"/>
      <w:ind w:right="-7" w:firstLine="567"/>
      <w:jc w:val="both"/>
      <w:outlineLvl w:val="5"/>
    </w:pPr>
    <w:rPr>
      <w:sz w:val="28"/>
      <w:szCs w:val="20"/>
      <w:lang w:val="ru-RU"/>
    </w:rPr>
  </w:style>
  <w:style w:type="paragraph" w:styleId="7">
    <w:name w:val="heading 7"/>
    <w:basedOn w:val="a"/>
    <w:next w:val="a"/>
    <w:qFormat/>
    <w:pPr>
      <w:keepNext/>
      <w:widowControl w:val="0"/>
      <w:autoSpaceDE w:val="0"/>
      <w:autoSpaceDN w:val="0"/>
      <w:adjustRightInd w:val="0"/>
      <w:ind w:right="-7"/>
      <w:jc w:val="center"/>
      <w:outlineLvl w:val="6"/>
    </w:pPr>
    <w:rPr>
      <w:sz w:val="28"/>
      <w:szCs w:val="20"/>
      <w:lang w:val="ru-RU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ind w:right="-7"/>
      <w:jc w:val="both"/>
      <w:outlineLvl w:val="7"/>
    </w:pPr>
    <w:rPr>
      <w:sz w:val="28"/>
      <w:szCs w:val="20"/>
      <w:lang w:val="ru-RU"/>
    </w:rPr>
  </w:style>
  <w:style w:type="paragraph" w:styleId="9">
    <w:name w:val="heading 9"/>
    <w:basedOn w:val="a"/>
    <w:next w:val="a"/>
    <w:qFormat/>
    <w:pPr>
      <w:keepNext/>
      <w:widowControl w:val="0"/>
      <w:tabs>
        <w:tab w:val="left" w:pos="5529"/>
      </w:tabs>
      <w:autoSpaceDE w:val="0"/>
      <w:autoSpaceDN w:val="0"/>
      <w:adjustRightInd w:val="0"/>
      <w:ind w:right="-7" w:firstLine="567"/>
      <w:jc w:val="center"/>
      <w:outlineLvl w:val="8"/>
    </w:pPr>
    <w:rPr>
      <w:cap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pPr>
      <w:tabs>
        <w:tab w:val="right" w:leader="dot" w:pos="9628"/>
      </w:tabs>
      <w:spacing w:line="360" w:lineRule="auto"/>
      <w:ind w:firstLine="709"/>
      <w:jc w:val="center"/>
    </w:pPr>
    <w:rPr>
      <w:i/>
      <w:sz w:val="28"/>
    </w:rPr>
  </w:style>
  <w:style w:type="paragraph" w:customStyle="1" w:styleId="FR1">
    <w:name w:val="FR1"/>
    <w:pPr>
      <w:widowControl w:val="0"/>
      <w:autoSpaceDE w:val="0"/>
      <w:autoSpaceDN w:val="0"/>
      <w:adjustRightInd w:val="0"/>
      <w:ind w:left="320" w:right="200"/>
      <w:jc w:val="center"/>
    </w:pPr>
    <w:rPr>
      <w:rFonts w:ascii="Arial" w:hAnsi="Arial"/>
      <w:b/>
      <w:sz w:val="24"/>
      <w:lang w:val="uk-UA"/>
    </w:rPr>
  </w:style>
  <w:style w:type="paragraph" w:styleId="a3">
    <w:name w:val="Body Text Indent"/>
    <w:basedOn w:val="a"/>
    <w:semiHidden/>
    <w:pPr>
      <w:widowControl w:val="0"/>
      <w:autoSpaceDE w:val="0"/>
      <w:autoSpaceDN w:val="0"/>
      <w:adjustRightInd w:val="0"/>
      <w:ind w:right="-7" w:firstLine="567"/>
      <w:jc w:val="both"/>
    </w:pPr>
    <w:rPr>
      <w:sz w:val="28"/>
      <w:szCs w:val="20"/>
      <w:lang w:val="ru-RU"/>
    </w:rPr>
  </w:style>
  <w:style w:type="paragraph" w:styleId="a4">
    <w:name w:val="Block Text"/>
    <w:basedOn w:val="a"/>
    <w:semiHidden/>
    <w:pPr>
      <w:widowControl w:val="0"/>
      <w:tabs>
        <w:tab w:val="left" w:pos="5529"/>
      </w:tabs>
      <w:autoSpaceDE w:val="0"/>
      <w:autoSpaceDN w:val="0"/>
      <w:adjustRightInd w:val="0"/>
      <w:ind w:left="5245" w:right="-7"/>
      <w:jc w:val="both"/>
    </w:pPr>
    <w:rPr>
      <w:sz w:val="28"/>
      <w:szCs w:val="20"/>
      <w:lang w:val="ru-RU"/>
    </w:rPr>
  </w:style>
  <w:style w:type="paragraph" w:styleId="20">
    <w:name w:val="Body Text Indent 2"/>
    <w:basedOn w:val="a"/>
    <w:semiHidden/>
    <w:pPr>
      <w:widowControl w:val="0"/>
      <w:autoSpaceDE w:val="0"/>
      <w:autoSpaceDN w:val="0"/>
      <w:adjustRightInd w:val="0"/>
      <w:ind w:right="-7" w:firstLine="567"/>
      <w:jc w:val="center"/>
    </w:pPr>
    <w:rPr>
      <w:b/>
      <w:sz w:val="28"/>
      <w:szCs w:val="20"/>
      <w:lang w:val="ru-RU"/>
    </w:rPr>
  </w:style>
  <w:style w:type="paragraph" w:styleId="3">
    <w:name w:val="Body Text Indent 3"/>
    <w:basedOn w:val="a"/>
    <w:semiHidden/>
    <w:pPr>
      <w:widowControl w:val="0"/>
      <w:autoSpaceDE w:val="0"/>
      <w:autoSpaceDN w:val="0"/>
      <w:adjustRightInd w:val="0"/>
      <w:ind w:right="-7" w:firstLine="40"/>
      <w:jc w:val="both"/>
    </w:pPr>
    <w:rPr>
      <w:sz w:val="28"/>
      <w:szCs w:val="20"/>
      <w:lang w:val="ru-RU"/>
    </w:rPr>
  </w:style>
  <w:style w:type="paragraph" w:styleId="30">
    <w:name w:val="Body Text 3"/>
    <w:basedOn w:val="a"/>
    <w:semiHidden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Економіка. Банківська справа</Manager>
  <Company>Економіка. Банківська справа</Company>
  <LinksUpToDate>false</LinksUpToDate>
  <CharactersWithSpaces>2025</CharactersWithSpaces>
  <SharedDoc>false</SharedDoc>
  <HyperlinkBase>Економіка. Банківська справа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Економіка. Банківська справа</dc:subject>
  <dc:creator>Економіка. Банківська справа</dc:creator>
  <cp:keywords>Економіка. Банківська справа</cp:keywords>
  <dc:description>Економіка. Банківська справа</dc:description>
  <cp:lastModifiedBy>Irina</cp:lastModifiedBy>
  <cp:revision>2</cp:revision>
  <dcterms:created xsi:type="dcterms:W3CDTF">2014-08-16T09:52:00Z</dcterms:created>
  <dcterms:modified xsi:type="dcterms:W3CDTF">2014-08-16T09:52:00Z</dcterms:modified>
  <cp:category>Економіка. Банківська справа</cp:category>
</cp:coreProperties>
</file>