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46" w:rsidRDefault="008F3146" w:rsidP="00C421B9">
      <w:pPr>
        <w:ind w:left="1418" w:right="1418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A742D" w:rsidRPr="00C421B9" w:rsidRDefault="00CA742D" w:rsidP="00C421B9">
      <w:pPr>
        <w:ind w:left="1418" w:right="141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21B9">
        <w:rPr>
          <w:rFonts w:ascii="Times New Roman" w:hAnsi="Times New Roman"/>
          <w:b/>
          <w:sz w:val="20"/>
          <w:szCs w:val="20"/>
          <w:lang w:val="ru-RU"/>
        </w:rPr>
        <w:t>Международные соглашения об избежании двойного налогообложения</w:t>
      </w:r>
    </w:p>
    <w:p w:rsidR="00CA742D" w:rsidRDefault="00CA742D" w:rsidP="00C421B9">
      <w:pPr>
        <w:ind w:left="1418" w:right="141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 w:rsidRPr="00C421B9">
        <w:rPr>
          <w:rFonts w:ascii="Times New Roman" w:hAnsi="Times New Roman"/>
          <w:sz w:val="20"/>
          <w:szCs w:val="20"/>
          <w:lang w:val="ru-RU"/>
        </w:rPr>
        <w:tab/>
        <w:t>Международные соглашения об избежании 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 являются способом решения проблемы международного двойного налогообложения на межгосударственном уровне. Целью их заключения является, во-первых, устранение двойного налогообложения, поскольку оно оказывает отрицательный эффект на расширение торговли товарами и услугами и на перемещение капталами и лиц, серьезно затрудняет расширение экономических связей. Во-вторых, желательно, чтобы налогоплательщики, осуществляющие коммерческую деятельность в нескольких странах, точно представляли бы себе налоговое положение в этих странах и были бы уверены, что государства применяют общие методы налогообложения.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>Целесообразны такие соглашения и как средства борьбы с уклонениями от налогов и с нежелательным бегством национальных капиталов за рубеж.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>В настоящее время Российская Федерация заключила и применяет международные соглашения об избежании двойного налогообложения более чем с 70 иностранными государствами.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Основная цель договоров </w:t>
      </w:r>
      <w:r w:rsidRPr="00C421B9">
        <w:rPr>
          <w:rFonts w:ascii="Times New Roman" w:hAnsi="Times New Roman"/>
          <w:sz w:val="20"/>
          <w:szCs w:val="20"/>
          <w:lang w:val="ru-RU"/>
        </w:rPr>
        <w:t>об избежании 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 – способствовать международной торговле и инвестированию путем уменьшения налоговых барьеров, препятствующих свободному международному обмену товарами и услугами. Облегчение налогового бремени стимулирует развитие торговли и инвестирования. При этом каждое государство, вовлеченное в международную торговлю, с точки зрения налогообложения выступает в двух качествах. В одних ситуациях государство осуществляет налогообложение доходов как страна местопребывания налогоплательщика. В других же ситуациях государство облагает налогом доходы как государство – источник дохода, получаемого нерезидентом. 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Международные соглашения </w:t>
      </w:r>
      <w:r w:rsidRPr="00C421B9">
        <w:rPr>
          <w:rFonts w:ascii="Times New Roman" w:hAnsi="Times New Roman"/>
          <w:sz w:val="20"/>
          <w:szCs w:val="20"/>
          <w:lang w:val="ru-RU"/>
        </w:rPr>
        <w:t>об избежании 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 предоставляют преимущества по налогообложению доходов налогоплательщиков странами резидентства (постоянного местопребывания) юридических и физических лиц. Увеличение налоговых доходов страны  постоянного местопребывания налогоплательщика осуществляется за счет доходов страны – источника дохода. Поэтому международные соглашения   </w:t>
      </w:r>
      <w:r w:rsidRPr="00C421B9">
        <w:rPr>
          <w:rFonts w:ascii="Times New Roman" w:hAnsi="Times New Roman"/>
          <w:sz w:val="20"/>
          <w:szCs w:val="20"/>
          <w:lang w:val="ru-RU"/>
        </w:rPr>
        <w:t>об избежании 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 всегда содержат определенный механизм налогообложения, который применяется в одинаковом порядке в отношении всех сторон, подписавших соглашение.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Хотя во многих государствах приняты законы, регулирующие международные операции и обеспечивающие одностороннее освобождение от международного </w:t>
      </w:r>
      <w:r w:rsidRPr="00C421B9">
        <w:rPr>
          <w:rFonts w:ascii="Times New Roman" w:hAnsi="Times New Roman"/>
          <w:sz w:val="20"/>
          <w:szCs w:val="20"/>
          <w:lang w:val="ru-RU"/>
        </w:rPr>
        <w:t>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, эти односторонние усилия не всегда достигают поставленной цели. Поэтому одной из целей международного договора </w:t>
      </w:r>
      <w:r w:rsidRPr="00C421B9">
        <w:rPr>
          <w:rFonts w:ascii="Times New Roman" w:hAnsi="Times New Roman"/>
          <w:sz w:val="20"/>
          <w:szCs w:val="20"/>
          <w:lang w:val="ru-RU"/>
        </w:rPr>
        <w:t>об избежании 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 является решение конфликтов о статусе резидента. 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В соглашении </w:t>
      </w:r>
      <w:r w:rsidRPr="00C421B9">
        <w:rPr>
          <w:rFonts w:ascii="Times New Roman" w:hAnsi="Times New Roman"/>
          <w:sz w:val="20"/>
          <w:szCs w:val="20"/>
          <w:lang w:val="ru-RU"/>
        </w:rPr>
        <w:t>об избежании двойного налогообложения</w:t>
      </w:r>
      <w:r>
        <w:rPr>
          <w:rFonts w:ascii="Times New Roman" w:hAnsi="Times New Roman"/>
          <w:sz w:val="20"/>
          <w:szCs w:val="20"/>
          <w:lang w:val="ru-RU"/>
        </w:rPr>
        <w:t xml:space="preserve"> предусматриваются так же методы устранения двойного налогообложения, которые соответствуют общетеоретическим и включают метод освобождения либо метод зачета (налогового кредита). 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>Механизм устранения двойного налогообложения, заложенный в соглашениях об избежании двойного налогообложения, может быть представлен следующим образом.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ab/>
      </w:r>
    </w:p>
    <w:p w:rsidR="00CA742D" w:rsidRDefault="00AE6DA8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89.4pt;margin-top:3pt;width:318.65pt;height:345.85pt;z-index:251668992" coordorigin="3206,1194" coordsize="6373,69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206;top:1657;width:801;height:0;flip:x" o:connectortype="straight"/>
            <v:group id="_x0000_s1028" style="position:absolute;left:3206;top:1194;width:6373;height:6917" coordorigin="3206,1194" coordsize="6373,6917">
              <v:rect id="_x0000_s1029" style="position:absolute;left:4007;top:1194;width:5334;height:910">
                <v:textbox style="mso-next-textbox:#_x0000_s1029">
                  <w:txbxContent>
                    <w:p w:rsidR="00CA742D" w:rsidRDefault="00CA742D" w:rsidP="006C6364">
                      <w:pPr>
                        <w:jc w:val="center"/>
                        <w:rPr>
                          <w:lang w:val="ru-RU"/>
                        </w:rPr>
                      </w:pPr>
                      <w:r w:rsidRPr="006C636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lang w:val="ru-RU"/>
                        </w:rPr>
                        <w:t>Механизм устранения двойного налогообложения в международных соглашениях об избежании двойного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6C6364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lang w:val="ru-RU"/>
                        </w:rPr>
                        <w:t>налогообложения</w:t>
                      </w:r>
                    </w:p>
                    <w:p w:rsidR="00CA742D" w:rsidRPr="006C6364" w:rsidRDefault="00CA742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  <v:rect id="_x0000_s1030" style="position:absolute;left:4007;top:2379;width:4032;height:639">
                <v:textbox style="mso-next-textbox:#_x0000_s1030">
                  <w:txbxContent>
                    <w:p w:rsidR="00CA742D" w:rsidRPr="006C6364" w:rsidRDefault="00CA742D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6C6364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  <w:t>Установление понятийного аппарата – определение терминов</w:t>
                      </w:r>
                    </w:p>
                  </w:txbxContent>
                </v:textbox>
              </v:rect>
              <v:rect id="_x0000_s1031" style="position:absolute;left:4007;top:3231;width:5572;height:802">
                <v:textbox style="mso-next-textbox:#_x0000_s1031">
                  <w:txbxContent>
                    <w:p w:rsidR="00CA742D" w:rsidRPr="00B01FBF" w:rsidRDefault="00CA742D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  <w:t xml:space="preserve">Определение схемы устранения двойного налогообложения, при котором каждое государство взимает налог только с конкретного вида доходов </w:t>
                      </w:r>
                    </w:p>
                  </w:txbxContent>
                </v:textbox>
              </v:rect>
              <v:shape id="_x0000_s1032" type="#_x0000_t32" style="position:absolute;left:3206;top:2676;width:801;height:14" o:connectortype="straight">
                <v:stroke endarrow="block"/>
              </v:shape>
              <v:rect id="_x0000_s1033" style="position:absolute;left:4007;top:4209;width:5334;height:899">
                <v:textbox style="mso-next-textbox:#_x0000_s1033">
                  <w:txbxContent>
                    <w:p w:rsidR="00CA742D" w:rsidRPr="00C80E82" w:rsidRDefault="00CA742D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  <w:t xml:space="preserve">Установление механизма устранения двойного налогообложения в тех случаях, когда налогообложение всех видов доходов сохраняется за обоими государствами </w:t>
                      </w:r>
                    </w:p>
                  </w:txbxContent>
                </v:textbox>
              </v:rect>
              <v:shape id="_x0000_s1034" type="#_x0000_t32" style="position:absolute;left:3206;top:5611;width:801;height:13" o:connectortype="straight">
                <v:stroke endarrow="block"/>
              </v:shape>
              <v:shape id="_x0000_s1035" type="#_x0000_t32" style="position:absolute;left:3206;top:4660;width:801;height:0" o:connectortype="straight">
                <v:stroke endarrow="block"/>
              </v:shape>
              <v:shape id="_x0000_s1036" type="#_x0000_t32" style="position:absolute;left:3206;top:3641;width:801;height:0" o:connectortype="straight">
                <v:stroke endarrow="block"/>
              </v:shape>
              <v:rect id="_x0000_s1037" style="position:absolute;left:4007;top:5312;width:4771;height:639">
                <v:textbox style="mso-next-textbox:#_x0000_s1037">
                  <w:txbxContent>
                    <w:p w:rsidR="00CA742D" w:rsidRPr="00B01FBF" w:rsidRDefault="00CA742D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  <w:t>Устранение дискриминационного налогообложения налогоплательщика в другой стране</w:t>
                      </w:r>
                    </w:p>
                  </w:txbxContent>
                </v:textbox>
              </v:rect>
              <v:shape id="_x0000_s1038" type="#_x0000_t32" style="position:absolute;left:3206;top:6562;width:801;height:27" o:connectortype="straight">
                <v:stroke endarrow="block"/>
              </v:shape>
              <v:rect id="_x0000_s1039" style="position:absolute;left:4007;top:6181;width:5334;height:902">
                <v:textbox style="mso-next-textbox:#_x0000_s1039">
                  <w:txbxContent>
                    <w:p w:rsidR="00CA742D" w:rsidRPr="00B01FBF" w:rsidRDefault="00CA742D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  <w:t xml:space="preserve">Обмен информацией между компетентными органами в целях недопущения уклонения от налогообложения или злоупотребления соглашением  </w:t>
                      </w:r>
                    </w:p>
                  </w:txbxContent>
                </v:textbox>
              </v:rect>
              <v:rect id="_x0000_s1040" style="position:absolute;left:4007;top:7309;width:5334;height:802">
                <v:textbox style="mso-next-textbox:#_x0000_s1040">
                  <w:txbxContent>
                    <w:p w:rsidR="00CA742D" w:rsidRPr="00B01FBF" w:rsidRDefault="00CA742D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u-RU"/>
                        </w:rPr>
                        <w:t xml:space="preserve">Определение методов устранения двойного налогообложения доходов резидентов (освобождение или зачет) </w:t>
                      </w:r>
                    </w:p>
                  </w:txbxContent>
                </v:textbox>
              </v:rect>
              <v:shape id="_x0000_s1041" type="#_x0000_t32" style="position:absolute;left:3206;top:1657;width:0;height:6005" o:connectortype="straight"/>
              <v:shape id="_x0000_s1042" type="#_x0000_t32" style="position:absolute;left:3206;top:7662;width:801;height:0" o:connectortype="straight">
                <v:stroke endarrow="block"/>
              </v:shape>
            </v:group>
          </v:group>
        </w:pict>
      </w:r>
      <w:r w:rsidR="00CA742D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CA742D" w:rsidRDefault="00CA742D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    </w:t>
      </w:r>
    </w:p>
    <w:p w:rsidR="00CA742D" w:rsidRDefault="00AE6DA8" w:rsidP="00C421B9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43" type="#_x0000_t32" style="position:absolute;left:0;text-align:left;margin-left:89.4pt;margin-top:303.4pt;width:40.05pt;height:0;z-index:25166796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4" type="#_x0000_t32" style="position:absolute;left:0;text-align:left;margin-left:89.4pt;margin-top:3.15pt;width:0;height:300.25pt;z-index:251666944" o:connectortype="straight"/>
        </w:pict>
      </w:r>
      <w:r>
        <w:rPr>
          <w:noProof/>
          <w:lang w:val="ru-RU" w:eastAsia="ru-RU"/>
        </w:rPr>
        <w:pict>
          <v:shape id="_x0000_s1045" type="#_x0000_t32" style="position:absolute;left:0;text-align:left;margin-left:89.4pt;margin-top:303.4pt;width:40.05pt;height:0;z-index:25166592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6" type="#_x0000_t32" style="position:absolute;left:0;text-align:left;margin-left:89.4pt;margin-top:3.15pt;width:0;height:300.25pt;z-index:251664896" o:connectortype="straight"/>
        </w:pict>
      </w:r>
      <w:r>
        <w:rPr>
          <w:noProof/>
          <w:lang w:val="ru-RU" w:eastAsia="ru-RU"/>
        </w:rPr>
        <w:pict>
          <v:rect id="_x0000_s1047" style="position:absolute;left:0;text-align:left;margin-left:129.45pt;margin-top:285.75pt;width:266.7pt;height:40.1pt;z-index:251663872">
            <v:textbox style="mso-next-textbox:#_x0000_s1047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Определение методов устранения двойного налогообложения доходов резидентов (освобождение или зачет)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48" style="position:absolute;left:0;text-align:left;margin-left:129.45pt;margin-top:229.35pt;width:266.7pt;height:45.1pt;z-index:251662848">
            <v:textbox style="mso-next-textbox:#_x0000_s1048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Обмен информацией между компетентными органами в целях недопущения уклонения от налогообложения или злоупотребления соглашением 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shape id="_x0000_s1049" type="#_x0000_t32" style="position:absolute;left:0;text-align:left;margin-left:89.4pt;margin-top:248.4pt;width:40.05pt;height:1.35pt;z-index:25166182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0" type="#_x0000_t32" style="position:absolute;left:0;text-align:left;margin-left:89.4pt;margin-top:303.4pt;width:40.05pt;height:0;z-index:25166080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1" type="#_x0000_t32" style="position:absolute;left:0;text-align:left;margin-left:89.4pt;margin-top:3.15pt;width:0;height:300.25pt;z-index:251659776" o:connectortype="straight"/>
        </w:pict>
      </w:r>
      <w:r>
        <w:rPr>
          <w:noProof/>
          <w:lang w:val="ru-RU" w:eastAsia="ru-RU"/>
        </w:rPr>
        <w:pict>
          <v:rect id="_x0000_s1052" style="position:absolute;left:0;text-align:left;margin-left:129.45pt;margin-top:285.75pt;width:266.7pt;height:40.1pt;z-index:251658752">
            <v:textbox style="mso-next-textbox:#_x0000_s1052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Определение методов устранения двойного налогообложения доходов резидентов (освобождение или зачет)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53" style="position:absolute;left:0;text-align:left;margin-left:129.45pt;margin-top:229.35pt;width:266.7pt;height:45.1pt;z-index:251657728">
            <v:textbox style="mso-next-textbox:#_x0000_s1053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Обмен информацией между компетентными органами в целях недопущения уклонения от налогообложения или злоупотребления соглашением 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54" style="position:absolute;left:0;text-align:left;margin-left:129.45pt;margin-top:185.9pt;width:238.55pt;height:31.95pt;z-index:251656704">
            <v:textbox style="mso-next-textbox:#_x0000_s1054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Устранение дискриминационного налогообложения налогоплательщика в другой стране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shape id="_x0000_s1055" type="#_x0000_t32" style="position:absolute;left:0;text-align:left;margin-left:89.4pt;margin-top:3.15pt;width:0;height:300.25pt;z-index:251650560" o:connectortype="straight"/>
        </w:pict>
      </w:r>
      <w:r w:rsidR="00CA742D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</w:p>
    <w:p w:rsidR="00CA742D" w:rsidRDefault="00CA742D" w:rsidP="006C6364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     </w:t>
      </w:r>
    </w:p>
    <w:p w:rsidR="00CA742D" w:rsidRDefault="00CA742D" w:rsidP="006C6364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6C6364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Pr="00B01FBF" w:rsidRDefault="00CA742D" w:rsidP="00B01FBF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B01FBF" w:rsidRDefault="00CA742D" w:rsidP="00B01FBF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B01FBF" w:rsidRDefault="00CA742D" w:rsidP="00B01FBF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B01FBF" w:rsidRDefault="00CA742D" w:rsidP="00B01FBF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B01FBF" w:rsidRDefault="00AE6DA8" w:rsidP="00B01FBF">
      <w:pPr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56" type="#_x0000_t32" style="position:absolute;margin-left:89.4pt;margin-top:10.35pt;width:40.05pt;height:0;z-index:251655680" o:connectortype="straight">
            <v:stroke endarrow="block"/>
          </v:shape>
        </w:pict>
      </w:r>
    </w:p>
    <w:p w:rsidR="00CA742D" w:rsidRPr="00B01FBF" w:rsidRDefault="00CA742D" w:rsidP="00B01FBF">
      <w:pPr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B01FBF">
      <w:pPr>
        <w:rPr>
          <w:rFonts w:ascii="Times New Roman" w:hAnsi="Times New Roman"/>
          <w:sz w:val="20"/>
          <w:szCs w:val="20"/>
          <w:lang w:val="ru-RU"/>
        </w:rPr>
      </w:pPr>
    </w:p>
    <w:p w:rsidR="00CA742D" w:rsidRDefault="00AE6DA8" w:rsidP="00B01FBF">
      <w:pPr>
        <w:tabs>
          <w:tab w:val="left" w:pos="2078"/>
          <w:tab w:val="left" w:pos="2500"/>
        </w:tabs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rect id="_x0000_s1057" style="position:absolute;margin-left:129.45pt;margin-top:4.25pt;width:266.7pt;height:44.95pt;z-index:251649536">
            <v:textbox style="mso-next-textbox:#_x0000_s1057">
              <w:txbxContent>
                <w:p w:rsidR="00CA742D" w:rsidRPr="00C80E82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Установление механизма устранения двойного налогообложения в тех случаях, когда налогообложение всех видов доходов сохраняется за обоими государствами </w:t>
                  </w:r>
                </w:p>
              </w:txbxContent>
            </v:textbox>
          </v:rect>
        </w:pict>
      </w:r>
      <w:r w:rsidR="00CA742D">
        <w:rPr>
          <w:rFonts w:ascii="Times New Roman" w:hAnsi="Times New Roman"/>
          <w:sz w:val="20"/>
          <w:szCs w:val="20"/>
          <w:lang w:val="ru-RU"/>
        </w:rPr>
        <w:tab/>
      </w:r>
      <w:r w:rsidR="00CA742D">
        <w:rPr>
          <w:rFonts w:ascii="Times New Roman" w:hAnsi="Times New Roman"/>
          <w:sz w:val="20"/>
          <w:szCs w:val="20"/>
          <w:lang w:val="ru-RU"/>
        </w:rPr>
        <w:tab/>
      </w:r>
    </w:p>
    <w:p w:rsidR="00CA742D" w:rsidRDefault="00CA742D" w:rsidP="00B01FBF">
      <w:pPr>
        <w:tabs>
          <w:tab w:val="left" w:pos="2078"/>
        </w:tabs>
        <w:rPr>
          <w:rFonts w:ascii="Times New Roman" w:hAnsi="Times New Roman"/>
          <w:sz w:val="20"/>
          <w:szCs w:val="20"/>
          <w:lang w:val="ru-RU"/>
        </w:rPr>
      </w:pPr>
    </w:p>
    <w:p w:rsidR="00CA742D" w:rsidRDefault="00AE6DA8" w:rsidP="00B01FBF">
      <w:pPr>
        <w:tabs>
          <w:tab w:val="left" w:pos="2078"/>
        </w:tabs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58" type="#_x0000_t32" style="position:absolute;margin-left:89.4pt;margin-top:3.8pt;width:40.05pt;height:0;z-index:251654656" o:connectortype="straight">
            <v:stroke endarrow="block"/>
          </v:shape>
        </w:pict>
      </w:r>
    </w:p>
    <w:p w:rsidR="00CA742D" w:rsidRDefault="00CA742D" w:rsidP="00B01FBF">
      <w:pPr>
        <w:tabs>
          <w:tab w:val="left" w:pos="2078"/>
        </w:tabs>
        <w:rPr>
          <w:rFonts w:ascii="Times New Roman" w:hAnsi="Times New Roman"/>
          <w:sz w:val="20"/>
          <w:szCs w:val="20"/>
          <w:lang w:val="ru-RU"/>
        </w:rPr>
      </w:pPr>
    </w:p>
    <w:p w:rsidR="00CA742D" w:rsidRDefault="00AE6DA8" w:rsidP="00B01FBF">
      <w:pPr>
        <w:tabs>
          <w:tab w:val="left" w:pos="2078"/>
        </w:tabs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_s1059" type="#_x0000_t32" style="position:absolute;margin-left:89.4pt;margin-top:28.35pt;width:40.05pt;height:.65pt;z-index:25165363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60" type="#_x0000_t32" style="position:absolute;margin-left:89.4pt;margin-top:75.9pt;width:40.05pt;height:1.35pt;z-index:25165260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61" type="#_x0000_t32" style="position:absolute;margin-left:89.4pt;margin-top:130.9pt;width:40.05pt;height:0;z-index:251651584" o:connectortype="straight">
            <v:stroke endarrow="block"/>
          </v:shape>
        </w:pict>
      </w:r>
      <w:r>
        <w:rPr>
          <w:noProof/>
          <w:lang w:val="ru-RU" w:eastAsia="ru-RU"/>
        </w:rPr>
        <w:pict>
          <v:rect id="_x0000_s1062" style="position:absolute;margin-left:129.45pt;margin-top:113.25pt;width:266.7pt;height:40.1pt;z-index:251648512">
            <v:textbox style="mso-next-textbox:#_x0000_s1062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Определение методов устранения двойного налогообложения доходов резидентов (освобождение или зачет)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63" style="position:absolute;margin-left:129.45pt;margin-top:56.85pt;width:266.7pt;height:45.1pt;z-index:251647488">
            <v:textbox style="mso-next-textbox:#_x0000_s1063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 xml:space="preserve">Обмен информацией между компетентными органами в целях недопущения уклонения от налогообложения или злоупотребления соглашением 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64" style="position:absolute;margin-left:129.45pt;margin-top:13.4pt;width:238.55pt;height:31.95pt;z-index:251646464">
            <v:textbox style="mso-next-textbox:#_x0000_s1064">
              <w:txbxContent>
                <w:p w:rsidR="00CA742D" w:rsidRPr="00B01FBF" w:rsidRDefault="00CA742D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Устранение дискриминационного налогообложения налогоплательщика в другой стране</w:t>
                  </w:r>
                </w:p>
              </w:txbxContent>
            </v:textbox>
          </v:rect>
        </w:pict>
      </w: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ind w:left="1418" w:right="1418"/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EB7B7C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Pr="00EB7B7C" w:rsidRDefault="00CA742D" w:rsidP="00EB7B7C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EB7B7C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>Одним из методов устранения международного двойного налогообложения является предусмотренная соглашениями об избежании двойного налогообложения процедура взаимного согласования, проводимая в целях разрешения трудностей в применении таких соглашений в самом широком смысле слова.</w:t>
      </w:r>
    </w:p>
    <w:p w:rsidR="00CA742D" w:rsidRDefault="00CA742D" w:rsidP="00EB7B7C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В рамках взаимосогласительной процедуры компетентные органы должны попытаться посредством взаимного согласования разрешить проблемы налогоплательщиков, к которым применяется налогообложение не в соответствии с положениями международного соглашения. В ходе процедуры взаимного согласования разрешаются проблемы, связанные с толкованием или применением международного соглашения, а также проводятся консультации для устранения двойного налогообложения в случаях, не предусмотренных соглашением. </w:t>
      </w:r>
    </w:p>
    <w:p w:rsidR="00CA742D" w:rsidRDefault="00CA742D" w:rsidP="00EB7B7C">
      <w:pPr>
        <w:ind w:left="1418" w:right="141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  <w:t xml:space="preserve">Взаимосогласительная процедура также предусматривает механизм, позволяющий компетентным органам проводить совместные консультации для размещения проблем как юридического, так и экономического двойного налогообложения в контексте применения трансфертных цен, особенно в случае формирования прибыли связанных предприятий.     </w:t>
      </w:r>
    </w:p>
    <w:p w:rsidR="00CA742D" w:rsidRDefault="00CA742D" w:rsidP="00EB7B7C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A742D" w:rsidRDefault="00CA742D" w:rsidP="00EB7B7C">
      <w:pPr>
        <w:tabs>
          <w:tab w:val="left" w:pos="1372"/>
        </w:tabs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</w:p>
    <w:p w:rsidR="00CA742D" w:rsidRPr="00557183" w:rsidRDefault="00CA742D" w:rsidP="00557183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557183" w:rsidRDefault="00CA742D" w:rsidP="00557183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557183" w:rsidRDefault="00CA742D" w:rsidP="00557183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A742D" w:rsidRPr="00557183" w:rsidRDefault="00CA742D" w:rsidP="00557183">
      <w:pPr>
        <w:ind w:right="1418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Выполнила: Сафронова Ю. А.</w:t>
      </w:r>
    </w:p>
    <w:p w:rsidR="00CA742D" w:rsidRPr="00557183" w:rsidRDefault="00CA742D" w:rsidP="00557183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Студентка НН-0703                  </w:t>
      </w:r>
    </w:p>
    <w:p w:rsidR="00CA742D" w:rsidRPr="00557183" w:rsidRDefault="00CA742D" w:rsidP="00557183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Проверила: Будылко Н. С.</w:t>
      </w:r>
    </w:p>
    <w:p w:rsidR="00CA742D" w:rsidRDefault="00CA742D" w:rsidP="00557183">
      <w:pPr>
        <w:rPr>
          <w:rFonts w:ascii="Times New Roman" w:hAnsi="Times New Roman"/>
          <w:sz w:val="20"/>
          <w:szCs w:val="20"/>
          <w:lang w:val="ru-RU"/>
        </w:rPr>
      </w:pPr>
    </w:p>
    <w:p w:rsidR="00CA742D" w:rsidRPr="00557183" w:rsidRDefault="00CA742D" w:rsidP="00557183">
      <w:pPr>
        <w:tabs>
          <w:tab w:val="left" w:pos="7703"/>
        </w:tabs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bookmarkStart w:id="0" w:name="_GoBack"/>
      <w:bookmarkEnd w:id="0"/>
    </w:p>
    <w:sectPr w:rsidR="00CA742D" w:rsidRPr="00557183" w:rsidSect="006A30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2D" w:rsidRDefault="00CA742D" w:rsidP="00B01FBF">
      <w:r>
        <w:separator/>
      </w:r>
    </w:p>
  </w:endnote>
  <w:endnote w:type="continuationSeparator" w:id="0">
    <w:p w:rsidR="00CA742D" w:rsidRDefault="00CA742D" w:rsidP="00B0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2D" w:rsidRDefault="00CA742D" w:rsidP="00B01FBF">
      <w:r>
        <w:separator/>
      </w:r>
    </w:p>
  </w:footnote>
  <w:footnote w:type="continuationSeparator" w:id="0">
    <w:p w:rsidR="00CA742D" w:rsidRDefault="00CA742D" w:rsidP="00B0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3D4"/>
    <w:rsid w:val="001D5194"/>
    <w:rsid w:val="00272C3F"/>
    <w:rsid w:val="003626AF"/>
    <w:rsid w:val="00423484"/>
    <w:rsid w:val="00557183"/>
    <w:rsid w:val="006A307B"/>
    <w:rsid w:val="006C6364"/>
    <w:rsid w:val="00872E6E"/>
    <w:rsid w:val="008C108B"/>
    <w:rsid w:val="008F3146"/>
    <w:rsid w:val="009F5F62"/>
    <w:rsid w:val="00AC3A89"/>
    <w:rsid w:val="00AD349C"/>
    <w:rsid w:val="00AE6DA8"/>
    <w:rsid w:val="00B01FBF"/>
    <w:rsid w:val="00C421B9"/>
    <w:rsid w:val="00C80E82"/>
    <w:rsid w:val="00CA742D"/>
    <w:rsid w:val="00CF279D"/>
    <w:rsid w:val="00D453D4"/>
    <w:rsid w:val="00DB70F1"/>
    <w:rsid w:val="00E375DB"/>
    <w:rsid w:val="00EB7B7C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4"/>
        <o:r id="V:Rule4" type="connector" idref="#_x0000_s1035"/>
        <o:r id="V:Rule5" type="connector" idref="#_x0000_s1036"/>
        <o:r id="V:Rule6" type="connector" idref="#_x0000_s1038"/>
        <o:r id="V:Rule7" type="connector" idref="#_x0000_s1041"/>
        <o:r id="V:Rule8" type="connector" idref="#_x0000_s1042"/>
        <o:r id="V:Rule9" type="connector" idref="#_x0000_s1043"/>
        <o:r id="V:Rule10" type="connector" idref="#_x0000_s1044"/>
        <o:r id="V:Rule11" type="connector" idref="#_x0000_s1045"/>
        <o:r id="V:Rule12" type="connector" idref="#_x0000_s1046"/>
        <o:r id="V:Rule13" type="connector" idref="#_x0000_s1049"/>
        <o:r id="V:Rule14" type="connector" idref="#_x0000_s1050"/>
        <o:r id="V:Rule15" type="connector" idref="#_x0000_s1051"/>
        <o:r id="V:Rule16" type="connector" idref="#_x0000_s1055"/>
        <o:r id="V:Rule17" type="connector" idref="#_x0000_s1056"/>
        <o:r id="V:Rule18" type="connector" idref="#_x0000_s1058"/>
        <o:r id="V:Rule19" type="connector" idref="#_x0000_s1059"/>
        <o:r id="V:Rule20" type="connector" idref="#_x0000_s1060"/>
        <o:r id="V:Rule21" type="connector" idref="#_x0000_s1061"/>
      </o:rules>
    </o:shapelayout>
  </w:shapeDefaults>
  <w:decimalSymbol w:val=","/>
  <w:listSeparator w:val=";"/>
  <w15:chartTrackingRefBased/>
  <w15:docId w15:val="{5995F496-A908-4379-8DB1-A3D82D8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D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453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53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53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5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3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53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453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453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453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D453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D453D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D453D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D453D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D453D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D453D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D453D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D453D4"/>
    <w:rPr>
      <w:rFonts w:ascii="Cambria" w:hAnsi="Cambria" w:cs="Times New Roman"/>
    </w:rPr>
  </w:style>
  <w:style w:type="paragraph" w:styleId="a3">
    <w:name w:val="Title"/>
    <w:basedOn w:val="a"/>
    <w:next w:val="a"/>
    <w:link w:val="a4"/>
    <w:qFormat/>
    <w:rsid w:val="00D453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D453D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453D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locked/>
    <w:rsid w:val="00D453D4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qFormat/>
    <w:rsid w:val="00D453D4"/>
    <w:rPr>
      <w:rFonts w:cs="Times New Roman"/>
      <w:b/>
      <w:bCs/>
    </w:rPr>
  </w:style>
  <w:style w:type="character" w:styleId="a8">
    <w:name w:val="Emphasis"/>
    <w:basedOn w:val="a0"/>
    <w:qFormat/>
    <w:rsid w:val="00D453D4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D453D4"/>
    <w:rPr>
      <w:szCs w:val="32"/>
    </w:rPr>
  </w:style>
  <w:style w:type="paragraph" w:customStyle="1" w:styleId="12">
    <w:name w:val="Абзац списка1"/>
    <w:basedOn w:val="a"/>
    <w:rsid w:val="00D453D4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D453D4"/>
    <w:rPr>
      <w:i/>
    </w:rPr>
  </w:style>
  <w:style w:type="character" w:customStyle="1" w:styleId="QuoteChar">
    <w:name w:val="Quote Char"/>
    <w:basedOn w:val="a0"/>
    <w:link w:val="21"/>
    <w:locked/>
    <w:rsid w:val="00D453D4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D453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3"/>
    <w:locked/>
    <w:rsid w:val="00D453D4"/>
    <w:rPr>
      <w:rFonts w:cs="Times New Roman"/>
      <w:b/>
      <w:i/>
      <w:sz w:val="24"/>
    </w:rPr>
  </w:style>
  <w:style w:type="character" w:customStyle="1" w:styleId="14">
    <w:name w:val="Слабое выделение1"/>
    <w:rsid w:val="00D453D4"/>
    <w:rPr>
      <w:i/>
      <w:color w:val="5A5A5A"/>
    </w:rPr>
  </w:style>
  <w:style w:type="character" w:customStyle="1" w:styleId="15">
    <w:name w:val="Сильное выделение1"/>
    <w:basedOn w:val="a0"/>
    <w:rsid w:val="00D453D4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D453D4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D453D4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D453D4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D453D4"/>
    <w:pPr>
      <w:outlineLvl w:val="9"/>
    </w:pPr>
  </w:style>
  <w:style w:type="paragraph" w:styleId="a9">
    <w:name w:val="header"/>
    <w:basedOn w:val="a"/>
    <w:link w:val="aa"/>
    <w:semiHidden/>
    <w:rsid w:val="00B01F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01FBF"/>
    <w:rPr>
      <w:rFonts w:cs="Times New Roman"/>
      <w:sz w:val="24"/>
      <w:szCs w:val="24"/>
    </w:rPr>
  </w:style>
  <w:style w:type="paragraph" w:styleId="ab">
    <w:name w:val="footer"/>
    <w:basedOn w:val="a"/>
    <w:link w:val="ac"/>
    <w:semiHidden/>
    <w:rsid w:val="00B01F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B01F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соглашения об избежании двойного налогообложения</vt:lpstr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соглашения об избежании двойного налогообложения</dc:title>
  <dc:subject/>
  <dc:creator>Юленька</dc:creator>
  <cp:keywords/>
  <dc:description/>
  <cp:lastModifiedBy>admin</cp:lastModifiedBy>
  <cp:revision>2</cp:revision>
  <dcterms:created xsi:type="dcterms:W3CDTF">2014-05-06T21:41:00Z</dcterms:created>
  <dcterms:modified xsi:type="dcterms:W3CDTF">2014-05-06T21:41:00Z</dcterms:modified>
</cp:coreProperties>
</file>