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AA" w:rsidRDefault="00506BAA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72"/>
        </w:rPr>
      </w:pPr>
    </w:p>
    <w:p w:rsidR="00506BAA" w:rsidRDefault="00506BAA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72"/>
        </w:rPr>
      </w:pPr>
    </w:p>
    <w:p w:rsidR="00506BAA" w:rsidRDefault="00506BAA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72"/>
        </w:rPr>
      </w:pPr>
    </w:p>
    <w:p w:rsidR="00506BAA" w:rsidRDefault="00F7674B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/>
          <w:b/>
          <w:bCs/>
          <w:sz w:val="72"/>
        </w:rPr>
        <w:t xml:space="preserve">Реферат </w:t>
      </w:r>
    </w:p>
    <w:p w:rsidR="00506BAA" w:rsidRDefault="00F7674B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>на тему:</w:t>
      </w:r>
    </w:p>
    <w:p w:rsidR="00506BAA" w:rsidRDefault="00F7674B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/>
          <w:b/>
          <w:bCs/>
          <w:sz w:val="72"/>
        </w:rPr>
        <w:t xml:space="preserve">Виклад фактичних обставин злочину </w:t>
      </w:r>
    </w:p>
    <w:p w:rsidR="00506BAA" w:rsidRDefault="00F7674B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/>
          <w:b/>
          <w:bCs/>
          <w:sz w:val="72"/>
        </w:rPr>
        <w:t>(фабула справи)</w:t>
      </w:r>
    </w:p>
    <w:p w:rsidR="00506BAA" w:rsidRDefault="00506BAA">
      <w:pPr>
        <w:pStyle w:val="1"/>
        <w:spacing w:line="360" w:lineRule="auto"/>
        <w:ind w:left="57" w:right="57" w:firstLine="709"/>
        <w:rPr>
          <w:b/>
          <w:bCs/>
          <w:sz w:val="72"/>
        </w:rPr>
        <w:sectPr w:rsidR="00506BAA">
          <w:pgSz w:w="11900" w:h="16820"/>
          <w:pgMar w:top="567" w:right="1134" w:bottom="567" w:left="1134" w:header="720" w:footer="720" w:gutter="0"/>
          <w:cols w:space="60"/>
          <w:noEndnote/>
        </w:sectPr>
      </w:pP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Виступаючи в суді, прокурор зобов'язаний найпер</w:t>
      </w:r>
      <w:r>
        <w:rPr>
          <w:sz w:val="28"/>
        </w:rPr>
        <w:softHyphen/>
        <w:t>ше встановити перед судом, чи є злочин в тому, що було здійснено, і який саме. Завдання державного обвинувача</w:t>
      </w:r>
      <w:r>
        <w:rPr>
          <w:noProof/>
          <w:sz w:val="28"/>
        </w:rPr>
        <w:t xml:space="preserve"> — </w:t>
      </w:r>
      <w:r>
        <w:rPr>
          <w:sz w:val="28"/>
        </w:rPr>
        <w:t>відновити в пам'яті присутніх загальну картину злочину, чіткіше окреслити його основні риси, підготувати слухачів до сприйняття злочинів.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Існує кілька способів викладу фактичних обставин справи: хро</w:t>
      </w:r>
      <w:r>
        <w:rPr>
          <w:sz w:val="28"/>
        </w:rPr>
        <w:softHyphen/>
        <w:t>нологічний (так, як установив слідчий), систематичний (так, як цс мало місце в дійсності), змішаний (перший і другий разом).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Прокурори віддають перевагу хронологічному способу викладу фабули справи, ніби відновлюючи обставини в тій послідовності, в якій вони були встановлені у стадії попереднього розслідування і в ході судового слідства.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У справі про випуск недоброякісної продукції прокурор вик</w:t>
      </w:r>
      <w:r>
        <w:rPr>
          <w:sz w:val="28"/>
        </w:rPr>
        <w:softHyphen/>
        <w:t>лав обставини таким чином: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«Попереднім і судовим слідством установлено, що директор Та-синського склозаводу Варушкін, головний інженер заводу Жемков і на</w:t>
      </w:r>
      <w:r>
        <w:rPr>
          <w:i/>
          <w:sz w:val="28"/>
        </w:rPr>
        <w:softHyphen/>
        <w:t>чальник відділу технічного контролю Крупеннікова відвантажили ми</w:t>
      </w:r>
      <w:r>
        <w:rPr>
          <w:i/>
          <w:sz w:val="28"/>
        </w:rPr>
        <w:softHyphen/>
        <w:t>нулого року московській парфумерній фабриці «Новая заря» десять партій скляних флаконів (загальною кількістю</w:t>
      </w:r>
      <w:r>
        <w:rPr>
          <w:i/>
          <w:noProof/>
          <w:sz w:val="28"/>
        </w:rPr>
        <w:t xml:space="preserve"> 984</w:t>
      </w:r>
      <w:r>
        <w:rPr>
          <w:i/>
          <w:sz w:val="28"/>
        </w:rPr>
        <w:t xml:space="preserve"> тисячі штук). Ця продукція у зв'язку з виявленням</w:t>
      </w:r>
      <w:r>
        <w:rPr>
          <w:i/>
          <w:sz w:val="28"/>
          <w:lang w:val="ru-RU"/>
        </w:rPr>
        <w:t xml:space="preserve"> при</w:t>
      </w:r>
      <w:r>
        <w:rPr>
          <w:i/>
          <w:sz w:val="28"/>
        </w:rPr>
        <w:t xml:space="preserve"> її прийомні непомірна великого браку, була повернена заводу-виготувану, де в результаті пересорту</w:t>
      </w:r>
      <w:r>
        <w:rPr>
          <w:i/>
          <w:sz w:val="28"/>
        </w:rPr>
        <w:softHyphen/>
        <w:t>вання визнані повністю непридатними для використання як склота</w:t>
      </w:r>
      <w:r>
        <w:rPr>
          <w:i/>
          <w:sz w:val="28"/>
        </w:rPr>
        <w:softHyphen/>
        <w:t>ра</w:t>
      </w:r>
      <w:r>
        <w:rPr>
          <w:i/>
          <w:noProof/>
          <w:sz w:val="28"/>
        </w:rPr>
        <w:t xml:space="preserve"> 77</w:t>
      </w:r>
      <w:r>
        <w:rPr>
          <w:i/>
          <w:sz w:val="28"/>
        </w:rPr>
        <w:t xml:space="preserve"> тисяч флаконів, тобто в середньому</w:t>
      </w:r>
      <w:r>
        <w:rPr>
          <w:i/>
          <w:sz w:val="28"/>
          <w:lang w:val="ru-RU"/>
        </w:rPr>
        <w:t xml:space="preserve"> забраковано</w:t>
      </w:r>
      <w:r>
        <w:rPr>
          <w:i/>
          <w:noProof/>
          <w:sz w:val="28"/>
        </w:rPr>
        <w:t xml:space="preserve"> 7,8%</w:t>
      </w:r>
      <w:r>
        <w:rPr>
          <w:i/>
          <w:sz w:val="28"/>
        </w:rPr>
        <w:t xml:space="preserve"> виробів. Випуск недоброякісної продукції спричинив склозаводу матеріальні збитки на</w:t>
      </w:r>
      <w:r>
        <w:rPr>
          <w:i/>
          <w:noProof/>
          <w:sz w:val="28"/>
        </w:rPr>
        <w:t xml:space="preserve"> 3958</w:t>
      </w:r>
      <w:r>
        <w:rPr>
          <w:i/>
          <w:sz w:val="28"/>
        </w:rPr>
        <w:t xml:space="preserve"> крб.</w:t>
      </w:r>
      <w:r>
        <w:rPr>
          <w:i/>
          <w:noProof/>
          <w:sz w:val="28"/>
        </w:rPr>
        <w:t xml:space="preserve"> 31</w:t>
      </w:r>
      <w:r>
        <w:rPr>
          <w:i/>
          <w:sz w:val="28"/>
          <w:lang w:val="ru-RU"/>
        </w:rPr>
        <w:t xml:space="preserve"> коп.»</w:t>
      </w:r>
      <w:r>
        <w:rPr>
          <w:sz w:val="28"/>
          <w:lang w:val="ru-RU"/>
        </w:rPr>
        <w:t xml:space="preserve"> 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За систематичного викладу обставини справи подаються у такій послідовності, в якій вони мали місце в дійсності. Прикладом є виступ того ж прокурора у справі про вбивство.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«Події, які стали предметом судового розгляду, розгорталися таким чином.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Надвечір</w:t>
      </w:r>
      <w:r>
        <w:rPr>
          <w:i/>
          <w:noProof/>
          <w:sz w:val="28"/>
        </w:rPr>
        <w:t xml:space="preserve"> 31</w:t>
      </w:r>
      <w:r>
        <w:rPr>
          <w:i/>
          <w:sz w:val="28"/>
        </w:rPr>
        <w:t xml:space="preserve"> жовтня п 'янш Анатолій</w:t>
      </w:r>
      <w:r>
        <w:rPr>
          <w:i/>
          <w:sz w:val="28"/>
          <w:lang w:val="ru-RU"/>
        </w:rPr>
        <w:t xml:space="preserve"> Виноградов,</w:t>
      </w:r>
      <w:r>
        <w:rPr>
          <w:i/>
          <w:sz w:val="28"/>
        </w:rPr>
        <w:t xml:space="preserve"> знаходячись у Будинку культури імені Дегтярьова, в тому самому Будинку культу</w:t>
      </w:r>
      <w:r>
        <w:rPr>
          <w:i/>
          <w:sz w:val="28"/>
        </w:rPr>
        <w:softHyphen/>
        <w:t>ри, де сьогодні йде судовий процес у його справі, повів себе зухвало, брутально, ображаючи своїми вчинками і словами оточуючих.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Запросивши на танок Галину Бушуєву, він допустив вільності в поводженні з дівчиною, а на прохання «танцювати як слід» нецензур</w:t>
      </w:r>
      <w:r>
        <w:rPr>
          <w:i/>
          <w:sz w:val="28"/>
        </w:rPr>
        <w:softHyphen/>
        <w:t>но вилаяв її. Природно, Галина Бушуєва відмовилася танцювати з Виноградовим.</w:t>
      </w:r>
      <w:r>
        <w:rPr>
          <w:sz w:val="28"/>
        </w:rPr>
        <w:t xml:space="preserve"> Я </w:t>
      </w:r>
      <w:r>
        <w:rPr>
          <w:i/>
          <w:sz w:val="28"/>
        </w:rPr>
        <w:t>прикладу наслідувала і Ніна</w:t>
      </w:r>
      <w:r>
        <w:rPr>
          <w:i/>
          <w:sz w:val="28"/>
          <w:lang w:val="ru-RU"/>
        </w:rPr>
        <w:t xml:space="preserve"> Кузнецова,</w:t>
      </w:r>
      <w:r>
        <w:rPr>
          <w:i/>
          <w:sz w:val="28"/>
        </w:rPr>
        <w:t xml:space="preserve"> яку він май</w:t>
      </w:r>
      <w:r>
        <w:rPr>
          <w:i/>
          <w:sz w:val="28"/>
        </w:rPr>
        <w:softHyphen/>
        <w:t>же силою вихопив на танок із групи дівчат.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  <w:lang w:val="ru-RU"/>
        </w:rPr>
        <w:t>Виноградов, невдоволений</w:t>
      </w:r>
      <w:r>
        <w:rPr>
          <w:i/>
          <w:sz w:val="28"/>
        </w:rPr>
        <w:t xml:space="preserve"> відмовою двох дівчат танцювати з ним, вийшов із Будинку культури і попрямував до свого гуртожитку. На вулиці Куйбишева біля будинку</w:t>
      </w:r>
      <w:r>
        <w:rPr>
          <w:i/>
          <w:noProof/>
          <w:sz w:val="28"/>
        </w:rPr>
        <w:t xml:space="preserve"> № 15</w:t>
      </w:r>
      <w:r>
        <w:rPr>
          <w:i/>
          <w:sz w:val="28"/>
          <w:lang w:val="ru-RU"/>
        </w:rPr>
        <w:t xml:space="preserve"> Виноградов</w:t>
      </w:r>
      <w:r>
        <w:rPr>
          <w:i/>
          <w:sz w:val="28"/>
        </w:rPr>
        <w:t xml:space="preserve"> зупинив Ларису Тезіну, яка поспішала додому, і перегородив їй вхід на ганок. Ухопивши за рукав пальто, не давав можливості піднятися вгору східцями. Тезіна просила залишити її у спокої.</w:t>
      </w:r>
      <w:r>
        <w:rPr>
          <w:i/>
          <w:sz w:val="28"/>
          <w:lang w:val="ru-RU"/>
        </w:rPr>
        <w:t xml:space="preserve"> Виноградов</w:t>
      </w:r>
      <w:r>
        <w:rPr>
          <w:i/>
          <w:sz w:val="28"/>
        </w:rPr>
        <w:t xml:space="preserve"> опустив руку, піднявся вище, загородив вхід у двері і почав сипати прокльони на адресу ковровців: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«Дуже не сподобалося, в Коврові люди темні...»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Потім він запропонував Тезіній прогулятися з ним. Відмова Лариси від його пропозиції викликала нову хвилю злості.</w:t>
      </w:r>
      <w:r>
        <w:rPr>
          <w:i/>
          <w:sz w:val="28"/>
          <w:lang w:val="ru-RU"/>
        </w:rPr>
        <w:t xml:space="preserve"> Виноградов</w:t>
      </w:r>
      <w:r>
        <w:rPr>
          <w:i/>
          <w:sz w:val="28"/>
        </w:rPr>
        <w:t xml:space="preserve"> не</w:t>
      </w:r>
      <w:r>
        <w:rPr>
          <w:i/>
          <w:sz w:val="28"/>
        </w:rPr>
        <w:softHyphen/>
        <w:t>сподівано кілька разів ударив Тезіну в обличчя, в живіш, в спину. Тезіна закричала. Розлючений хуліган затиснув рот дівчини долонею і нама</w:t>
      </w:r>
      <w:r>
        <w:rPr>
          <w:i/>
          <w:sz w:val="28"/>
        </w:rPr>
        <w:softHyphen/>
        <w:t>гався відірвати її руки від перил, стягнувши з ганку і примусити си</w:t>
      </w:r>
      <w:r>
        <w:rPr>
          <w:i/>
          <w:sz w:val="28"/>
        </w:rPr>
        <w:softHyphen/>
        <w:t>лою піти з ним. Тезіній удалося вирватися з «обійм» Виноградова і вскочити в будинок.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Залишившись один,</w:t>
      </w:r>
      <w:r>
        <w:rPr>
          <w:i/>
          <w:sz w:val="28"/>
          <w:lang w:val="ru-RU"/>
        </w:rPr>
        <w:t xml:space="preserve"> Виноградов</w:t>
      </w:r>
      <w:r>
        <w:rPr>
          <w:i/>
          <w:sz w:val="28"/>
        </w:rPr>
        <w:t xml:space="preserve"> пішов до свого гуртожитку і зу</w:t>
      </w:r>
      <w:r>
        <w:rPr>
          <w:i/>
          <w:sz w:val="28"/>
        </w:rPr>
        <w:softHyphen/>
        <w:t>пинився біля нього. Було близько</w:t>
      </w:r>
      <w:r>
        <w:rPr>
          <w:i/>
          <w:noProof/>
          <w:sz w:val="28"/>
        </w:rPr>
        <w:t xml:space="preserve"> 24</w:t>
      </w:r>
      <w:r>
        <w:rPr>
          <w:i/>
          <w:sz w:val="28"/>
        </w:rPr>
        <w:t xml:space="preserve"> годин. На той час із клубу повер</w:t>
      </w:r>
      <w:r>
        <w:rPr>
          <w:i/>
          <w:sz w:val="28"/>
        </w:rPr>
        <w:softHyphen/>
        <w:t>талися додому Тетяна Ісаєва і Галина Бушуева. Дівчата дійшли до автобусної зупинки, зустрілися з Парфеновым і Базановим і разом пішли по вулиці Піонерській. Зупинилися біля школи. Галина запропо</w:t>
      </w:r>
      <w:r>
        <w:rPr>
          <w:i/>
          <w:sz w:val="28"/>
        </w:rPr>
        <w:softHyphen/>
        <w:t>нувала йти далі, але Тетяна, ще не закінчивши розмови з Базановим, затрималася. Галина залишила подругу і пішла одна. У неї не було підстав підозрювати щось недобре. Через кілька хвилин Тетяна розп</w:t>
      </w:r>
      <w:r>
        <w:rPr>
          <w:i/>
          <w:sz w:val="28"/>
        </w:rPr>
        <w:softHyphen/>
        <w:t>рощалася з Базановим і пішла слідом за Галиною.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  <w:lang w:val="ru-RU"/>
        </w:rPr>
        <w:t>Потапов</w:t>
      </w:r>
      <w:r>
        <w:rPr>
          <w:i/>
          <w:sz w:val="28"/>
        </w:rPr>
        <w:t xml:space="preserve"> і</w:t>
      </w:r>
      <w:r>
        <w:rPr>
          <w:i/>
          <w:sz w:val="28"/>
          <w:lang w:val="ru-RU"/>
        </w:rPr>
        <w:t xml:space="preserve"> Сомов,</w:t>
      </w:r>
      <w:r>
        <w:rPr>
          <w:i/>
          <w:sz w:val="28"/>
        </w:rPr>
        <w:t xml:space="preserve"> які стояли на вулиці проти гуртожитку, в якому жив</w:t>
      </w:r>
      <w:r>
        <w:rPr>
          <w:i/>
          <w:sz w:val="28"/>
          <w:lang w:val="ru-RU"/>
        </w:rPr>
        <w:t xml:space="preserve"> Виноградов,</w:t>
      </w:r>
      <w:r>
        <w:rPr>
          <w:i/>
          <w:sz w:val="28"/>
        </w:rPr>
        <w:t xml:space="preserve"> підтвердили, що через</w:t>
      </w:r>
      <w:r>
        <w:rPr>
          <w:i/>
          <w:noProof/>
          <w:sz w:val="28"/>
        </w:rPr>
        <w:t xml:space="preserve"> 5—10</w:t>
      </w:r>
      <w:r>
        <w:rPr>
          <w:i/>
          <w:sz w:val="28"/>
        </w:rPr>
        <w:t xml:space="preserve"> хвилин після того, як мимо пройшла Галина Бушуева, вони побачили Тетяну Ісаєву, яка наближалася, і порадили їй догнати подругу. Тим часом до Сомова і </w:t>
      </w:r>
      <w:r>
        <w:rPr>
          <w:i/>
          <w:sz w:val="28"/>
          <w:lang w:val="ru-RU"/>
        </w:rPr>
        <w:t>Потапова</w:t>
      </w:r>
      <w:r>
        <w:rPr>
          <w:i/>
          <w:sz w:val="28"/>
        </w:rPr>
        <w:t xml:space="preserve"> наблизився</w:t>
      </w:r>
      <w:r>
        <w:rPr>
          <w:i/>
          <w:sz w:val="28"/>
          <w:lang w:val="ru-RU"/>
        </w:rPr>
        <w:t xml:space="preserve"> Виноградов</w:t>
      </w:r>
      <w:r>
        <w:rPr>
          <w:i/>
          <w:sz w:val="28"/>
        </w:rPr>
        <w:t xml:space="preserve"> і, не зупиняючись, пішов за Ісаевою. Цей факт установлений на попередньому слідстві і в суді з гра</w:t>
      </w:r>
      <w:r>
        <w:rPr>
          <w:i/>
          <w:sz w:val="28"/>
        </w:rPr>
        <w:softHyphen/>
        <w:t>ничною ясністю. Він визнаний підсудним, зафіксований на очній ставці між Виноградовим і Потаповим. На цьому нитка прямих показань свідків обривається.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Ісаєва залишилась у безлюдному місці наодинці з Виноградовим, а вранці</w:t>
      </w:r>
      <w:r>
        <w:rPr>
          <w:i/>
          <w:noProof/>
          <w:sz w:val="28"/>
        </w:rPr>
        <w:t xml:space="preserve"> 1</w:t>
      </w:r>
      <w:r>
        <w:rPr>
          <w:i/>
          <w:sz w:val="28"/>
        </w:rPr>
        <w:t xml:space="preserve"> листопада її</w:t>
      </w:r>
      <w:r>
        <w:rPr>
          <w:i/>
          <w:sz w:val="28"/>
          <w:lang w:val="ru-RU"/>
        </w:rPr>
        <w:t xml:space="preserve"> труп</w:t>
      </w:r>
      <w:r>
        <w:rPr>
          <w:i/>
          <w:sz w:val="28"/>
        </w:rPr>
        <w:t xml:space="preserve"> зі слідами насильницької смерті був ви</w:t>
      </w:r>
      <w:r>
        <w:rPr>
          <w:i/>
          <w:sz w:val="28"/>
        </w:rPr>
        <w:softHyphen/>
        <w:t>явлений на полі, прилеглому до Вишневої вулиці»</w:t>
      </w:r>
      <w:r>
        <w:rPr>
          <w:i/>
          <w:noProof/>
          <w:sz w:val="28"/>
        </w:rPr>
        <w:t xml:space="preserve"> 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Нерідко виклад фактичних обставин справи у звинувачувальній промові поєднується з показом суспільної небезпеки здійсненого злочину. Це підсилює виховний вплив судового процесу, розкри</w:t>
      </w:r>
      <w:r>
        <w:rPr>
          <w:sz w:val="28"/>
        </w:rPr>
        <w:softHyphen/>
        <w:t>ває причини й умови, які сприяли вчиненню злочину.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У цій же справі про вбивство Тетяни Їсаєвої прокурор Віктор Царьов відзначає велике громадське значення справи, ту тяжку мо</w:t>
      </w:r>
      <w:r>
        <w:rPr>
          <w:sz w:val="28"/>
        </w:rPr>
        <w:softHyphen/>
        <w:t>ральну травму, яку нанесено жителям міста. Вказавши, що тисячі ковровців, які не змогли потрапити до залу, зібралися в сквері біля Будинку культури і слухають процес по радіо, сказав: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«Інколи говорять, що хуліганство— це безмотивне бешкетуван</w:t>
      </w:r>
      <w:r>
        <w:rPr>
          <w:i/>
          <w:sz w:val="28"/>
        </w:rPr>
        <w:softHyphen/>
        <w:t>ня, і якщо не звертати увагу на дії хуліганів, вони скоро заспокояться і все скінчиться миром. Такі судження неправильні за своєю сут</w:t>
      </w:r>
      <w:r>
        <w:rPr>
          <w:i/>
          <w:sz w:val="28"/>
        </w:rPr>
        <w:softHyphen/>
        <w:t>тю.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Хуліганство— грубе порушення елементарних норм людського співжиття, демонстративне заперечення моральних підвалин суспіль</w:t>
      </w:r>
      <w:r>
        <w:rPr>
          <w:i/>
          <w:sz w:val="28"/>
        </w:rPr>
        <w:softHyphen/>
        <w:t>ства. Хуліган намагається установити своє бундючно-зневажливе «я» над оточуючими, принизити гідність інших людей. Не зустрічаючи опору, хуліган розлючується ще більше, веде себе в товаристві зухва</w:t>
      </w:r>
      <w:r>
        <w:rPr>
          <w:i/>
          <w:sz w:val="28"/>
        </w:rPr>
        <w:softHyphen/>
        <w:t>ло, з викликом демонструючи свої інстинкти. Правильно свого часу зауважив Д. Фонвізін: «Людина і скотина, які складають рід тварин, мають між собою ту різницю, що скотина людиною зробитися не може, але людина інколи добровільно стає скотиною».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Хулігани— вороги законності, вороги громадського правопоряд</w:t>
      </w:r>
      <w:r>
        <w:rPr>
          <w:i/>
          <w:sz w:val="28"/>
        </w:rPr>
        <w:softHyphen/>
        <w:t>ку. Це як зараза, болячка, чума. Із цими покидьками людства необхідно вести рішучу боротьбу. Хуліганство нерідко переростає у небезпечніші злочини. Від хуліганства до вбивства один крок. Підтвердженням цього і є справа, яка сьогодні розглядається»</w:t>
      </w:r>
      <w:r>
        <w:rPr>
          <w:i/>
          <w:noProof/>
          <w:sz w:val="28"/>
        </w:rPr>
        <w:t>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Змішаний порядок викладу обставин справи рекомендується у великих, багатоепізодних справах.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Виклад фактичних обставин справи, аналіз і оцінка доказів ча</w:t>
      </w:r>
      <w:r>
        <w:rPr>
          <w:sz w:val="28"/>
        </w:rPr>
        <w:softHyphen/>
        <w:t>сто переплітаються і тісно пов'язані один з одним, тому деякі юри</w:t>
      </w:r>
      <w:r>
        <w:rPr>
          <w:sz w:val="28"/>
        </w:rPr>
        <w:softHyphen/>
        <w:t>сти, як практики, так і теоретики, рекомендують об'єднувати ці частини промови</w:t>
      </w:r>
      <w:r>
        <w:rPr>
          <w:sz w:val="28"/>
          <w:vertAlign w:val="superscript"/>
        </w:rPr>
        <w:t>2</w:t>
      </w:r>
      <w:r>
        <w:rPr>
          <w:sz w:val="28"/>
        </w:rPr>
        <w:t>. Це можна робити в тому випадку, коли не змінив</w:t>
      </w:r>
      <w:r>
        <w:rPr>
          <w:sz w:val="28"/>
        </w:rPr>
        <w:softHyphen/>
        <w:t>ся обсяг обвинувачення і немає суперечностей з адвокатом з цього питання. Достатньо згадати фабулу і сказати, що всі факти обвину</w:t>
      </w:r>
      <w:r>
        <w:rPr>
          <w:sz w:val="28"/>
        </w:rPr>
        <w:softHyphen/>
        <w:t>вачення підтвердилися в залі судового засідання. Після цього при</w:t>
      </w:r>
      <w:r>
        <w:rPr>
          <w:sz w:val="28"/>
        </w:rPr>
        <w:softHyphen/>
        <w:t>ступити до аналізу й оцінки доказів.</w:t>
      </w:r>
    </w:p>
    <w:p w:rsidR="00506BAA" w:rsidRDefault="00F7674B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Дуже добре в суді сприймається ця частина промови, коли ри</w:t>
      </w:r>
      <w:r>
        <w:rPr>
          <w:sz w:val="28"/>
        </w:rPr>
        <w:softHyphen/>
        <w:t>тор зуміє намалювати картину так, як це робили С. Андрієвський, М. Карабчевський, М. Криленко.</w:t>
      </w:r>
      <w:bookmarkStart w:id="0" w:name="_GoBack"/>
      <w:bookmarkEnd w:id="0"/>
    </w:p>
    <w:sectPr w:rsidR="00506BAA">
      <w:pgSz w:w="11900" w:h="16820"/>
      <w:pgMar w:top="567" w:right="113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74B"/>
    <w:rsid w:val="00506BAA"/>
    <w:rsid w:val="00E67286"/>
    <w:rsid w:val="00F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FFE7-47A9-4FC7-B59C-4425E14E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400"/>
      <w:jc w:val="both"/>
    </w:pPr>
    <w:rPr>
      <w:snapToGrid w:val="0"/>
      <w:lang w:val="uk-UA"/>
    </w:rPr>
  </w:style>
  <w:style w:type="paragraph" w:customStyle="1" w:styleId="FR4">
    <w:name w:val="FR4"/>
    <w:pPr>
      <w:widowControl w:val="0"/>
      <w:spacing w:line="260" w:lineRule="auto"/>
      <w:ind w:firstLine="400"/>
      <w:jc w:val="both"/>
    </w:pPr>
    <w:rPr>
      <w:rFonts w:ascii="Arial" w:hAnsi="Arial"/>
      <w:snapToGrid w:val="0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Право. Міжнародні відносини</Manager>
  <Company> Право. Міжнародні відносини</Company>
  <LinksUpToDate>false</LinksUpToDate>
  <CharactersWithSpaces>6892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2014-04-26T13:27:00Z</dcterms:created>
  <dcterms:modified xsi:type="dcterms:W3CDTF">2014-04-26T13:27:00Z</dcterms:modified>
  <cp:category>Право. Міжнародні відносини</cp:category>
</cp:coreProperties>
</file>