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A6" w:rsidRDefault="003216D3">
      <w:pPr>
        <w:pStyle w:val="a4"/>
        <w:spacing w:line="360" w:lineRule="auto"/>
      </w:pPr>
      <w:r>
        <w:t>Планування коштів на оплату праці</w:t>
      </w:r>
    </w:p>
    <w:p w:rsidR="00FF0EA6" w:rsidRDefault="00FF0EA6">
      <w:pPr>
        <w:pStyle w:val="a4"/>
        <w:spacing w:line="360" w:lineRule="auto"/>
      </w:pPr>
    </w:p>
    <w:p w:rsidR="00FF0EA6" w:rsidRDefault="003216D3">
      <w:pPr>
        <w:shd w:val="clear" w:color="auto" w:fill="FFFFFF"/>
        <w:spacing w:line="360" w:lineRule="auto"/>
        <w:ind w:firstLine="550"/>
        <w:jc w:val="both"/>
      </w:pPr>
      <w:r>
        <w:rPr>
          <w:color w:val="000000"/>
          <w:szCs w:val="22"/>
          <w:lang w:val="uk-UA"/>
        </w:rPr>
        <w:t>Планування коштів на оплату праці здійснюється на базі розроб</w:t>
      </w:r>
      <w:r>
        <w:rPr>
          <w:color w:val="000000"/>
          <w:szCs w:val="22"/>
          <w:lang w:val="uk-UA"/>
        </w:rPr>
        <w:softHyphen/>
        <w:t>леного штатного розкладу та прийнятої на підприємстві системи матеріального стимулювання праці персоналу.</w:t>
      </w:r>
    </w:p>
    <w:p w:rsidR="00FF0EA6" w:rsidRDefault="003216D3">
      <w:pPr>
        <w:pStyle w:val="a5"/>
        <w:spacing w:line="360" w:lineRule="auto"/>
      </w:pPr>
      <w:r>
        <w:t>Планування розміру фонду оплати праці здійснюється за наступ</w:t>
      </w:r>
      <w:r>
        <w:softHyphen/>
        <w:t>ними напрямками: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  <w:rPr>
          <w:color w:val="000000"/>
          <w:szCs w:val="22"/>
          <w:lang w:val="uk-UA"/>
        </w:rPr>
      </w:pPr>
      <w:r>
        <w:rPr>
          <w:color w:val="000000"/>
          <w:szCs w:val="22"/>
          <w:lang w:val="uk-UA"/>
        </w:rPr>
        <w:t>Основна оплата праці. Потреба в коштах для виплати основної заробітної платні працівникам торговельного підприємства, праця яких оплачується почасово, визначається шляхом множення штатної чисельності (ч</w:t>
      </w:r>
      <w:r>
        <w:rPr>
          <w:color w:val="000000"/>
          <w:szCs w:val="22"/>
          <w:vertAlign w:val="subscript"/>
          <w:lang w:val="uk-UA"/>
        </w:rPr>
        <w:t>в</w:t>
      </w:r>
      <w:r>
        <w:rPr>
          <w:color w:val="000000"/>
          <w:szCs w:val="22"/>
          <w:lang w:val="uk-UA"/>
        </w:rPr>
        <w:t>) персоналу на встановлений розмір посадового окладу (місячної тарифної ставки) (З</w:t>
      </w:r>
      <w:r>
        <w:rPr>
          <w:color w:val="000000"/>
          <w:szCs w:val="22"/>
          <w:vertAlign w:val="subscript"/>
          <w:lang w:val="uk-UA"/>
        </w:rPr>
        <w:t>в</w:t>
      </w:r>
      <w:r>
        <w:rPr>
          <w:color w:val="000000"/>
          <w:szCs w:val="22"/>
          <w:lang w:val="uk-UA"/>
        </w:rPr>
        <w:t>). Додатково слід враховувати коефіці</w:t>
      </w:r>
      <w:r>
        <w:rPr>
          <w:color w:val="000000"/>
          <w:szCs w:val="22"/>
          <w:lang w:val="uk-UA"/>
        </w:rPr>
        <w:softHyphen/>
        <w:t>єнт невиходу на роботу в зв'язку з тимчасовою непрацездатністю (к</w:t>
      </w:r>
      <w:r>
        <w:rPr>
          <w:color w:val="000000"/>
          <w:szCs w:val="22"/>
          <w:vertAlign w:val="subscript"/>
          <w:lang w:val="uk-UA"/>
        </w:rPr>
        <w:t>св</w:t>
      </w:r>
      <w:r>
        <w:rPr>
          <w:color w:val="000000"/>
          <w:szCs w:val="22"/>
          <w:lang w:val="uk-UA"/>
        </w:rPr>
        <w:t>), який склався на підприємстві, оскільки витрати на сплату лікар</w:t>
      </w:r>
      <w:r>
        <w:rPr>
          <w:color w:val="000000"/>
          <w:szCs w:val="22"/>
          <w:lang w:val="uk-UA"/>
        </w:rPr>
        <w:softHyphen/>
        <w:t>ських листів фінансуються за рахунок соціального страхування. За</w:t>
      </w:r>
      <w:r>
        <w:rPr>
          <w:color w:val="000000"/>
          <w:szCs w:val="22"/>
          <w:lang w:val="uk-UA"/>
        </w:rPr>
        <w:softHyphen/>
        <w:t>гальний розрахунок здійснюється за формулою:</w:t>
      </w:r>
    </w:p>
    <w:p w:rsidR="00FF0EA6" w:rsidRDefault="003216D3">
      <w:pPr>
        <w:shd w:val="clear" w:color="auto" w:fill="FFFFFF"/>
        <w:spacing w:line="360" w:lineRule="auto"/>
        <w:ind w:firstLine="550"/>
        <w:jc w:val="center"/>
        <w:rPr>
          <w:lang w:val="uk-UA"/>
        </w:rPr>
      </w:pPr>
      <w:r>
        <w:rPr>
          <w:position w:val="-32"/>
        </w:rPr>
        <w:object w:dxaOrig="33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39pt" o:ole="">
            <v:imagedata r:id="rId5" o:title=""/>
          </v:shape>
          <o:OLEObject Type="Embed" ProgID="Equation.3" ShapeID="_x0000_i1025" DrawAspect="Content" ObjectID="_1458494459" r:id="rId6"/>
        </w:object>
      </w:r>
      <w:r>
        <w:rPr>
          <w:lang w:val="uk-UA"/>
        </w:rPr>
        <w:t>,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</w:pPr>
      <w:r>
        <w:rPr>
          <w:color w:val="000000"/>
          <w:szCs w:val="22"/>
          <w:lang w:val="uk-UA"/>
        </w:rPr>
        <w:t>де Д - тривалість планового періоду в місяцях;</w:t>
      </w:r>
    </w:p>
    <w:p w:rsidR="00FF0EA6" w:rsidRDefault="003216D3">
      <w:pPr>
        <w:pStyle w:val="a5"/>
        <w:spacing w:line="360" w:lineRule="auto"/>
      </w:pPr>
      <w:r>
        <w:t>і - категорії робітників  підприємства, для оплати праці яких використовується почасова форма оплати праці;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  <w:rPr>
          <w:color w:val="000000"/>
          <w:szCs w:val="22"/>
          <w:lang w:val="uk-UA"/>
        </w:rPr>
      </w:pPr>
      <w:r>
        <w:rPr>
          <w:color w:val="000000"/>
          <w:szCs w:val="22"/>
          <w:lang w:val="uk-UA"/>
        </w:rPr>
        <w:t>Планування коштів для оплати праці працівників-відрядників здійснюється, виходячи з встановлених відрядних розцінок за одини</w:t>
      </w:r>
      <w:r>
        <w:rPr>
          <w:color w:val="000000"/>
          <w:szCs w:val="22"/>
          <w:lang w:val="uk-UA"/>
        </w:rPr>
        <w:softHyphen/>
        <w:t>цю реалізації товарів та інших видів робіт та планового обсягу їх здійснення:</w:t>
      </w:r>
    </w:p>
    <w:p w:rsidR="00FF0EA6" w:rsidRDefault="003216D3">
      <w:pPr>
        <w:shd w:val="clear" w:color="auto" w:fill="FFFFFF"/>
        <w:spacing w:line="360" w:lineRule="auto"/>
        <w:ind w:firstLine="550"/>
        <w:jc w:val="center"/>
        <w:rPr>
          <w:color w:val="000000"/>
          <w:szCs w:val="22"/>
          <w:lang w:val="uk-UA"/>
        </w:rPr>
      </w:pPr>
      <w:r>
        <w:rPr>
          <w:color w:val="000000"/>
          <w:position w:val="-32"/>
          <w:szCs w:val="22"/>
          <w:lang w:val="uk-UA"/>
        </w:rPr>
        <w:object w:dxaOrig="2260" w:dyaOrig="780">
          <v:shape id="_x0000_i1026" type="#_x0000_t75" style="width:113.25pt;height:39pt" o:ole="">
            <v:imagedata r:id="rId7" o:title=""/>
          </v:shape>
          <o:OLEObject Type="Embed" ProgID="Equation.3" ShapeID="_x0000_i1026" DrawAspect="Content" ObjectID="_1458494460" r:id="rId8"/>
        </w:object>
      </w:r>
      <w:r>
        <w:rPr>
          <w:color w:val="000000"/>
          <w:szCs w:val="22"/>
          <w:lang w:val="uk-UA"/>
        </w:rPr>
        <w:t>,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</w:pPr>
      <w:r>
        <w:rPr>
          <w:color w:val="000000"/>
          <w:szCs w:val="22"/>
          <w:lang w:val="uk-UA"/>
        </w:rPr>
        <w:t>де С</w:t>
      </w:r>
      <w:r>
        <w:rPr>
          <w:color w:val="000000"/>
          <w:szCs w:val="22"/>
          <w:vertAlign w:val="subscript"/>
          <w:lang w:val="uk-UA"/>
        </w:rPr>
        <w:t>д</w:t>
      </w:r>
      <w:r>
        <w:rPr>
          <w:color w:val="000000"/>
          <w:szCs w:val="22"/>
          <w:lang w:val="uk-UA"/>
        </w:rPr>
        <w:t xml:space="preserve"> - встановлені відрядні розцінки за одиницю роботи (обсягу товарообігу, фасувальних, вантажно-розвантажувальних робіт, інших операцій);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  <w:rPr>
          <w:color w:val="000000"/>
          <w:szCs w:val="22"/>
          <w:lang w:val="uk-UA"/>
        </w:rPr>
      </w:pPr>
      <w:r>
        <w:rPr>
          <w:color w:val="000000"/>
          <w:szCs w:val="22"/>
          <w:lang w:val="uk-UA"/>
        </w:rPr>
        <w:t>О</w:t>
      </w:r>
      <w:r>
        <w:rPr>
          <w:color w:val="000000"/>
          <w:szCs w:val="22"/>
          <w:vertAlign w:val="subscript"/>
          <w:lang w:val="uk-UA"/>
        </w:rPr>
        <w:t>пл</w:t>
      </w:r>
      <w:r>
        <w:rPr>
          <w:color w:val="000000"/>
          <w:szCs w:val="22"/>
          <w:lang w:val="uk-UA"/>
        </w:rPr>
        <w:t xml:space="preserve">, - плановий обсяг робіт (операцій), що сплачуються відрядне; 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  <w:rPr>
          <w:color w:val="000000"/>
          <w:szCs w:val="22"/>
          <w:lang w:val="uk-UA"/>
        </w:rPr>
      </w:pPr>
      <w:r>
        <w:rPr>
          <w:color w:val="000000"/>
          <w:szCs w:val="22"/>
          <w:lang w:val="en-US"/>
        </w:rPr>
        <w:t>j</w:t>
      </w:r>
      <w:r>
        <w:rPr>
          <w:color w:val="000000"/>
          <w:szCs w:val="22"/>
        </w:rPr>
        <w:t xml:space="preserve"> </w:t>
      </w:r>
      <w:r>
        <w:rPr>
          <w:color w:val="000000"/>
          <w:szCs w:val="22"/>
          <w:lang w:val="uk-UA"/>
        </w:rPr>
        <w:t>- роботи (операції), виконання яких оплачується з викорис</w:t>
      </w:r>
      <w:r>
        <w:rPr>
          <w:color w:val="000000"/>
          <w:szCs w:val="22"/>
          <w:lang w:val="uk-UA"/>
        </w:rPr>
        <w:softHyphen/>
        <w:t>танням відрядної форми оплати праці.</w:t>
      </w:r>
    </w:p>
    <w:p w:rsidR="00FF0EA6" w:rsidRDefault="003216D3">
      <w:pPr>
        <w:pStyle w:val="a3"/>
        <w:spacing w:line="360" w:lineRule="auto"/>
        <w:ind w:firstLine="600"/>
        <w:rPr>
          <w:szCs w:val="24"/>
        </w:rPr>
      </w:pPr>
      <w:r>
        <w:t>Для робітників, що працюють за контрактом, при проведенні пла</w:t>
      </w:r>
      <w:r>
        <w:softHyphen/>
        <w:t>нових розрахунків враховуються зобов'язання роботодавця, передба</w:t>
      </w:r>
      <w:r>
        <w:softHyphen/>
        <w:t>чені контрактом.</w:t>
      </w:r>
    </w:p>
    <w:p w:rsidR="00FF0EA6" w:rsidRDefault="003216D3">
      <w:pPr>
        <w:shd w:val="clear" w:color="auto" w:fill="FFFFFF"/>
        <w:spacing w:line="360" w:lineRule="auto"/>
        <w:ind w:firstLine="600"/>
        <w:jc w:val="both"/>
      </w:pPr>
      <w:r>
        <w:rPr>
          <w:color w:val="000000"/>
          <w:szCs w:val="23"/>
          <w:lang w:val="en-US"/>
        </w:rPr>
        <w:t>II</w:t>
      </w:r>
      <w:r>
        <w:rPr>
          <w:color w:val="000000"/>
          <w:szCs w:val="23"/>
        </w:rPr>
        <w:t xml:space="preserve">. </w:t>
      </w:r>
      <w:r>
        <w:rPr>
          <w:color w:val="000000"/>
          <w:szCs w:val="23"/>
          <w:lang w:val="uk-UA"/>
        </w:rPr>
        <w:t>Додаткова оплата праці.</w:t>
      </w:r>
    </w:p>
    <w:p w:rsidR="00FF0EA6" w:rsidRDefault="003216D3">
      <w:pPr>
        <w:pStyle w:val="2"/>
        <w:spacing w:line="360" w:lineRule="auto"/>
      </w:pPr>
      <w:r>
        <w:t>Потреба в коштах для сплати додаткової заробітної платні здійс</w:t>
      </w:r>
      <w:r>
        <w:softHyphen/>
        <w:t>нюється в розрізі її основних видів.</w:t>
      </w:r>
    </w:p>
    <w:p w:rsidR="00FF0EA6" w:rsidRDefault="003216D3">
      <w:pPr>
        <w:numPr>
          <w:ilvl w:val="0"/>
          <w:numId w:val="1"/>
        </w:numPr>
        <w:shd w:val="clear" w:color="auto" w:fill="FFFFFF"/>
        <w:tabs>
          <w:tab w:val="clear" w:pos="1515"/>
          <w:tab w:val="num" w:pos="1150"/>
        </w:tabs>
        <w:spacing w:line="360" w:lineRule="auto"/>
        <w:ind w:left="1150" w:hanging="550"/>
        <w:jc w:val="both"/>
      </w:pPr>
      <w:r>
        <w:rPr>
          <w:color w:val="000000"/>
          <w:szCs w:val="22"/>
          <w:lang w:val="uk-UA"/>
        </w:rPr>
        <w:t>На сплату премій за поточними результатами господарської діяльності — виходячи з розроблених розмірів і шкали преміювання та планового розміру основної заробітної платні.</w:t>
      </w:r>
    </w:p>
    <w:p w:rsidR="00FF0EA6" w:rsidRDefault="003216D3">
      <w:pPr>
        <w:numPr>
          <w:ilvl w:val="0"/>
          <w:numId w:val="1"/>
        </w:numPr>
        <w:shd w:val="clear" w:color="auto" w:fill="FFFFFF"/>
        <w:tabs>
          <w:tab w:val="clear" w:pos="1515"/>
          <w:tab w:val="num" w:pos="1150"/>
        </w:tabs>
        <w:spacing w:line="360" w:lineRule="auto"/>
        <w:ind w:left="1150" w:hanging="550"/>
        <w:jc w:val="both"/>
      </w:pPr>
      <w:r>
        <w:rPr>
          <w:color w:val="000000"/>
          <w:szCs w:val="22"/>
          <w:lang w:val="uk-UA"/>
        </w:rPr>
        <w:t>На сплату доплат та надбавок - виходячи з розмірів їх встановлення та кількості робітників, для яких вони встановлені.</w:t>
      </w:r>
    </w:p>
    <w:p w:rsidR="00FF0EA6" w:rsidRDefault="003216D3">
      <w:pPr>
        <w:numPr>
          <w:ilvl w:val="0"/>
          <w:numId w:val="1"/>
        </w:numPr>
        <w:shd w:val="clear" w:color="auto" w:fill="FFFFFF"/>
        <w:tabs>
          <w:tab w:val="clear" w:pos="1515"/>
          <w:tab w:val="num" w:pos="1150"/>
        </w:tabs>
        <w:spacing w:line="360" w:lineRule="auto"/>
        <w:ind w:left="1150" w:hanging="550"/>
        <w:jc w:val="both"/>
        <w:rPr>
          <w:lang w:val="uk-UA"/>
        </w:rPr>
      </w:pPr>
      <w:r>
        <w:rPr>
          <w:color w:val="000000"/>
          <w:szCs w:val="22"/>
          <w:lang w:val="uk-UA"/>
        </w:rPr>
        <w:t>На оплату виконання разових робіт за договорами цивільно-правового характеру (ремонт інвентаря, побілка, пофарбування, екс</w:t>
      </w:r>
      <w:r>
        <w:rPr>
          <w:color w:val="000000"/>
          <w:szCs w:val="22"/>
          <w:lang w:val="uk-UA"/>
        </w:rPr>
        <w:softHyphen/>
        <w:t>пертиза та таке інше) - виходячи з переліку робіт, на які притягують</w:t>
      </w:r>
      <w:r>
        <w:rPr>
          <w:color w:val="000000"/>
          <w:szCs w:val="22"/>
          <w:lang w:val="uk-UA"/>
        </w:rPr>
        <w:softHyphen/>
        <w:t>ся робітники, що не перебувають в штаті підприємства, з урахуван</w:t>
      </w:r>
      <w:r>
        <w:rPr>
          <w:color w:val="000000"/>
          <w:szCs w:val="22"/>
          <w:lang w:val="uk-UA"/>
        </w:rPr>
        <w:softHyphen/>
        <w:t>ням періодичності та ринкової ціни їх виконання.</w:t>
      </w:r>
    </w:p>
    <w:p w:rsidR="00FF0EA6" w:rsidRDefault="003216D3">
      <w:pPr>
        <w:numPr>
          <w:ilvl w:val="0"/>
          <w:numId w:val="1"/>
        </w:numPr>
        <w:shd w:val="clear" w:color="auto" w:fill="FFFFFF"/>
        <w:tabs>
          <w:tab w:val="clear" w:pos="1515"/>
          <w:tab w:val="num" w:pos="1150"/>
        </w:tabs>
        <w:spacing w:line="360" w:lineRule="auto"/>
        <w:ind w:left="1150" w:hanging="550"/>
        <w:jc w:val="both"/>
        <w:rPr>
          <w:lang w:val="uk-UA"/>
        </w:rPr>
      </w:pPr>
      <w:r>
        <w:rPr>
          <w:color w:val="000000"/>
          <w:szCs w:val="22"/>
          <w:lang w:val="uk-UA"/>
        </w:rPr>
        <w:t>На сплату щорічних, додаткових та спеціальних відпусток -в порядку, передбаченому Законом України "Про відпустки", виходя</w:t>
      </w:r>
      <w:r>
        <w:rPr>
          <w:color w:val="000000"/>
          <w:szCs w:val="22"/>
          <w:lang w:val="uk-UA"/>
        </w:rPr>
        <w:softHyphen/>
        <w:t>чи з загальної тривалості їх надавання та існуючої (планової) серед</w:t>
      </w:r>
      <w:r>
        <w:rPr>
          <w:color w:val="000000"/>
          <w:szCs w:val="22"/>
          <w:lang w:val="uk-UA"/>
        </w:rPr>
        <w:softHyphen/>
        <w:t>ньої заробітної платні.</w:t>
      </w:r>
    </w:p>
    <w:p w:rsidR="00FF0EA6" w:rsidRDefault="003216D3">
      <w:pPr>
        <w:numPr>
          <w:ilvl w:val="0"/>
          <w:numId w:val="1"/>
        </w:numPr>
        <w:shd w:val="clear" w:color="auto" w:fill="FFFFFF"/>
        <w:tabs>
          <w:tab w:val="clear" w:pos="1515"/>
          <w:tab w:val="num" w:pos="1150"/>
        </w:tabs>
        <w:spacing w:line="360" w:lineRule="auto"/>
        <w:ind w:left="1150" w:hanging="550"/>
        <w:jc w:val="both"/>
      </w:pPr>
      <w:r>
        <w:rPr>
          <w:color w:val="000000"/>
          <w:szCs w:val="22"/>
          <w:lang w:val="uk-UA"/>
        </w:rPr>
        <w:t>На придбання спецодягу та інших предметів, які залишаються в особистому користуванні - виходячи з планової ціни їх придбання, встановлених строків служби та чисельності відповідних категорій персоналу.</w:t>
      </w:r>
    </w:p>
    <w:p w:rsidR="00FF0EA6" w:rsidRDefault="003216D3">
      <w:pPr>
        <w:numPr>
          <w:ilvl w:val="0"/>
          <w:numId w:val="1"/>
        </w:numPr>
        <w:shd w:val="clear" w:color="auto" w:fill="FFFFFF"/>
        <w:tabs>
          <w:tab w:val="clear" w:pos="1515"/>
          <w:tab w:val="num" w:pos="1150"/>
        </w:tabs>
        <w:spacing w:line="360" w:lineRule="auto"/>
        <w:ind w:left="1150" w:hanging="550"/>
        <w:jc w:val="both"/>
      </w:pPr>
      <w:r>
        <w:rPr>
          <w:color w:val="000000"/>
          <w:szCs w:val="22"/>
          <w:lang w:val="uk-UA"/>
        </w:rPr>
        <w:t>Інші виплати - виходячи з їхнього розміру.</w:t>
      </w:r>
    </w:p>
    <w:p w:rsidR="00FF0EA6" w:rsidRDefault="003216D3">
      <w:pPr>
        <w:pStyle w:val="a5"/>
        <w:spacing w:line="360" w:lineRule="auto"/>
      </w:pPr>
      <w:r>
        <w:t>Для поглиблених розрахунків додаткова заробітна платня може плануватися, виходячи з існуючого або цільового співвідношення між основною та додатковою оплатою праці.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  <w:rPr>
          <w:lang w:val="uk-UA"/>
        </w:rPr>
      </w:pPr>
      <w:r>
        <w:rPr>
          <w:color w:val="000000"/>
          <w:szCs w:val="22"/>
          <w:lang w:val="uk-UA"/>
        </w:rPr>
        <w:t>ІІІ. Інші заохочувальні та компенсаційні виплати.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</w:pPr>
      <w:r>
        <w:rPr>
          <w:color w:val="000000"/>
          <w:szCs w:val="22"/>
          <w:lang w:val="uk-UA"/>
        </w:rPr>
        <w:t>Потреба в засобах для здійснення заохочувальних та компенса</w:t>
      </w:r>
      <w:r>
        <w:rPr>
          <w:color w:val="000000"/>
          <w:szCs w:val="22"/>
          <w:lang w:val="uk-UA"/>
        </w:rPr>
        <w:softHyphen/>
        <w:t>ційних виплат здійснюється за такими основними видами:</w:t>
      </w:r>
    </w:p>
    <w:p w:rsidR="00FF0EA6" w:rsidRDefault="003216D3">
      <w:pPr>
        <w:numPr>
          <w:ilvl w:val="0"/>
          <w:numId w:val="3"/>
        </w:numPr>
        <w:shd w:val="clear" w:color="auto" w:fill="FFFFFF"/>
        <w:tabs>
          <w:tab w:val="clear" w:pos="1585"/>
          <w:tab w:val="num" w:pos="1150"/>
        </w:tabs>
        <w:spacing w:line="360" w:lineRule="auto"/>
        <w:ind w:left="1150" w:hanging="600"/>
        <w:jc w:val="both"/>
      </w:pPr>
      <w:r>
        <w:rPr>
          <w:color w:val="000000"/>
          <w:szCs w:val="22"/>
          <w:lang w:val="uk-UA"/>
        </w:rPr>
        <w:t>Преміальні виплати за спеціальними системами - виходячи з розробленого положення та з урахуванням їх періодичності, масовості сплати й середнього розміру премій.</w:t>
      </w:r>
    </w:p>
    <w:p w:rsidR="00FF0EA6" w:rsidRDefault="003216D3">
      <w:pPr>
        <w:numPr>
          <w:ilvl w:val="0"/>
          <w:numId w:val="3"/>
        </w:numPr>
        <w:shd w:val="clear" w:color="auto" w:fill="FFFFFF"/>
        <w:tabs>
          <w:tab w:val="clear" w:pos="1585"/>
          <w:tab w:val="num" w:pos="1150"/>
        </w:tabs>
        <w:spacing w:line="360" w:lineRule="auto"/>
        <w:ind w:left="1150" w:hanging="600"/>
        <w:jc w:val="both"/>
      </w:pPr>
      <w:r>
        <w:rPr>
          <w:color w:val="000000"/>
          <w:szCs w:val="22"/>
          <w:lang w:val="uk-UA"/>
        </w:rPr>
        <w:t>Одноразові заохочення та матеріальна допомога - виходячи з відповідного розміру з урахуванням середнього розміру та числа необхідних виплат.</w:t>
      </w:r>
    </w:p>
    <w:p w:rsidR="00FF0EA6" w:rsidRDefault="003216D3">
      <w:pPr>
        <w:numPr>
          <w:ilvl w:val="0"/>
          <w:numId w:val="3"/>
        </w:numPr>
        <w:shd w:val="clear" w:color="auto" w:fill="FFFFFF"/>
        <w:tabs>
          <w:tab w:val="clear" w:pos="1585"/>
          <w:tab w:val="num" w:pos="1150"/>
        </w:tabs>
        <w:spacing w:line="360" w:lineRule="auto"/>
        <w:ind w:left="1150" w:hanging="600"/>
        <w:jc w:val="both"/>
      </w:pPr>
      <w:r>
        <w:rPr>
          <w:color w:val="000000"/>
          <w:szCs w:val="22"/>
          <w:lang w:val="uk-UA"/>
        </w:rPr>
        <w:t>Премії за підсумками роботи за рік, за вислугою років та стажем роботи згідно з розробленим положенням, виходячи з пла</w:t>
      </w:r>
      <w:r>
        <w:rPr>
          <w:color w:val="000000"/>
          <w:szCs w:val="22"/>
          <w:lang w:val="uk-UA"/>
        </w:rPr>
        <w:softHyphen/>
        <w:t>нового розміру основної та додаткової заробітної платні, планового розміру прибутку та встановленої частки його використання з цією метою.</w:t>
      </w:r>
    </w:p>
    <w:p w:rsidR="00FF0EA6" w:rsidRDefault="003216D3">
      <w:pPr>
        <w:numPr>
          <w:ilvl w:val="0"/>
          <w:numId w:val="3"/>
        </w:numPr>
        <w:shd w:val="clear" w:color="auto" w:fill="FFFFFF"/>
        <w:tabs>
          <w:tab w:val="clear" w:pos="1585"/>
          <w:tab w:val="num" w:pos="1150"/>
        </w:tabs>
        <w:spacing w:line="360" w:lineRule="auto"/>
        <w:ind w:left="1150" w:hanging="600"/>
        <w:jc w:val="both"/>
      </w:pPr>
      <w:r>
        <w:rPr>
          <w:color w:val="000000"/>
          <w:szCs w:val="22"/>
          <w:lang w:val="uk-UA"/>
        </w:rPr>
        <w:t>Трудові та соціальні пільги робітникам - виходячи з розміру, масовості та періодичності їх надання окремо з кожного виду.</w:t>
      </w:r>
    </w:p>
    <w:p w:rsidR="00FF0EA6" w:rsidRDefault="003216D3">
      <w:pPr>
        <w:numPr>
          <w:ilvl w:val="0"/>
          <w:numId w:val="3"/>
        </w:numPr>
        <w:shd w:val="clear" w:color="auto" w:fill="FFFFFF"/>
        <w:tabs>
          <w:tab w:val="clear" w:pos="1585"/>
          <w:tab w:val="num" w:pos="1150"/>
        </w:tabs>
        <w:spacing w:line="360" w:lineRule="auto"/>
        <w:ind w:left="1150" w:hanging="600"/>
        <w:jc w:val="both"/>
      </w:pPr>
      <w:r>
        <w:rPr>
          <w:color w:val="000000"/>
          <w:szCs w:val="22"/>
          <w:lang w:val="uk-UA"/>
        </w:rPr>
        <w:t>Компенсаційні виплати (в зв'язку з простоєм не з вини робіт</w:t>
      </w:r>
      <w:r>
        <w:rPr>
          <w:color w:val="000000"/>
          <w:szCs w:val="22"/>
          <w:lang w:val="uk-UA"/>
        </w:rPr>
        <w:softHyphen/>
        <w:t>ників, відпусткою за ініціативою адміністрації та в інших, передба</w:t>
      </w:r>
      <w:r>
        <w:rPr>
          <w:color w:val="000000"/>
          <w:szCs w:val="22"/>
          <w:lang w:val="uk-UA"/>
        </w:rPr>
        <w:softHyphen/>
        <w:t>чених законодавством випадках) - виходячи з тривалості періоду, впродовж якого зберігається заробітна платня, з чисельності персона</w:t>
      </w:r>
      <w:r>
        <w:rPr>
          <w:color w:val="000000"/>
          <w:szCs w:val="22"/>
          <w:lang w:val="uk-UA"/>
        </w:rPr>
        <w:softHyphen/>
        <w:t>лу, якому будуть надаватися компенсаційні виплати та виплати уже сформованої (планованої) середньої заробітної платні відповідним категоріям персоналу.</w:t>
      </w:r>
    </w:p>
    <w:p w:rsidR="00FF0EA6" w:rsidRDefault="003216D3">
      <w:pPr>
        <w:numPr>
          <w:ilvl w:val="0"/>
          <w:numId w:val="3"/>
        </w:numPr>
        <w:shd w:val="clear" w:color="auto" w:fill="FFFFFF"/>
        <w:tabs>
          <w:tab w:val="clear" w:pos="1585"/>
          <w:tab w:val="num" w:pos="1150"/>
        </w:tabs>
        <w:spacing w:line="360" w:lineRule="auto"/>
        <w:ind w:left="1150" w:hanging="600"/>
        <w:jc w:val="both"/>
        <w:rPr>
          <w:lang w:val="uk-UA"/>
        </w:rPr>
      </w:pPr>
      <w:r>
        <w:rPr>
          <w:color w:val="000000"/>
          <w:szCs w:val="22"/>
          <w:lang w:val="uk-UA"/>
        </w:rPr>
        <w:t>Інші виплати - виходячи із відповідного розміру їх здійснення.</w:t>
      </w:r>
    </w:p>
    <w:p w:rsidR="00FF0EA6" w:rsidRDefault="003216D3">
      <w:pPr>
        <w:pStyle w:val="a5"/>
        <w:spacing w:line="360" w:lineRule="auto"/>
      </w:pPr>
      <w:r>
        <w:t>Для проведення поглиблених розрахунків розмір заохочувальних та компенсаційних сплат планується, виходячи з питомої ваги вико</w:t>
      </w:r>
      <w:r>
        <w:softHyphen/>
        <w:t>ристання чистого прибутку в її загальному обсязі та планового розмі</w:t>
      </w:r>
      <w:r>
        <w:softHyphen/>
        <w:t>ру чистого прибутку.</w:t>
      </w:r>
    </w:p>
    <w:p w:rsidR="00FF0EA6" w:rsidRDefault="003216D3">
      <w:pPr>
        <w:shd w:val="clear" w:color="auto" w:fill="FFFFFF"/>
        <w:spacing w:line="360" w:lineRule="auto"/>
        <w:jc w:val="both"/>
        <w:rPr>
          <w:color w:val="000000"/>
          <w:szCs w:val="22"/>
          <w:lang w:val="uk-UA"/>
        </w:rPr>
      </w:pPr>
      <w:r>
        <w:rPr>
          <w:color w:val="000000"/>
          <w:szCs w:val="22"/>
          <w:lang w:val="uk-UA"/>
        </w:rPr>
        <w:t>Проведення планових розрахунків з кожного напрямку та виду матеріального стимулювання праці персоналу дозволяє визначити за</w:t>
      </w:r>
      <w:r>
        <w:rPr>
          <w:color w:val="000000"/>
          <w:szCs w:val="22"/>
          <w:lang w:val="uk-UA"/>
        </w:rPr>
        <w:softHyphen/>
        <w:t>гальний плановий розмір фонду оплати праці підприємства та плано</w:t>
      </w:r>
      <w:r>
        <w:rPr>
          <w:color w:val="000000"/>
          <w:szCs w:val="22"/>
          <w:lang w:val="uk-UA"/>
        </w:rPr>
        <w:softHyphen/>
        <w:t>вий середній доход на одного робітника підприємства в цілому та за категоріями персоналу.</w:t>
      </w:r>
    </w:p>
    <w:p w:rsidR="00FF0EA6" w:rsidRDefault="003216D3">
      <w:pPr>
        <w:pStyle w:val="a5"/>
        <w:spacing w:line="360" w:lineRule="auto"/>
      </w:pPr>
      <w:r>
        <w:t>Плановий середній розмір доходів (оплати праці) окремих катего</w:t>
      </w:r>
      <w:r>
        <w:softHyphen/>
        <w:t>рій персоналу підприємства порівнюється з середньоринковим рівнем оплати праці (ціною робочої сили), що відповідає кваліфікації та професійній майстерності.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  <w:rPr>
          <w:color w:val="000000"/>
          <w:szCs w:val="22"/>
          <w:lang w:val="uk-UA"/>
        </w:rPr>
      </w:pPr>
      <w:r>
        <w:rPr>
          <w:color w:val="000000"/>
          <w:szCs w:val="22"/>
          <w:lang w:val="uk-UA"/>
        </w:rPr>
        <w:t>Якщо рівень оплати праці на даному торговельному підприємстві відповідає середньоринковому рівневі, або вищий за нього, то це за</w:t>
      </w:r>
      <w:r>
        <w:rPr>
          <w:color w:val="000000"/>
          <w:szCs w:val="22"/>
          <w:lang w:val="uk-UA"/>
        </w:rPr>
        <w:softHyphen/>
        <w:t>безпечує закріплення кадрів та певною мірою сприяє підвищенню продуктивності та ефективності їх праці.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  <w:rPr>
          <w:color w:val="000000"/>
          <w:szCs w:val="22"/>
          <w:lang w:val="uk-UA"/>
        </w:rPr>
      </w:pPr>
      <w:r>
        <w:rPr>
          <w:color w:val="000000"/>
          <w:szCs w:val="22"/>
          <w:lang w:val="uk-UA"/>
        </w:rPr>
        <w:t>Якщо оплата праці на підприємстві нижча за середній рівень по народному господарству, то це викликає плинність кадрів, незадово</w:t>
      </w:r>
      <w:r>
        <w:rPr>
          <w:color w:val="000000"/>
          <w:szCs w:val="22"/>
          <w:lang w:val="uk-UA"/>
        </w:rPr>
        <w:softHyphen/>
        <w:t>лення роботою та, відповідно, негативно впливає на результати праці персоналу. При виявленні такого становища слід переглянути та відкоригувати розміри оплати праці та інших стимулюючих виплат, які використовуються на підприємстві.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  <w:rPr>
          <w:color w:val="000000"/>
          <w:szCs w:val="22"/>
          <w:lang w:val="uk-UA"/>
        </w:rPr>
      </w:pPr>
      <w:r>
        <w:rPr>
          <w:color w:val="000000"/>
          <w:szCs w:val="22"/>
          <w:lang w:val="uk-UA"/>
        </w:rPr>
        <w:t>В той же час, необхідно вивчити фінансові можливості підпри</w:t>
      </w:r>
      <w:r>
        <w:rPr>
          <w:color w:val="000000"/>
          <w:szCs w:val="22"/>
          <w:lang w:val="uk-UA"/>
        </w:rPr>
        <w:softHyphen/>
        <w:t>ємства з отримання доходів (прибутків), достатніх для створення фон</w:t>
      </w:r>
      <w:r>
        <w:rPr>
          <w:color w:val="000000"/>
          <w:szCs w:val="22"/>
          <w:lang w:val="uk-UA"/>
        </w:rPr>
        <w:softHyphen/>
        <w:t>ду оплати праці та здійснення запланованих виплат.</w:t>
      </w:r>
    </w:p>
    <w:p w:rsidR="00FF0EA6" w:rsidRDefault="003216D3">
      <w:pPr>
        <w:shd w:val="clear" w:color="auto" w:fill="FFFFFF"/>
        <w:spacing w:line="360" w:lineRule="auto"/>
        <w:ind w:firstLine="550"/>
        <w:jc w:val="both"/>
      </w:pPr>
      <w:r>
        <w:rPr>
          <w:color w:val="000000"/>
          <w:szCs w:val="22"/>
          <w:lang w:val="uk-UA"/>
        </w:rPr>
        <w:t>Створення фінансових передумов для своєчасної й повної оплати та стимулювання праці персоналу здійснюється таким шляхом:</w:t>
      </w:r>
    </w:p>
    <w:p w:rsidR="00FF0EA6" w:rsidRDefault="003216D3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lang w:val="uk-UA"/>
        </w:rPr>
      </w:pPr>
      <w:r>
        <w:rPr>
          <w:color w:val="000000"/>
          <w:szCs w:val="22"/>
          <w:lang w:val="uk-UA"/>
        </w:rPr>
        <w:t>При плануванні мінімального та цільового товарообороту під</w:t>
      </w:r>
      <w:r>
        <w:rPr>
          <w:color w:val="000000"/>
          <w:szCs w:val="22"/>
          <w:lang w:val="uk-UA"/>
        </w:rPr>
        <w:softHyphen/>
        <w:t>приємства (точки беззбутковості та цільового прибутку) - шляхом включення витрат на оплату праці до складу умовно-постійних (в розмірі постійної частини основної та додаткової заробітної платні), умовно-змінних поточних витрат (в розмірі окремих виплат та змінної</w:t>
      </w:r>
      <w:r>
        <w:rPr>
          <w:smallCaps/>
          <w:color w:val="000000"/>
          <w:szCs w:val="22"/>
          <w:lang w:val="uk-UA"/>
        </w:rPr>
        <w:t xml:space="preserve"> </w:t>
      </w:r>
      <w:r>
        <w:rPr>
          <w:color w:val="000000"/>
          <w:szCs w:val="22"/>
          <w:lang w:val="uk-UA"/>
        </w:rPr>
        <w:t>частини допоміжної заробітної платні) та чистого прибутку під</w:t>
      </w:r>
      <w:r>
        <w:rPr>
          <w:color w:val="000000"/>
          <w:szCs w:val="22"/>
          <w:lang w:val="uk-UA"/>
        </w:rPr>
        <w:softHyphen/>
        <w:t>приємства (в розмірі інших планових стимулюючих та компенсацій</w:t>
      </w:r>
      <w:r>
        <w:rPr>
          <w:color w:val="000000"/>
          <w:szCs w:val="22"/>
          <w:lang w:val="uk-UA"/>
        </w:rPr>
        <w:softHyphen/>
        <w:t>них витрат).</w:t>
      </w:r>
    </w:p>
    <w:p w:rsidR="00FF0EA6" w:rsidRDefault="003216D3">
      <w:pPr>
        <w:numPr>
          <w:ilvl w:val="0"/>
          <w:numId w:val="5"/>
        </w:numPr>
        <w:shd w:val="clear" w:color="auto" w:fill="FFFFFF"/>
        <w:spacing w:line="360" w:lineRule="auto"/>
        <w:jc w:val="both"/>
      </w:pPr>
      <w:r>
        <w:rPr>
          <w:color w:val="000000"/>
          <w:szCs w:val="22"/>
          <w:lang w:val="uk-UA"/>
        </w:rPr>
        <w:t>При плануванні необхідного розміру доходів (рівня торгової надбавки) - шляхом врахування необхідних витрат на оплату праці в складі поточних витрат підприємства.</w:t>
      </w:r>
    </w:p>
    <w:p w:rsidR="00FF0EA6" w:rsidRDefault="003216D3">
      <w:pPr>
        <w:numPr>
          <w:ilvl w:val="0"/>
          <w:numId w:val="5"/>
        </w:numPr>
        <w:shd w:val="clear" w:color="auto" w:fill="FFFFFF"/>
        <w:spacing w:line="360" w:lineRule="auto"/>
        <w:jc w:val="both"/>
      </w:pPr>
      <w:r>
        <w:rPr>
          <w:color w:val="000000"/>
          <w:szCs w:val="22"/>
          <w:lang w:val="uk-UA"/>
        </w:rPr>
        <w:t>При плануванні розподілу чистого прибутку - шляхом вклю</w:t>
      </w:r>
      <w:r>
        <w:rPr>
          <w:color w:val="000000"/>
          <w:szCs w:val="22"/>
          <w:lang w:val="uk-UA"/>
        </w:rPr>
        <w:softHyphen/>
        <w:t>чення передбаченого планом з праці розміру заохочувальних соціаль</w:t>
      </w:r>
      <w:r>
        <w:rPr>
          <w:color w:val="000000"/>
          <w:szCs w:val="22"/>
          <w:lang w:val="uk-UA"/>
        </w:rPr>
        <w:softHyphen/>
        <w:t>них витрат в загальний кошторис використання прибутку.</w:t>
      </w:r>
      <w:bookmarkStart w:id="0" w:name="_GoBack"/>
      <w:bookmarkEnd w:id="0"/>
    </w:p>
    <w:sectPr w:rsidR="00FF0EA6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3D5E"/>
    <w:multiLevelType w:val="hybridMultilevel"/>
    <w:tmpl w:val="88F00504"/>
    <w:lvl w:ilvl="0" w:tplc="BF62CA6E">
      <w:start w:val="1"/>
      <w:numFmt w:val="decimal"/>
      <w:lvlText w:val="%1."/>
      <w:lvlJc w:val="left"/>
      <w:pPr>
        <w:tabs>
          <w:tab w:val="num" w:pos="1585"/>
        </w:tabs>
        <w:ind w:left="1585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">
    <w:nsid w:val="0EE35195"/>
    <w:multiLevelType w:val="hybridMultilevel"/>
    <w:tmpl w:val="BE7C30F8"/>
    <w:lvl w:ilvl="0" w:tplc="AE32344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B641E"/>
    <w:multiLevelType w:val="hybridMultilevel"/>
    <w:tmpl w:val="6A8A8718"/>
    <w:lvl w:ilvl="0" w:tplc="89D4FEA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9EE6FA5"/>
    <w:multiLevelType w:val="hybridMultilevel"/>
    <w:tmpl w:val="D1B480FE"/>
    <w:lvl w:ilvl="0" w:tplc="89D4FEA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146329"/>
    <w:multiLevelType w:val="hybridMultilevel"/>
    <w:tmpl w:val="CFFA3582"/>
    <w:lvl w:ilvl="0" w:tplc="BF62CA6E">
      <w:start w:val="1"/>
      <w:numFmt w:val="decimal"/>
      <w:lvlText w:val="%1."/>
      <w:lvlJc w:val="left"/>
      <w:pPr>
        <w:tabs>
          <w:tab w:val="num" w:pos="1585"/>
        </w:tabs>
        <w:ind w:left="1585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0"/>
  <w:drawingGridVerticalSpacing w:val="68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6D3"/>
    <w:rsid w:val="001C4A1D"/>
    <w:rsid w:val="003216D3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AA73BEA-9F46-4B60-85AE-E055E668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2"/>
      <w:lang w:val="uk-UA"/>
    </w:rPr>
  </w:style>
  <w:style w:type="paragraph" w:styleId="a4">
    <w:name w:val="Title"/>
    <w:basedOn w:val="a"/>
    <w:qFormat/>
    <w:pPr>
      <w:shd w:val="clear" w:color="auto" w:fill="FFFFFF"/>
      <w:jc w:val="center"/>
    </w:pPr>
    <w:rPr>
      <w:b/>
      <w:bCs/>
      <w:color w:val="000000"/>
      <w:szCs w:val="27"/>
      <w:lang w:val="uk-UA"/>
    </w:rPr>
  </w:style>
  <w:style w:type="paragraph" w:styleId="a5">
    <w:name w:val="Body Text Indent"/>
    <w:basedOn w:val="a"/>
    <w:semiHidden/>
    <w:pPr>
      <w:shd w:val="clear" w:color="auto" w:fill="FFFFFF"/>
      <w:ind w:firstLine="550"/>
      <w:jc w:val="both"/>
    </w:pPr>
    <w:rPr>
      <w:color w:val="000000"/>
      <w:szCs w:val="22"/>
      <w:lang w:val="uk-UA"/>
    </w:rPr>
  </w:style>
  <w:style w:type="paragraph" w:styleId="2">
    <w:name w:val="Body Text Indent 2"/>
    <w:basedOn w:val="a"/>
    <w:semiHidden/>
    <w:pPr>
      <w:shd w:val="clear" w:color="auto" w:fill="FFFFFF"/>
      <w:ind w:firstLine="600"/>
      <w:jc w:val="both"/>
    </w:pPr>
    <w:rPr>
      <w:color w:val="000000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Економіка. Банківська справа</Manager>
  <Company>Економіка. Банківська справа</Company>
  <LinksUpToDate>false</LinksUpToDate>
  <CharactersWithSpaces>6765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admin</cp:lastModifiedBy>
  <cp:revision>2</cp:revision>
  <dcterms:created xsi:type="dcterms:W3CDTF">2014-04-08T17:35:00Z</dcterms:created>
  <dcterms:modified xsi:type="dcterms:W3CDTF">2014-04-08T17:35:00Z</dcterms:modified>
  <cp:category>Економіка. Банківська справа</cp:category>
</cp:coreProperties>
</file>