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82" w:rsidRPr="00CA2282" w:rsidRDefault="00CA2282" w:rsidP="00CA22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r w:rsidRPr="00CA2282">
        <w:rPr>
          <w:rFonts w:ascii="Arial" w:hAnsi="Arial"/>
          <w:b/>
          <w:bCs/>
          <w:color w:val="000080"/>
          <w:sz w:val="20"/>
          <w:szCs w:val="20"/>
        </w:rPr>
        <w:t>Санитарные правила</w:t>
      </w:r>
      <w:r w:rsidRPr="00CA2282">
        <w:rPr>
          <w:rFonts w:ascii="Arial" w:hAnsi="Arial"/>
          <w:b/>
          <w:bCs/>
          <w:color w:val="000080"/>
          <w:sz w:val="20"/>
          <w:szCs w:val="20"/>
        </w:rPr>
        <w:br/>
        <w:t>СП 3.1.099-96 "Профилактика и борьба с заразными болезнями, общими для человека и животных. Геморрагическая лихорадка с почечным синдромом"</w:t>
      </w:r>
      <w:r w:rsidRPr="00CA2282">
        <w:rPr>
          <w:rFonts w:ascii="Arial" w:hAnsi="Arial"/>
          <w:b/>
          <w:bCs/>
          <w:color w:val="000080"/>
          <w:sz w:val="20"/>
          <w:szCs w:val="20"/>
        </w:rPr>
        <w:br/>
        <w:t xml:space="preserve">(утв. Госкомсанэпиднадзором РФ 31 мая </w:t>
      </w:r>
      <w:smartTag w:uri="urn:schemas-microsoft-com:office:smarttags" w:element="metricconverter">
        <w:smartTagPr>
          <w:attr w:name="ProductID" w:val="1996 г"/>
        </w:smartTagPr>
        <w:r w:rsidRPr="00CA2282">
          <w:rPr>
            <w:rFonts w:ascii="Arial" w:hAnsi="Arial"/>
            <w:b/>
            <w:bCs/>
            <w:color w:val="000080"/>
            <w:sz w:val="20"/>
            <w:szCs w:val="20"/>
          </w:rPr>
          <w:t>1996 г</w:t>
        </w:r>
      </w:smartTag>
      <w:r w:rsidRPr="00CA2282">
        <w:rPr>
          <w:rFonts w:ascii="Arial" w:hAnsi="Arial"/>
          <w:b/>
          <w:bCs/>
          <w:color w:val="000080"/>
          <w:sz w:val="20"/>
          <w:szCs w:val="20"/>
        </w:rPr>
        <w:t>.)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bookmarkStart w:id="0" w:name="sub_1"/>
      <w:r w:rsidRPr="00CA2282">
        <w:rPr>
          <w:rFonts w:ascii="Arial" w:hAnsi="Arial"/>
          <w:b/>
          <w:bCs/>
          <w:color w:val="000080"/>
          <w:sz w:val="20"/>
          <w:szCs w:val="20"/>
        </w:rPr>
        <w:t>1. Область применения</w:t>
      </w:r>
    </w:p>
    <w:bookmarkEnd w:id="0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Данные правила предназначены для выполнения на всей территории Российской Федерации государственными органами, предприятиями и иными хозяйственными субъектами, учреждениями, организациями, общественными объединениями, независимо от форм собственности и подчинения, в области профилактики и борьбы с геморрагической лихорадкой с почечным синдромом.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bookmarkStart w:id="1" w:name="sub_2"/>
      <w:r w:rsidRPr="00CA2282">
        <w:rPr>
          <w:rFonts w:ascii="Arial" w:hAnsi="Arial"/>
          <w:b/>
          <w:bCs/>
          <w:color w:val="000080"/>
          <w:sz w:val="20"/>
          <w:szCs w:val="20"/>
        </w:rPr>
        <w:t>2. Нормативные ссылки</w:t>
      </w:r>
    </w:p>
    <w:bookmarkEnd w:id="1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2" w:name="sub_21"/>
      <w:r w:rsidRPr="00CA2282">
        <w:rPr>
          <w:rFonts w:ascii="Arial" w:hAnsi="Arial"/>
          <w:sz w:val="20"/>
          <w:szCs w:val="20"/>
        </w:rPr>
        <w:t>2.1. Закон РСФСР "О санитарно-эпидемиологическом благополучии населения".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3" w:name="sub_22"/>
      <w:bookmarkEnd w:id="2"/>
      <w:r w:rsidRPr="00CA2282">
        <w:rPr>
          <w:rFonts w:ascii="Arial" w:hAnsi="Arial"/>
          <w:sz w:val="20"/>
          <w:szCs w:val="20"/>
        </w:rPr>
        <w:t>2.2. Основы законодательства Российской Федерации об охране здоровья граждан.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4" w:name="sub_23"/>
      <w:bookmarkEnd w:id="3"/>
      <w:r w:rsidRPr="00CA2282">
        <w:rPr>
          <w:rFonts w:ascii="Arial" w:hAnsi="Arial"/>
          <w:sz w:val="20"/>
          <w:szCs w:val="20"/>
        </w:rPr>
        <w:t>2.3. Государственная система санитарно-эпидемиологического нормирования Российской Федерации.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5" w:name="sub_24"/>
      <w:bookmarkEnd w:id="4"/>
      <w:r w:rsidRPr="00CA2282">
        <w:rPr>
          <w:rFonts w:ascii="Arial" w:hAnsi="Arial"/>
          <w:sz w:val="20"/>
          <w:szCs w:val="20"/>
        </w:rPr>
        <w:t>2.4. Методические рекомендации "Методы лабораторной диагностики геморрагической лихорадки с почечным синдромом". М., 1982.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6" w:name="sub_25"/>
      <w:bookmarkEnd w:id="5"/>
      <w:r w:rsidRPr="00CA2282">
        <w:rPr>
          <w:rFonts w:ascii="Arial" w:hAnsi="Arial"/>
          <w:sz w:val="20"/>
          <w:szCs w:val="20"/>
        </w:rPr>
        <w:t>2.5. Методические рекомендации "Применение культурального антигена для серодиагностики геморрагической лихорадки с почечным синдромом с помощью метода флюоресцирующих антител". М., 1984.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7" w:name="sub_26"/>
      <w:bookmarkEnd w:id="6"/>
      <w:r w:rsidRPr="00CA2282">
        <w:rPr>
          <w:rFonts w:ascii="Arial" w:hAnsi="Arial"/>
          <w:sz w:val="20"/>
          <w:szCs w:val="20"/>
        </w:rPr>
        <w:t>2.6. Методические рекомендации "Клиника, диагностика и лечение геморрагических лихорадок". М., 1993.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8" w:name="sub_27"/>
      <w:bookmarkEnd w:id="7"/>
      <w:r w:rsidRPr="00CA2282">
        <w:rPr>
          <w:rFonts w:ascii="Arial" w:hAnsi="Arial"/>
          <w:sz w:val="20"/>
          <w:szCs w:val="20"/>
        </w:rPr>
        <w:t>2.7. Методические указания по борьбе с грызунами в населенных пунктах.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9" w:name="sub_28"/>
      <w:bookmarkEnd w:id="8"/>
      <w:r w:rsidRPr="00CA2282">
        <w:rPr>
          <w:rFonts w:ascii="Arial" w:hAnsi="Arial"/>
          <w:sz w:val="20"/>
          <w:szCs w:val="20"/>
        </w:rPr>
        <w:t>2.8. Методические рекомендации по организации и проведению профилактических (неспецифических) мероприятий при геморрагической лихорадке с почечным синдромом.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0" w:name="sub_29"/>
      <w:bookmarkEnd w:id="9"/>
      <w:r w:rsidRPr="00CA2282">
        <w:rPr>
          <w:rFonts w:ascii="Arial" w:hAnsi="Arial"/>
          <w:sz w:val="20"/>
          <w:szCs w:val="20"/>
        </w:rPr>
        <w:t>2.9. Служебное письмо "О дальнейшем расширении и улучшении качества дератизационных работ".</w:t>
      </w:r>
    </w:p>
    <w:bookmarkEnd w:id="10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bookmarkStart w:id="11" w:name="sub_3"/>
      <w:r w:rsidRPr="00CA2282">
        <w:rPr>
          <w:rFonts w:ascii="Arial" w:hAnsi="Arial"/>
          <w:b/>
          <w:bCs/>
          <w:color w:val="000080"/>
          <w:sz w:val="20"/>
          <w:szCs w:val="20"/>
        </w:rPr>
        <w:t>3. Требования</w:t>
      </w:r>
    </w:p>
    <w:bookmarkEnd w:id="11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bookmarkStart w:id="12" w:name="sub_31"/>
      <w:r w:rsidRPr="00CA2282">
        <w:rPr>
          <w:rFonts w:ascii="Arial" w:hAnsi="Arial"/>
          <w:b/>
          <w:bCs/>
          <w:color w:val="000080"/>
          <w:sz w:val="20"/>
          <w:szCs w:val="20"/>
        </w:rPr>
        <w:t>3.1. Общие сведения</w:t>
      </w:r>
    </w:p>
    <w:bookmarkEnd w:id="12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Геморрагическая лихорадка с почечным синдромом (ГЛПС) относится к природно-очаговым зоонозным инфекциям; по уровню заболеваемости и географическому распространению ГЛПС в Российской Федерации занимает ведущее место среди этих инфекций. Случаи ГЛПС зарегистрированы на 61 административной территории России. Наиболее активные природные очаги ГЛПС находятся в Уральском и Поволжском районах (Башкирская, Татарская, Марийская, Удмуртская, Чувашская республики, а также Саратовская, Самарская, Ульяновская области). Наряду с давно известными очагами ГЛПС на Дальнем Востоке России (Приморский, Хабаровский края, Амурская область) с середины 80-х годов случаи ГЛПС стали ежегодно регистрировать в Западной Сибири (Омская, Тюменская, Новосибирская области).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Клиническая картина ГЛПС представляет собой циклическую смену четырех периодов болезни: начальный (или лихорадочный) период (первые 4-5 дней болезни), олигоанурический период (с 5-6-го дня до конца 2-й недели болезни), полиурический период (3-4 неделя болезни) и период реконвалесценции (с конца 3-4 недели в течение нескольких месяцев). Инкубационный период варьирует от 4 до 30 дней. Патогномоничными для ГЛПС симптомами являются: лихорадка, общая интоксикация, боли в пояснице и животе, коллапс (шок), олигоурия, полиурия, геморрагические проявления. Причиной смерти в тяжелых случаях могут быть острая сердечно-сосудистая недостаточность, массивные кровоизлияния в жизненно важные органы, плазморея в ткани, коллапс, шок, отек легких, азотемическая уремия, спонтанный разрыв почек, отек головного мозга, паралич вегетативных центров.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По клиническим признакам можно выделить два отличающихся типа очагов ГЛПС. На Дальнем Востоке Российской Федерации заболевание протекает, как правило, с большей долей тяжелых форм, с более выраженными инфекционно-токсическими проявлениями, с чаще встречающимся и более тяжелым геморрагическим синдромом. В европейских очагах преобладают среднетяжелые и легкие формы ГЛПС. Летальность, как показатель тяжести течения ГЛПС, составляет 1-3% в европейских и 15-20% в дальневосточных районах России. Клинический диагноз ГЛПС должен быть подтвержден лабораторным исследованием крови заболевшего с целью определения сероконверсии в отношении к возбудителю заболевания. Для серологического обследования больных используют "Культуральный поливалентный диагностикум ГЛПС для непрямого метода иммунофлюоресценции".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Кроме случаев ГЛПС с выраженной клиникой, существуют стертые и атипичные формы течения заболевания, диагностика которых возможна лишь при использовании лабораторных методов исследования материалов от больных лиц. Серонегативные формы инфекции имеют место не более чем у 1-4% больных ГЛПС.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У переболевших ГЛПС людей формируется многолетний, вероятно пожизненный, иммунитет к хантавирусам.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Среди больных ГЛПС преобладают лица в возрасте от 20 до 45 лет, при этом соотношение заболеваемости у лиц женского пола к таковой у лиц мужского пола составляет 1:4-1:6. Около 5% от общего количества больных ГЛПС составляют дети в возрасте до 14 лет. Заболеваемость ГЛПС населения сельских местностей, как правило, выше, однако в наиболее активных природных очагах ГЛПС (в районах Среднего Поволжья, Урала) показатель заболеваемости в крупных городах приблизительно вдвое выше, чем у сельских жителей тех же районов. Случаи ГЛПС регистрируются на территории России практически в течение всего года, однако наибольшее количество больных в европейских очагах регистрируется летом и осенью, а в очагах Дальнего Востока - осенью и зимой. В сельской местности наиболее высокий процент среди больных ГЛПС составляют трактористы и механизаторы, шоферы, полеводы и животноводы, а в городах - промышленные рабочие и служащие. Горожане заражаются в основном при работе на садово-огородных участках, освоении отведенных под них новых территорий, отдыхе в оздоровительных учреждениях, посещении энзоотичных лесных территорий (туризм, охота, рыбная ловля, сбор грибов, ягод, лекарственных растений), ночевках в лесу, в пустующих постройках, заселенных грызунами, стогах сена и т.п. Заражение в производственных условиях возможно при расположении промышленных предприятий или строительных площадок в лесных массивах или вблизи них.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 xml:space="preserve">За период с момента первого выделения в </w:t>
      </w:r>
      <w:smartTag w:uri="urn:schemas-microsoft-com:office:smarttags" w:element="metricconverter">
        <w:smartTagPr>
          <w:attr w:name="ProductID" w:val="1976 г"/>
        </w:smartTagPr>
        <w:r w:rsidRPr="00CA2282">
          <w:rPr>
            <w:rFonts w:ascii="Arial" w:hAnsi="Arial"/>
            <w:sz w:val="20"/>
            <w:szCs w:val="20"/>
          </w:rPr>
          <w:t>1976 г</w:t>
        </w:r>
      </w:smartTag>
      <w:r w:rsidRPr="00CA2282">
        <w:rPr>
          <w:rFonts w:ascii="Arial" w:hAnsi="Arial"/>
          <w:sz w:val="20"/>
          <w:szCs w:val="20"/>
        </w:rPr>
        <w:t>. вируса - возбудителя ГЛПС в различных регионах мира, в том числе на территории России, выделено более 500 хантавирусных штаммов от больных ГЛПС, от 25 видов диких и лабораторных животных, а также от птиц и клещей. Установлены существенные различия между штаммами, позволившие их разделить на 8 антигенных групп (или серотипов): Хантаан, Пуумала, Сеул, Белград-Дубрава, Проспект Хилл, Хабаровск, Таиланд и Тоттапалаям. Антигенно и генетически родственные вирусы составляют род Хантавирус семейства Буньявириде. Первые четыре хантавирусных серотипа вызывают у людей заболевания, объединенные названием ГЛПС.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Источником заражения людей являются мелкие млекопитающие, главным образом дикие грызуны - хронические носители хантавирусов. Возбудитель вместе с аэрозолями, содержащими продукты жизнедеятельности зверьков, через верхние дыхательные пути попадает в легкие человека (где условия для его размножения наиболее благоприятны) с последующей диссеминацией через кровь в другие органы. Больные ГЛПС в эпидемиологическом отношении не представляют опасности для окружающих.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Основными видами грызунов, с которыми ассоциируются заражения людей в России, являются: рыжая, красная и красно-серая полевки, полевая и восточноазиатская лесная мыши, серая крыса. Однако установлена инфицированность хантавирусом еще 42 видов мелких млекопитающих и 13 видов птиц, отловленных на территории России, эпидемиологическая роль которых пока невыяснена.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На активных очаговых территориях динамика заболеваемости ГЛПС характеризуется периодическими подъемами каждые 3-4 года, обусловленными периодичностью массовых размножений доминирующих видов грызунов и развитием среди них эпизоотий.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bookmarkStart w:id="13" w:name="sub_32"/>
      <w:r w:rsidRPr="00CA2282">
        <w:rPr>
          <w:rFonts w:ascii="Arial" w:hAnsi="Arial"/>
          <w:b/>
          <w:bCs/>
          <w:color w:val="000080"/>
          <w:sz w:val="20"/>
          <w:szCs w:val="20"/>
        </w:rPr>
        <w:t>3.2. Мероприятия по профилактике заболеваний людей геморрагической лихорадкой с почечным синдромом</w:t>
      </w:r>
    </w:p>
    <w:bookmarkEnd w:id="13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ind w:left="139" w:firstLine="139"/>
        <w:jc w:val="both"/>
        <w:rPr>
          <w:rFonts w:ascii="Arial" w:hAnsi="Arial"/>
          <w:i/>
          <w:iCs/>
          <w:color w:val="800080"/>
          <w:sz w:val="20"/>
          <w:szCs w:val="20"/>
        </w:rPr>
      </w:pPr>
      <w:r w:rsidRPr="00CA2282">
        <w:rPr>
          <w:rFonts w:ascii="Arial" w:hAnsi="Arial"/>
          <w:i/>
          <w:iCs/>
          <w:color w:val="800080"/>
          <w:sz w:val="20"/>
          <w:szCs w:val="20"/>
        </w:rPr>
        <w:t xml:space="preserve">См. Методические указания МУ 3.1.1029-01 "Отлов, учет и прогноз численности мелких млекопитающих и птиц в природных очагах инфекций", утвержденные Главным государственным санитарным врачом РФ 6 апреля </w:t>
      </w:r>
      <w:smartTag w:uri="urn:schemas-microsoft-com:office:smarttags" w:element="metricconverter">
        <w:smartTagPr>
          <w:attr w:name="ProductID" w:val="2001 г"/>
        </w:smartTagPr>
        <w:r w:rsidRPr="00CA2282">
          <w:rPr>
            <w:rFonts w:ascii="Arial" w:hAnsi="Arial"/>
            <w:i/>
            <w:iCs/>
            <w:color w:val="800080"/>
            <w:sz w:val="20"/>
            <w:szCs w:val="20"/>
          </w:rPr>
          <w:t>2001 г</w:t>
        </w:r>
      </w:smartTag>
      <w:r w:rsidRPr="00CA2282">
        <w:rPr>
          <w:rFonts w:ascii="Arial" w:hAnsi="Arial"/>
          <w:i/>
          <w:iCs/>
          <w:color w:val="800080"/>
          <w:sz w:val="20"/>
          <w:szCs w:val="20"/>
        </w:rPr>
        <w:t>.</w:t>
      </w:r>
    </w:p>
    <w:p w:rsidR="00CA2282" w:rsidRPr="00CA2282" w:rsidRDefault="00CA2282" w:rsidP="00CA2282">
      <w:pPr>
        <w:autoSpaceDE w:val="0"/>
        <w:autoSpaceDN w:val="0"/>
        <w:adjustRightInd w:val="0"/>
        <w:ind w:left="170"/>
        <w:jc w:val="both"/>
        <w:rPr>
          <w:rFonts w:ascii="Arial" w:hAnsi="Arial"/>
          <w:i/>
          <w:iCs/>
          <w:color w:val="800080"/>
          <w:sz w:val="20"/>
          <w:szCs w:val="20"/>
        </w:rPr>
      </w:pP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4" w:name="sub_321"/>
      <w:r w:rsidRPr="00CA2282">
        <w:rPr>
          <w:rFonts w:ascii="Arial" w:hAnsi="Arial"/>
          <w:sz w:val="20"/>
          <w:szCs w:val="20"/>
        </w:rPr>
        <w:t>3.2.1. Неспецифическая профилактика ГЛПС остается основой противоэпидемических мероприятий по борьбе с этой инфекцией и в основном осуществляется и контролируется службами городских, областных, краевых и республиканских центров Государственного санитарно-эпидемиологического надзора. Основными задачами эпидемиологов и биологов (зоологов) этих служб в очагах ГЛПС являются: изучение санитарно-эпидемиологического состояния обслуживаемой территории, выявление и инвентаризация природных очагов, установление контингентов населения, соприкасающихся с природными очагами, и интенсивности контактов, прогнозирование активности природного очага, обоснование объемов и сроков проведения профилактических мероприятий, плановое осуществление этих мероприятий и оценка их эффективности.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5" w:name="sub_322"/>
      <w:bookmarkEnd w:id="14"/>
      <w:r w:rsidRPr="00CA2282">
        <w:rPr>
          <w:rFonts w:ascii="Arial" w:hAnsi="Arial"/>
          <w:sz w:val="20"/>
          <w:szCs w:val="20"/>
        </w:rPr>
        <w:t>3.2.2. Мероприятия, проводимые территориальным центром Госсанэпиднадзора в относительно благополучный период (при отсутствии заболеваемости или единичных случаях ГЛПС), должны включать:</w:t>
      </w:r>
    </w:p>
    <w:bookmarkEnd w:id="15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ретроспективный и оперативный анализ динамики заболеваемости ГЛПС в зависимости от пола, возраста, рода занятий, сезонности, условий заражения, тяжести клинического течения, осложнений, летальности;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контроль за ранним выявлением больных ГЛПС и полнотой их серологического обследования на присутствие специфических антител к возбудителю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изучение уровня естественного иммунитета населения (городского и сельского) по отношению к возбудителю ГЛПС для выявления и характеристики природных очагов инфекции;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анализ иммунной структуры населения в зависимости от пола, возраста и рода занятий для установления степени связи различных возрастных и социальных групп с природными очагами ГЛПС; для обеспечения необходимой достоверности результатов выборочная совокупность в пределах каждой группы не должна быть менее 50 человек;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выявление групп повышенного риска инфицирования ГЛПС на основе данных анализа структур заболеваемости и естественного иммунитета и целенаправленная профилактика ГЛПС среди представителей этих групп;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систематическое наблюдение за динамикой численности, генеративным состоянием и уровнем инфицированности хантавирусом мелких млекопитающих - переносчиков вируса и источников заражения людей (допускается использование данных о численности грызунов, имеющихся в учреждениях ветеринарной службы, станциях защиты растений, лесхозах);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ландшафтно-географическое районирование контролируемой территории; анализ эпизоотолого-эпидемиологических данных (инфицированность грызунов, уровень естественного иммунитета и заболеваемости ГЛПС) с учетом геоботанических особенностей обследованных местностей с целью выявления и локализации наиболее активных природных очагов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долгосрочное прогнозирование подъемов (спадов) заболеваемости ГЛПС на основе данных о динамике ее многолетнего изменения, выявление периодов цикличности эпидемического процесса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систематическая оценка эпизоотической активности природных очагов ГЛПС.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6" w:name="sub_323"/>
      <w:r w:rsidRPr="00CA2282">
        <w:rPr>
          <w:rFonts w:ascii="Arial" w:hAnsi="Arial"/>
          <w:sz w:val="20"/>
          <w:szCs w:val="20"/>
        </w:rPr>
        <w:t>3.2.3. С целью оперативного прогнозирования эпидемиологической ситуации территориальный центр Госсанэпиднадзора осуществляет:</w:t>
      </w:r>
    </w:p>
    <w:bookmarkEnd w:id="16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ежегодных контрольных отловов грызунов давилками (капканами) в конце апреля-мае, а также в октябре и их исследование на наличие хантавирусного антигена с последующим титрованием положительных образцов; зоологическая выборка должна быть репрезентативной по количеству (не менее 100 особей); не допускается отлов зверьков в зоне дератизации ранее чем через 6 месяцев после ее проведения;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установление вида - основного природного резервуара хантавирусов для данной территории;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оценку генеративного статуса его популяций, включающую определение общей численности, доли сеголеток среди всех инфицированных зверьков данного вида, сроков появления молодых особей, а также информацию о наличии или отсутствии подснежного (зимне-осеннего) размножения. Превышение численности многолетних средних показателей, наличие подснежного размножения, раннего появления молодых особей в комплексе с увеличением доли сеголеток среди антигенпозитивных особей до 10% и выше являются признаками активизации эпизоотического процесса;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расчет индекса эпизоотической активности очага (ИЭА) в популяциях вида-резервуара по формуле: ИЭА = (n х а х СГТ) / N, где n - число обследованных зверьков, а - частота выявления среди них хантавирусного антигена (%), N - число ловушко-суток, СГТ - средний геометрический титр антигена в log ; превышение уровнем ИЭА средней величины, рассчитанной по 2 совокупности временных точек для всего периода наблюдения за ряд лет (особенно в сочетании с высоким генеративным статусом в популяциях вида-резервуара хантавируса), на фоне циклического подъема заболеваемости в ее многолетней динамике свидетельствует о высокой вероятности сезонной</w:t>
      </w:r>
    </w:p>
    <w:p w:rsidR="00CA2282" w:rsidRPr="00CA2282" w:rsidRDefault="00CA2282" w:rsidP="00CA2282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эпидемической вспышки ГЛПС на данной территории;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подготовку медицинских работников по вопросам клиники, лабораторной диагностики, эпидемиологии и профилактики ГЛПС.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7" w:name="sub_324"/>
      <w:r w:rsidRPr="00CA2282">
        <w:rPr>
          <w:rFonts w:ascii="Arial" w:hAnsi="Arial"/>
          <w:sz w:val="20"/>
          <w:szCs w:val="20"/>
        </w:rPr>
        <w:t>3.2.4. Администрация неблагополучных в отношении ГЛПС территорий обязана обеспечить:</w:t>
      </w:r>
    </w:p>
    <w:bookmarkEnd w:id="17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приведение лесных массивов в черте городов или примыкающих к ним в лесопарковое состояние;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инвентаризации ветхих строений в пригородных зонах и решение вопросов об их сносе;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систематическое проведение сплошной домовой дератизации в прилегающих к природным очагам ГЛПС постройках в осенний период (октябрь - декабрь), особенно при неустойчивой погоде с оттепелями и морозами, а также санитарную очистку и дератизацию (весной и осенью) в садово-огородных кооперативах;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сплошной дератизации территорий, отводимых под строительство садово-огородных кооперативов, предприятий, оздоровительных учреждений и др. в энзоотичных по ГЛПС местностях;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снабжение населения ратицидами через торговую сеть, дезотделы территориальных центров Госсанэпиднадзора;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консервацию летних сезонных оздоровительных учреждений на зиму с применением долгодействующих отравленных приманок.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8" w:name="sub_325"/>
      <w:r w:rsidRPr="00CA2282">
        <w:rPr>
          <w:rFonts w:ascii="Arial" w:hAnsi="Arial"/>
          <w:sz w:val="20"/>
          <w:szCs w:val="20"/>
        </w:rPr>
        <w:t>3.2.5. Перед открытием летних оздоровительных учреждений, расположенных в зоне природных очагов ГЛПС, их руководители обязаны обеспечить:</w:t>
      </w:r>
    </w:p>
    <w:bookmarkEnd w:id="18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расчистку лесных массивов от мусора, валежника, сухостоя, густого подлеска в радиусе 500-метровой зоны вокруг учреждения, приведение указанной территории в лесопарковое состояние;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грызунонепроницаемость хозяйственных построек и жилых помещений в соответствии с действующими санитарными правилами;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мероприятий по истреблению мышевидных грызунов на территории учреждения и в постройках;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 xml:space="preserve">- организацию барьерной дератизации 500-метровой зоны с раскладыванием отравленных приманок с 6%-ным ратинданом кучками под укрытия в трубки из толя, рубероида и т.п. через каждые </w:t>
      </w:r>
      <w:smartTag w:uri="urn:schemas-microsoft-com:office:smarttags" w:element="metricconverter">
        <w:smartTagPr>
          <w:attr w:name="ProductID" w:val="10 метров"/>
        </w:smartTagPr>
        <w:r w:rsidRPr="00CA2282">
          <w:rPr>
            <w:rFonts w:ascii="Arial" w:hAnsi="Arial"/>
            <w:sz w:val="20"/>
            <w:szCs w:val="20"/>
          </w:rPr>
          <w:t>10 метров</w:t>
        </w:r>
      </w:smartTag>
      <w:r w:rsidRPr="00CA2282">
        <w:rPr>
          <w:rFonts w:ascii="Arial" w:hAnsi="Arial"/>
          <w:sz w:val="20"/>
          <w:szCs w:val="20"/>
        </w:rPr>
        <w:t xml:space="preserve"> (так как затравка территории зерновой приманкой путем разбрасывания экологически небезопасна и под воздействием осадков быстрее приходит в негодность) с размещением долгодействующих точек отравления из расчета 2 точки на гектар;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камерной обработки постельных принадлежностей по режиму для вегетативных форм микроорганизмов, обработку 3%-ным р-ром хлорамина или 2%-ным осветленным р-ром хлорной извести либо их проветривание и высушивание на солнце в течение 6-8 часов;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влажной дезинфекции помещений 3%-ным раствором хлорсодержащих препаратов перед началом подготовки к летнему сезону, а затем перед началом каждой смены;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организацию инструктажа персонала оздоровительного учреждения по мерам профилактики ГЛПС.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19" w:name="sub_326"/>
      <w:r w:rsidRPr="00CA2282">
        <w:rPr>
          <w:rFonts w:ascii="Arial" w:hAnsi="Arial"/>
          <w:sz w:val="20"/>
          <w:szCs w:val="20"/>
        </w:rPr>
        <w:t>3.2.6. Мероприятия, проводимые территориальным центром Госсанэпиднадзора по локализации природного очага в случае активизации эпизоотического процесса и роста заболеваемости ГЛПС:</w:t>
      </w:r>
    </w:p>
    <w:bookmarkEnd w:id="19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организация работы санитарно-противоэпидемических комиссий с заслушиванием на заседаниях работы всех заинтересованных ведомств и служб и решением неотложных задач по локализации очагов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совещаний с работниками учреждений здравоохранения, ветеринарной службы, лесхозов, коммунальной службы, торговли, общепита, оздоровительных учреждений, председателями садово-огородных товариществ и др. по вопросам профилактики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организация рейдовых проверок санитарного состояния населенных мест, оздоровительных, детских, торговых, коммунальных и других учреждений в зависимости от конкретной эпидобстановки;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 xml:space="preserve">- контроль за приведением объектов, расположенных в зоне очагов ГЛПС, в должное санитарно-техническое состояние в соответствии с действующими санитарными правилами, ликвидация самопроизвольных свалок, очистка от мусора, сухостоя, густого подлеска лесных массивов, примыкающих к населенным пунктам, садово-огородным кооперативам в радиусе </w:t>
      </w:r>
      <w:smartTag w:uri="urn:schemas-microsoft-com:office:smarttags" w:element="metricconverter">
        <w:smartTagPr>
          <w:attr w:name="ProductID" w:val="300 метров"/>
        </w:smartTagPr>
        <w:r w:rsidRPr="00CA2282">
          <w:rPr>
            <w:rFonts w:ascii="Arial" w:hAnsi="Arial"/>
            <w:sz w:val="20"/>
            <w:szCs w:val="20"/>
          </w:rPr>
          <w:t>300 метров</w:t>
        </w:r>
      </w:smartTag>
      <w:r w:rsidRPr="00CA2282">
        <w:rPr>
          <w:rFonts w:ascii="Arial" w:hAnsi="Arial"/>
          <w:sz w:val="20"/>
          <w:szCs w:val="20"/>
        </w:rPr>
        <w:t xml:space="preserve">, оздоровительным учреждениям - в радиусе </w:t>
      </w:r>
      <w:smartTag w:uri="urn:schemas-microsoft-com:office:smarttags" w:element="metricconverter">
        <w:smartTagPr>
          <w:attr w:name="ProductID" w:val="500 метров"/>
        </w:smartTagPr>
        <w:r w:rsidRPr="00CA2282">
          <w:rPr>
            <w:rFonts w:ascii="Arial" w:hAnsi="Arial"/>
            <w:sz w:val="20"/>
            <w:szCs w:val="20"/>
          </w:rPr>
          <w:t>500 метров</w:t>
        </w:r>
      </w:smartTag>
      <w:r w:rsidRPr="00CA2282">
        <w:rPr>
          <w:rFonts w:ascii="Arial" w:hAnsi="Arial"/>
          <w:sz w:val="20"/>
          <w:szCs w:val="20"/>
        </w:rPr>
        <w:t>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эпизоотолого-эпидемиологическое обследование очагов ГЛПС с выявлением конкретных мест и условий заражения людей для организации противоэпидемических мероприятий;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организация подворных (поквартирных) обходов с привлечением (при необходимости) студентов мединститутов, учащихся медучилищ с целью выявления больных ГЛПС и лиц, находившихся в одинаковых с заболевшими условиях риска, установление за ними медицинского наблюдения в течение 3-4 недель, а также проведение бесед по профилактике ГЛПС и опроса о наличии грызунов;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проведение учета численности грызунов, их отлов и обследование на наличие у них хантавирусного антигена; выявление населенных пунктов (улиц), расположенных вблизи лесных массивов, речных пойм, где отмечается активизация природных очагов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анализ обращаемости больных (за последние 1-2 месяца) в амбулаторно-поликлинические учреждения, стационары, фельдшерско-акушерские пункты на неблагополучных в отношении ГЛПС территориях с диагнозами, не исключающими наличия хантавирусной инфекции;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оценка полноты охвата больных серодиагностикой ГЛПС и (при необходимости) проведение ретроспективного обследования реконвалесцентов для уточнения истинной заболеваемости ГЛПС;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при неблагоприятном эпидемиологическом прогнозе ограничение посещений населением активных энзоотичных территорий, отмена туристических маршрутов, запрещение сбора лекарственных трав, спортивных соревнований, сокращение выдачи лицензий на охоту и т.п.;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расширение зоны зоологических обследований энзоотичных территорий с целью уточнения оперативного прогнозирования, а также объема необходимых профилактических мероприятий.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20" w:name="sub_327"/>
      <w:r w:rsidRPr="00CA2282">
        <w:rPr>
          <w:rFonts w:ascii="Arial" w:hAnsi="Arial"/>
          <w:sz w:val="20"/>
          <w:szCs w:val="20"/>
        </w:rPr>
        <w:t>3.2.7. Дератизационные мероприятия проводятся территориальным центром Госсанэпиднадзора в соответствии с действующими инструкциями по борьбе с грызунами за счет средств местных бюджетов и договорных работ и включают:</w:t>
      </w:r>
    </w:p>
    <w:bookmarkEnd w:id="20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сплошную дератизацию построек, расположенных на прилегающих к лесным массивам территориях в неблагополучных в отношении ГЛПС населенных пунктах (с октября по декабрь);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 xml:space="preserve">- барьерную дератизацию 300-метровой полосы леса, примыкающей к населенным пунктам в сроки, опережающие миграцию грызунов из леса в постройки и сооружения, используя зерновую приманку с 6%-ным ратинданом (первые </w:t>
      </w:r>
      <w:smartTag w:uri="urn:schemas-microsoft-com:office:smarttags" w:element="metricconverter">
        <w:smartTagPr>
          <w:attr w:name="ProductID" w:val="150 метров"/>
        </w:smartTagPr>
        <w:r w:rsidRPr="00CA2282">
          <w:rPr>
            <w:rFonts w:ascii="Arial" w:hAnsi="Arial"/>
            <w:sz w:val="20"/>
            <w:szCs w:val="20"/>
          </w:rPr>
          <w:t>150 метров</w:t>
        </w:r>
      </w:smartTag>
      <w:r w:rsidRPr="00CA2282">
        <w:rPr>
          <w:rFonts w:ascii="Arial" w:hAnsi="Arial"/>
          <w:sz w:val="20"/>
          <w:szCs w:val="20"/>
        </w:rPr>
        <w:t xml:space="preserve">) и с 3%-ным фосфидом цинка (следующие </w:t>
      </w:r>
      <w:smartTag w:uri="urn:schemas-microsoft-com:office:smarttags" w:element="metricconverter">
        <w:smartTagPr>
          <w:attr w:name="ProductID" w:val="150 метров"/>
        </w:smartTagPr>
        <w:r w:rsidRPr="00CA2282">
          <w:rPr>
            <w:rFonts w:ascii="Arial" w:hAnsi="Arial"/>
            <w:sz w:val="20"/>
            <w:szCs w:val="20"/>
          </w:rPr>
          <w:t>150 метров</w:t>
        </w:r>
      </w:smartTag>
      <w:r w:rsidRPr="00CA2282">
        <w:rPr>
          <w:rFonts w:ascii="Arial" w:hAnsi="Arial"/>
          <w:sz w:val="20"/>
          <w:szCs w:val="20"/>
        </w:rPr>
        <w:t xml:space="preserve">), раскладываемую под укрытия (хороший эффект дает последующая организация долгодействующих точек отравления из расчета две точки на </w:t>
      </w:r>
      <w:smartTag w:uri="urn:schemas-microsoft-com:office:smarttags" w:element="metricconverter">
        <w:smartTagPr>
          <w:attr w:name="ProductID" w:val="1 га"/>
        </w:smartTagPr>
        <w:r w:rsidRPr="00CA2282">
          <w:rPr>
            <w:rFonts w:ascii="Arial" w:hAnsi="Arial"/>
            <w:sz w:val="20"/>
            <w:szCs w:val="20"/>
          </w:rPr>
          <w:t>1 га</w:t>
        </w:r>
      </w:smartTag>
      <w:r w:rsidRPr="00CA2282">
        <w:rPr>
          <w:rFonts w:ascii="Arial" w:hAnsi="Arial"/>
          <w:sz w:val="20"/>
          <w:szCs w:val="20"/>
        </w:rPr>
        <w:t>);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дератизацию в садово-огородных, гаражных кооперативах с организацией дополнительных точек продажи отравленных приманок в районах их расположения;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CA2282">
        <w:rPr>
          <w:rFonts w:ascii="Arial" w:hAnsi="Arial"/>
          <w:sz w:val="20"/>
          <w:szCs w:val="20"/>
        </w:rPr>
        <w:t>- активную продажу отравленной приманки населению дезотделами территориальных центров Госсанэпиднадзора и магазинами хозторга с широкой рекламой ее через средства массовой информации.</w:t>
      </w:r>
    </w:p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bookmarkStart w:id="21" w:name="sub_328"/>
      <w:r w:rsidRPr="00CA2282">
        <w:rPr>
          <w:rFonts w:ascii="Arial" w:hAnsi="Arial"/>
          <w:sz w:val="20"/>
          <w:szCs w:val="20"/>
        </w:rPr>
        <w:t>3.2.8. Территориальные центры Госсанэпиднадзора обязаны проводить среди населения широкую санитарную пропаганду мер личной и коллективной профилактики ГЛПС с использованием радио, телевидения, местных газет, распространения памяток, листовок и т.п. При этом необходима популяризация индивидуальных мер защиты, таких, как применение многослойных защитных марлевых масок, увлажненных водой, при уборке помещений и сельскохозяйственных работах, связанных с воздействием пыли; соблюдение правил приема пищи, воды и курения при проведении любых видов работ в активных очагах инфекции.</w:t>
      </w:r>
    </w:p>
    <w:bookmarkEnd w:id="21"/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2880"/>
      </w:tblGrid>
      <w:tr w:rsidR="00CA2282" w:rsidRPr="00CA2282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A2282" w:rsidRPr="00CA2282" w:rsidRDefault="00CA2282" w:rsidP="00CA2282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CA2282">
              <w:rPr>
                <w:rFonts w:ascii="Arial" w:hAnsi="Arial"/>
                <w:sz w:val="20"/>
                <w:szCs w:val="20"/>
              </w:rPr>
              <w:t xml:space="preserve">Зам. Главного государственного </w:t>
            </w:r>
            <w:r w:rsidRPr="00CA2282">
              <w:rPr>
                <w:rFonts w:ascii="Arial" w:hAnsi="Arial"/>
                <w:sz w:val="20"/>
                <w:szCs w:val="20"/>
              </w:rPr>
              <w:br/>
              <w:t xml:space="preserve">врача </w:t>
            </w:r>
            <w:r w:rsidRPr="00CA2282">
              <w:rPr>
                <w:rFonts w:ascii="Arial" w:hAnsi="Arial"/>
                <w:sz w:val="20"/>
                <w:szCs w:val="20"/>
              </w:rPr>
              <w:br/>
              <w:t xml:space="preserve">Российской Федерации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A2282" w:rsidRPr="00CA2282" w:rsidRDefault="00CA2282" w:rsidP="00CA2282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sz w:val="20"/>
                <w:szCs w:val="20"/>
              </w:rPr>
            </w:pPr>
            <w:r w:rsidRPr="00CA2282">
              <w:rPr>
                <w:rFonts w:ascii="Arial" w:hAnsi="Arial"/>
                <w:sz w:val="20"/>
                <w:szCs w:val="20"/>
              </w:rPr>
              <w:t>С.В.Семенов</w:t>
            </w:r>
          </w:p>
        </w:tc>
      </w:tr>
    </w:tbl>
    <w:p w:rsidR="00CA2282" w:rsidRPr="00CA2282" w:rsidRDefault="00CA2282" w:rsidP="00CA22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CA2282" w:rsidRDefault="00CA2282">
      <w:bookmarkStart w:id="22" w:name="_GoBack"/>
      <w:bookmarkEnd w:id="22"/>
    </w:p>
    <w:sectPr w:rsidR="00CA2282" w:rsidSect="00CA2282">
      <w:pgSz w:w="11904" w:h="16834"/>
      <w:pgMar w:top="1440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282"/>
    <w:rsid w:val="00452F8E"/>
    <w:rsid w:val="00852E33"/>
    <w:rsid w:val="00C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E817-02ED-4563-8304-C71EE4B2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A228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CA228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4">
    <w:name w:val="Текст (лев. подпись)"/>
    <w:basedOn w:val="a"/>
    <w:next w:val="a"/>
    <w:rsid w:val="00CA228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5">
    <w:name w:val="Текст (прав. подпись)"/>
    <w:basedOn w:val="a"/>
    <w:next w:val="a"/>
    <w:rsid w:val="00CA2282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6">
    <w:name w:val="Прижатый влево"/>
    <w:basedOn w:val="a"/>
    <w:next w:val="a"/>
    <w:rsid w:val="00CA2282"/>
    <w:pPr>
      <w:autoSpaceDE w:val="0"/>
      <w:autoSpaceDN w:val="0"/>
      <w:adjustRightInd w:val="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Санитарные правила</vt:lpstr>
    </vt:vector>
  </TitlesOfParts>
  <Company/>
  <LinksUpToDate>false</LinksUpToDate>
  <CharactersWithSpaces>19749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Санитарные правила</dc:title>
  <dc:subject/>
  <dc:creator>1</dc:creator>
  <cp:keywords/>
  <dc:description/>
  <cp:lastModifiedBy>Irina</cp:lastModifiedBy>
  <cp:revision>2</cp:revision>
  <dcterms:created xsi:type="dcterms:W3CDTF">2014-07-27T18:13:00Z</dcterms:created>
  <dcterms:modified xsi:type="dcterms:W3CDTF">2014-07-27T18:13:00Z</dcterms:modified>
</cp:coreProperties>
</file>