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7C" w:rsidRDefault="009A797C" w:rsidP="007B155A">
      <w:pPr>
        <w:spacing w:line="240" w:lineRule="auto"/>
        <w:ind w:firstLine="539"/>
        <w:jc w:val="center"/>
        <w:rPr>
          <w:rFonts w:ascii="Times New Roman" w:hAnsi="Times New Roman"/>
          <w:sz w:val="28"/>
          <w:szCs w:val="28"/>
        </w:rPr>
      </w:pPr>
    </w:p>
    <w:p w:rsidR="00A61757" w:rsidRPr="007B155A" w:rsidRDefault="00A61757" w:rsidP="007B155A">
      <w:pPr>
        <w:spacing w:line="240" w:lineRule="auto"/>
        <w:ind w:firstLine="539"/>
        <w:jc w:val="center"/>
        <w:rPr>
          <w:rFonts w:ascii="Times New Roman" w:hAnsi="Times New Roman"/>
          <w:bCs/>
          <w:sz w:val="28"/>
          <w:szCs w:val="28"/>
        </w:rPr>
      </w:pPr>
      <w:r w:rsidRPr="007B155A">
        <w:rPr>
          <w:rFonts w:ascii="Times New Roman" w:hAnsi="Times New Roman"/>
          <w:sz w:val="28"/>
          <w:szCs w:val="28"/>
        </w:rPr>
        <w:t xml:space="preserve">      </w:t>
      </w:r>
      <w:r>
        <w:rPr>
          <w:rFonts w:ascii="Times New Roman" w:hAnsi="Times New Roman"/>
          <w:sz w:val="28"/>
          <w:szCs w:val="28"/>
        </w:rPr>
        <w:t xml:space="preserve"> </w:t>
      </w:r>
      <w:r w:rsidRPr="007B155A">
        <w:rPr>
          <w:rFonts w:ascii="Times New Roman" w:hAnsi="Times New Roman"/>
          <w:bCs/>
          <w:sz w:val="28"/>
          <w:szCs w:val="28"/>
        </w:rPr>
        <w:t>Министерство транспорта Российской Федерации</w:t>
      </w:r>
    </w:p>
    <w:p w:rsidR="00A61757" w:rsidRPr="007B155A" w:rsidRDefault="00A61757" w:rsidP="007B155A">
      <w:pPr>
        <w:spacing w:line="240" w:lineRule="auto"/>
        <w:ind w:firstLine="539"/>
        <w:jc w:val="center"/>
        <w:rPr>
          <w:rFonts w:ascii="Times New Roman" w:hAnsi="Times New Roman"/>
          <w:bCs/>
          <w:sz w:val="28"/>
          <w:szCs w:val="28"/>
        </w:rPr>
      </w:pPr>
      <w:r w:rsidRPr="007B155A">
        <w:rPr>
          <w:rFonts w:ascii="Times New Roman" w:hAnsi="Times New Roman"/>
          <w:bCs/>
          <w:sz w:val="28"/>
          <w:szCs w:val="28"/>
        </w:rPr>
        <w:t>Государственное образовательное учреждение</w:t>
      </w:r>
    </w:p>
    <w:p w:rsidR="00A61757" w:rsidRPr="007B155A" w:rsidRDefault="00A61757" w:rsidP="007B155A">
      <w:pPr>
        <w:spacing w:line="240" w:lineRule="auto"/>
        <w:ind w:firstLine="539"/>
        <w:jc w:val="center"/>
        <w:rPr>
          <w:rFonts w:ascii="Times New Roman" w:hAnsi="Times New Roman"/>
          <w:bCs/>
          <w:sz w:val="28"/>
          <w:szCs w:val="28"/>
        </w:rPr>
      </w:pPr>
      <w:r w:rsidRPr="007B155A">
        <w:rPr>
          <w:rFonts w:ascii="Times New Roman" w:hAnsi="Times New Roman"/>
          <w:bCs/>
          <w:sz w:val="28"/>
          <w:szCs w:val="28"/>
        </w:rPr>
        <w:t>высшего профессионального образования</w:t>
      </w:r>
    </w:p>
    <w:p w:rsidR="00A61757" w:rsidRPr="007B155A" w:rsidRDefault="00A61757" w:rsidP="007B155A">
      <w:pPr>
        <w:spacing w:line="240" w:lineRule="auto"/>
        <w:ind w:firstLine="539"/>
        <w:jc w:val="center"/>
        <w:rPr>
          <w:rFonts w:ascii="Times New Roman" w:hAnsi="Times New Roman"/>
          <w:bCs/>
          <w:sz w:val="28"/>
          <w:szCs w:val="28"/>
        </w:rPr>
      </w:pPr>
      <w:r w:rsidRPr="007B155A">
        <w:rPr>
          <w:rFonts w:ascii="Times New Roman" w:hAnsi="Times New Roman"/>
          <w:bCs/>
          <w:sz w:val="28"/>
          <w:szCs w:val="28"/>
        </w:rPr>
        <w:t>Волжская государственная академия водного транспорта</w:t>
      </w:r>
    </w:p>
    <w:p w:rsidR="00A61757" w:rsidRPr="007B155A" w:rsidRDefault="00A61757" w:rsidP="007B155A">
      <w:pPr>
        <w:spacing w:line="360" w:lineRule="auto"/>
        <w:ind w:firstLine="540"/>
        <w:jc w:val="center"/>
        <w:rPr>
          <w:rFonts w:ascii="Times New Roman" w:hAnsi="Times New Roman"/>
          <w:bCs/>
          <w:sz w:val="28"/>
          <w:szCs w:val="28"/>
        </w:rPr>
      </w:pPr>
    </w:p>
    <w:p w:rsidR="00A61757" w:rsidRPr="007B155A" w:rsidRDefault="00A61757" w:rsidP="007B155A">
      <w:pPr>
        <w:tabs>
          <w:tab w:val="left" w:pos="1470"/>
        </w:tabs>
        <w:spacing w:line="360" w:lineRule="auto"/>
        <w:ind w:firstLine="540"/>
        <w:jc w:val="center"/>
        <w:rPr>
          <w:rFonts w:ascii="Times New Roman" w:hAnsi="Times New Roman"/>
          <w:bCs/>
          <w:sz w:val="28"/>
          <w:szCs w:val="28"/>
        </w:rPr>
      </w:pPr>
    </w:p>
    <w:p w:rsidR="00A61757" w:rsidRPr="007B155A" w:rsidRDefault="00A61757" w:rsidP="007B155A">
      <w:pPr>
        <w:spacing w:line="360" w:lineRule="auto"/>
        <w:ind w:firstLine="540"/>
        <w:jc w:val="center"/>
        <w:rPr>
          <w:rFonts w:ascii="Times New Roman" w:hAnsi="Times New Roman"/>
          <w:bCs/>
          <w:sz w:val="28"/>
          <w:szCs w:val="28"/>
        </w:rPr>
      </w:pPr>
    </w:p>
    <w:p w:rsidR="00A61757" w:rsidRPr="007B155A" w:rsidRDefault="00A61757" w:rsidP="007B155A">
      <w:pPr>
        <w:spacing w:line="240" w:lineRule="auto"/>
        <w:rPr>
          <w:rFonts w:ascii="Times New Roman" w:hAnsi="Times New Roman"/>
          <w:bCs/>
          <w:sz w:val="28"/>
          <w:szCs w:val="28"/>
        </w:rPr>
      </w:pPr>
    </w:p>
    <w:p w:rsidR="00A61757" w:rsidRPr="007B155A" w:rsidRDefault="00A61757" w:rsidP="007B155A">
      <w:pPr>
        <w:spacing w:line="240" w:lineRule="auto"/>
        <w:ind w:firstLine="540"/>
        <w:jc w:val="center"/>
        <w:rPr>
          <w:rFonts w:ascii="Times New Roman" w:hAnsi="Times New Roman"/>
          <w:b/>
          <w:bCs/>
          <w:sz w:val="32"/>
          <w:szCs w:val="32"/>
        </w:rPr>
      </w:pPr>
      <w:r w:rsidRPr="007B155A">
        <w:rPr>
          <w:rFonts w:ascii="Times New Roman" w:hAnsi="Times New Roman"/>
          <w:b/>
          <w:bCs/>
          <w:sz w:val="32"/>
          <w:szCs w:val="32"/>
        </w:rPr>
        <w:t xml:space="preserve">Контрольная работа </w:t>
      </w:r>
    </w:p>
    <w:p w:rsidR="00A61757" w:rsidRDefault="00A61757" w:rsidP="007B155A">
      <w:pPr>
        <w:spacing w:line="240" w:lineRule="auto"/>
        <w:ind w:firstLine="540"/>
        <w:jc w:val="center"/>
        <w:rPr>
          <w:rFonts w:ascii="Times New Roman" w:hAnsi="Times New Roman"/>
          <w:bCs/>
          <w:sz w:val="32"/>
          <w:szCs w:val="32"/>
        </w:rPr>
      </w:pPr>
      <w:r w:rsidRPr="007B155A">
        <w:rPr>
          <w:rFonts w:ascii="Times New Roman" w:hAnsi="Times New Roman"/>
          <w:bCs/>
          <w:sz w:val="32"/>
          <w:szCs w:val="32"/>
        </w:rPr>
        <w:t>по дисциплине «</w:t>
      </w:r>
      <w:r w:rsidRPr="007B155A">
        <w:rPr>
          <w:rFonts w:ascii="Times New Roman" w:hAnsi="Times New Roman"/>
          <w:bCs/>
          <w:sz w:val="36"/>
          <w:szCs w:val="36"/>
        </w:rPr>
        <w:t>Рынок ценных бумаг</w:t>
      </w:r>
      <w:r w:rsidRPr="007B155A">
        <w:rPr>
          <w:rFonts w:ascii="Times New Roman" w:hAnsi="Times New Roman"/>
          <w:bCs/>
          <w:sz w:val="32"/>
          <w:szCs w:val="32"/>
        </w:rPr>
        <w:t>»</w:t>
      </w:r>
    </w:p>
    <w:p w:rsidR="00A61757" w:rsidRPr="007B155A" w:rsidRDefault="00A61757" w:rsidP="007B155A">
      <w:pPr>
        <w:spacing w:line="240" w:lineRule="auto"/>
        <w:ind w:firstLine="540"/>
        <w:jc w:val="center"/>
        <w:rPr>
          <w:rFonts w:ascii="Times New Roman" w:hAnsi="Times New Roman"/>
          <w:bCs/>
          <w:sz w:val="36"/>
          <w:szCs w:val="36"/>
        </w:rPr>
      </w:pPr>
      <w:r>
        <w:rPr>
          <w:rFonts w:ascii="Times New Roman" w:hAnsi="Times New Roman"/>
          <w:bCs/>
          <w:sz w:val="32"/>
          <w:szCs w:val="32"/>
        </w:rPr>
        <w:t xml:space="preserve">На тему: </w:t>
      </w:r>
      <w:r w:rsidRPr="007B155A">
        <w:rPr>
          <w:rFonts w:ascii="Times New Roman" w:hAnsi="Times New Roman"/>
          <w:bCs/>
          <w:sz w:val="36"/>
          <w:szCs w:val="36"/>
        </w:rPr>
        <w:t>«Рынок внутренних и внешних гособлигаций»</w:t>
      </w:r>
      <w:r>
        <w:rPr>
          <w:rFonts w:ascii="Times New Roman" w:hAnsi="Times New Roman"/>
          <w:bCs/>
          <w:sz w:val="36"/>
          <w:szCs w:val="36"/>
        </w:rPr>
        <w:t>.</w:t>
      </w:r>
    </w:p>
    <w:p w:rsidR="00A61757" w:rsidRDefault="00A61757" w:rsidP="007B155A">
      <w:pPr>
        <w:spacing w:line="360" w:lineRule="auto"/>
        <w:jc w:val="both"/>
        <w:rPr>
          <w:rFonts w:ascii="Times New Roman" w:hAnsi="Times New Roman"/>
          <w:bCs/>
          <w:sz w:val="28"/>
          <w:szCs w:val="28"/>
        </w:rPr>
      </w:pPr>
    </w:p>
    <w:p w:rsidR="00A61757" w:rsidRPr="007B155A" w:rsidRDefault="00A61757" w:rsidP="007B155A">
      <w:pPr>
        <w:spacing w:line="360" w:lineRule="auto"/>
        <w:ind w:firstLine="540"/>
        <w:jc w:val="both"/>
        <w:rPr>
          <w:rFonts w:ascii="Times New Roman" w:hAnsi="Times New Roman"/>
          <w:bCs/>
          <w:sz w:val="28"/>
          <w:szCs w:val="28"/>
        </w:rPr>
      </w:pPr>
    </w:p>
    <w:p w:rsidR="00A61757" w:rsidRPr="007B155A" w:rsidRDefault="00A61757" w:rsidP="007B155A">
      <w:pPr>
        <w:spacing w:line="240" w:lineRule="auto"/>
        <w:ind w:firstLine="539"/>
        <w:jc w:val="right"/>
        <w:rPr>
          <w:rFonts w:ascii="Times New Roman" w:hAnsi="Times New Roman"/>
          <w:bCs/>
          <w:sz w:val="28"/>
          <w:szCs w:val="28"/>
        </w:rPr>
      </w:pPr>
      <w:r w:rsidRPr="007B155A">
        <w:rPr>
          <w:rFonts w:ascii="Times New Roman" w:hAnsi="Times New Roman"/>
          <w:bCs/>
          <w:sz w:val="28"/>
          <w:szCs w:val="28"/>
        </w:rPr>
        <w:t>Выполнила студент гр. Ф-21, Ф-08-811,</w:t>
      </w:r>
    </w:p>
    <w:p w:rsidR="00A61757" w:rsidRPr="007B155A" w:rsidRDefault="00A61757" w:rsidP="007B155A">
      <w:pPr>
        <w:spacing w:line="240" w:lineRule="auto"/>
        <w:ind w:firstLine="539"/>
        <w:jc w:val="right"/>
        <w:rPr>
          <w:rFonts w:ascii="Times New Roman" w:hAnsi="Times New Roman"/>
          <w:bCs/>
          <w:sz w:val="28"/>
          <w:szCs w:val="28"/>
        </w:rPr>
      </w:pPr>
      <w:r w:rsidRPr="007B155A">
        <w:rPr>
          <w:rFonts w:ascii="Times New Roman" w:hAnsi="Times New Roman"/>
          <w:bCs/>
          <w:sz w:val="28"/>
          <w:szCs w:val="28"/>
        </w:rPr>
        <w:t xml:space="preserve">Отделения заочного обучения </w:t>
      </w:r>
    </w:p>
    <w:p w:rsidR="00A61757" w:rsidRPr="007B155A" w:rsidRDefault="00A61757" w:rsidP="007B155A">
      <w:pPr>
        <w:spacing w:line="360" w:lineRule="auto"/>
        <w:ind w:firstLine="540"/>
        <w:jc w:val="both"/>
        <w:rPr>
          <w:rFonts w:ascii="Times New Roman" w:hAnsi="Times New Roman"/>
          <w:bCs/>
          <w:sz w:val="28"/>
          <w:szCs w:val="28"/>
        </w:rPr>
      </w:pPr>
    </w:p>
    <w:p w:rsidR="00A61757" w:rsidRDefault="00A61757" w:rsidP="007B155A">
      <w:pPr>
        <w:spacing w:line="360" w:lineRule="auto"/>
        <w:jc w:val="both"/>
        <w:rPr>
          <w:rFonts w:ascii="Times New Roman" w:hAnsi="Times New Roman"/>
          <w:bCs/>
          <w:sz w:val="28"/>
          <w:szCs w:val="28"/>
        </w:rPr>
      </w:pPr>
    </w:p>
    <w:p w:rsidR="00A61757" w:rsidRPr="007B155A" w:rsidRDefault="00A61757" w:rsidP="007B155A">
      <w:pPr>
        <w:spacing w:line="360" w:lineRule="auto"/>
        <w:jc w:val="both"/>
        <w:rPr>
          <w:rFonts w:ascii="Times New Roman" w:hAnsi="Times New Roman"/>
          <w:bCs/>
          <w:sz w:val="28"/>
          <w:szCs w:val="28"/>
        </w:rPr>
      </w:pPr>
    </w:p>
    <w:p w:rsidR="00A61757" w:rsidRPr="007B155A" w:rsidRDefault="00A61757" w:rsidP="007B155A">
      <w:pPr>
        <w:spacing w:line="240" w:lineRule="auto"/>
        <w:ind w:firstLine="539"/>
        <w:jc w:val="center"/>
        <w:rPr>
          <w:rFonts w:ascii="Times New Roman" w:hAnsi="Times New Roman"/>
          <w:bCs/>
          <w:sz w:val="28"/>
          <w:szCs w:val="28"/>
        </w:rPr>
      </w:pPr>
      <w:r w:rsidRPr="007B155A">
        <w:rPr>
          <w:rFonts w:ascii="Times New Roman" w:hAnsi="Times New Roman"/>
          <w:bCs/>
          <w:sz w:val="28"/>
          <w:szCs w:val="28"/>
        </w:rPr>
        <w:t>Нижний Новгород</w:t>
      </w:r>
    </w:p>
    <w:p w:rsidR="00A61757" w:rsidRPr="007B155A" w:rsidRDefault="00A61757" w:rsidP="007B155A">
      <w:pPr>
        <w:spacing w:line="240" w:lineRule="auto"/>
        <w:ind w:firstLine="539"/>
        <w:jc w:val="center"/>
        <w:rPr>
          <w:rFonts w:ascii="Times New Roman" w:hAnsi="Times New Roman"/>
          <w:bCs/>
          <w:sz w:val="28"/>
          <w:szCs w:val="28"/>
        </w:rPr>
      </w:pPr>
      <w:r>
        <w:rPr>
          <w:rFonts w:ascii="Times New Roman" w:hAnsi="Times New Roman"/>
          <w:bCs/>
          <w:sz w:val="28"/>
          <w:szCs w:val="28"/>
        </w:rPr>
        <w:t>2010</w:t>
      </w:r>
      <w:r w:rsidRPr="007B155A">
        <w:rPr>
          <w:rFonts w:ascii="Times New Roman" w:hAnsi="Times New Roman"/>
          <w:bCs/>
          <w:sz w:val="28"/>
          <w:szCs w:val="28"/>
        </w:rPr>
        <w:t xml:space="preserve"> год</w:t>
      </w:r>
    </w:p>
    <w:p w:rsidR="00A61757" w:rsidRPr="007B155A" w:rsidRDefault="00A61757" w:rsidP="007B155A">
      <w:pPr>
        <w:spacing w:line="360" w:lineRule="auto"/>
        <w:ind w:firstLine="540"/>
        <w:jc w:val="center"/>
        <w:rPr>
          <w:rFonts w:ascii="Times New Roman" w:hAnsi="Times New Roman"/>
          <w:bCs/>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C25C03" w:rsidRDefault="00A61757" w:rsidP="007B155A">
      <w:pPr>
        <w:spacing w:after="0" w:line="360" w:lineRule="auto"/>
        <w:ind w:right="-426"/>
        <w:jc w:val="both"/>
        <w:rPr>
          <w:rFonts w:ascii="Times New Roman" w:hAnsi="Times New Roman"/>
          <w:sz w:val="28"/>
          <w:szCs w:val="28"/>
        </w:rPr>
      </w:pPr>
    </w:p>
    <w:p w:rsidR="00A61757" w:rsidRPr="00C25C03" w:rsidRDefault="00A61757" w:rsidP="007B155A">
      <w:pPr>
        <w:spacing w:after="0" w:line="360" w:lineRule="auto"/>
        <w:ind w:right="-426"/>
        <w:jc w:val="both"/>
        <w:rPr>
          <w:rFonts w:ascii="Times New Roman" w:hAnsi="Times New Roman"/>
          <w:sz w:val="28"/>
          <w:szCs w:val="28"/>
        </w:rPr>
      </w:pPr>
    </w:p>
    <w:p w:rsidR="00A61757" w:rsidRPr="00C25C03" w:rsidRDefault="00A61757" w:rsidP="007B155A">
      <w:pPr>
        <w:spacing w:after="0" w:line="360" w:lineRule="auto"/>
        <w:ind w:right="-426"/>
        <w:jc w:val="both"/>
        <w:rPr>
          <w:rFonts w:ascii="Times New Roman" w:hAnsi="Times New Roman"/>
          <w:sz w:val="28"/>
          <w:szCs w:val="28"/>
        </w:rPr>
      </w:pPr>
    </w:p>
    <w:p w:rsidR="00A61757" w:rsidRPr="00C25C03" w:rsidRDefault="00A61757" w:rsidP="007B155A">
      <w:pPr>
        <w:spacing w:after="0" w:line="360" w:lineRule="auto"/>
        <w:ind w:right="-426"/>
        <w:jc w:val="both"/>
        <w:rPr>
          <w:rFonts w:ascii="Times New Roman" w:hAnsi="Times New Roman"/>
          <w:sz w:val="28"/>
          <w:szCs w:val="28"/>
        </w:rPr>
      </w:pPr>
    </w:p>
    <w:p w:rsidR="00A61757" w:rsidRPr="00C25C03"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rPr>
      </w:pPr>
    </w:p>
    <w:p w:rsidR="00A61757" w:rsidRPr="007B155A" w:rsidRDefault="00A61757" w:rsidP="007B155A">
      <w:pPr>
        <w:spacing w:after="0" w:line="360" w:lineRule="auto"/>
        <w:ind w:right="-426"/>
        <w:jc w:val="both"/>
        <w:rPr>
          <w:rFonts w:ascii="Times New Roman" w:hAnsi="Times New Roman"/>
          <w:sz w:val="28"/>
          <w:szCs w:val="28"/>
          <w:u w:val="single"/>
        </w:rPr>
      </w:pP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u w:val="single"/>
        </w:rPr>
        <w:t>Условия выпуска государственных облигаций.</w:t>
      </w:r>
      <w:r>
        <w:rPr>
          <w:rFonts w:ascii="Times New Roman" w:hAnsi="Times New Roman"/>
          <w:sz w:val="28"/>
          <w:szCs w:val="28"/>
        </w:rPr>
        <w:t xml:space="preserve">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Общие принципы функционирования российского рынка государственных облигаций были разработаны в рамках Российско-американского банковского форума. Для их реализации в Банке России было создано Управление ценных бумаг, занимающееся размещением гособлигаций, операциями на вторичном рынке и расчетами между участниками рынка ГКО. В июле 1992 г. Банк России провел конкурс среди российских бирж, победителем которого была признана Московская межбанковская валютная биржа (ММВБ). Ей было поручено создание, и поддержание технологической части рынка ГКО - торговой, расчетной и депозитарной систем. </w:t>
      </w:r>
      <w:r w:rsidRPr="007B155A">
        <w:rPr>
          <w:rFonts w:ascii="Times New Roman" w:hAnsi="Times New Roman"/>
          <w:sz w:val="28"/>
          <w:szCs w:val="28"/>
        </w:rPr>
        <w:br/>
        <w:t xml:space="preserve">        К непосредственным операциям на рынке ГКО допускаются только специально отобранные Банком России дилеры, пе</w:t>
      </w:r>
      <w:r>
        <w:rPr>
          <w:rFonts w:ascii="Times New Roman" w:hAnsi="Times New Roman"/>
          <w:sz w:val="28"/>
          <w:szCs w:val="28"/>
        </w:rPr>
        <w:t>рвоначальное количество</w:t>
      </w:r>
      <w:r w:rsidRPr="007B155A">
        <w:rPr>
          <w:rFonts w:ascii="Times New Roman" w:hAnsi="Times New Roman"/>
          <w:sz w:val="28"/>
          <w:szCs w:val="28"/>
        </w:rPr>
        <w:t xml:space="preserve"> </w:t>
      </w:r>
      <w:r>
        <w:rPr>
          <w:rFonts w:ascii="Times New Roman" w:hAnsi="Times New Roman"/>
          <w:sz w:val="28"/>
          <w:szCs w:val="28"/>
        </w:rPr>
        <w:t>которых</w:t>
      </w:r>
      <w:r w:rsidRPr="007B155A">
        <w:rPr>
          <w:rFonts w:ascii="Times New Roman" w:hAnsi="Times New Roman"/>
          <w:sz w:val="28"/>
          <w:szCs w:val="28"/>
        </w:rPr>
        <w:t xml:space="preserve">  </w:t>
      </w:r>
      <w:r>
        <w:rPr>
          <w:rFonts w:ascii="Times New Roman" w:hAnsi="Times New Roman"/>
          <w:sz w:val="28"/>
          <w:szCs w:val="28"/>
        </w:rPr>
        <w:t>составляло</w:t>
      </w:r>
      <w:r w:rsidRPr="007B155A">
        <w:rPr>
          <w:rFonts w:ascii="Times New Roman" w:hAnsi="Times New Roman"/>
          <w:sz w:val="28"/>
          <w:szCs w:val="28"/>
        </w:rPr>
        <w:t xml:space="preserve"> </w:t>
      </w:r>
      <w:r>
        <w:rPr>
          <w:rFonts w:ascii="Times New Roman" w:hAnsi="Times New Roman"/>
          <w:sz w:val="28"/>
          <w:szCs w:val="28"/>
        </w:rPr>
        <w:t>24.</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18 мая 1993 г. на ММВБ прошел первый аук</w:t>
      </w:r>
      <w:r>
        <w:rPr>
          <w:rFonts w:ascii="Times New Roman" w:hAnsi="Times New Roman"/>
          <w:sz w:val="28"/>
          <w:szCs w:val="28"/>
        </w:rPr>
        <w:t>цион по размещению трехмесячных</w:t>
      </w:r>
      <w:r w:rsidRPr="007B155A">
        <w:rPr>
          <w:rFonts w:ascii="Times New Roman" w:hAnsi="Times New Roman"/>
          <w:sz w:val="28"/>
          <w:szCs w:val="28"/>
        </w:rPr>
        <w:t xml:space="preserve"> </w:t>
      </w:r>
      <w:r>
        <w:rPr>
          <w:rFonts w:ascii="Times New Roman" w:hAnsi="Times New Roman"/>
          <w:sz w:val="28"/>
          <w:szCs w:val="28"/>
        </w:rPr>
        <w:t xml:space="preserve">ГКО.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Основными документами, регулирующими рынок ГКО, являются постановление Совета Министров - Правительства РФ № 107 (5, 6, 7), постановление Верховного Совета РФ от 19.02.93 г. (8) и приказ Центрального банка РФ от 06.05.93 г., утвердивший Положение об обслуживании и обращении выпусков государственных краткосрочных бескупонных обл</w:t>
      </w:r>
      <w:r>
        <w:rPr>
          <w:rFonts w:ascii="Times New Roman" w:hAnsi="Times New Roman"/>
          <w:sz w:val="28"/>
          <w:szCs w:val="28"/>
        </w:rPr>
        <w:t>игаций(9,</w:t>
      </w:r>
      <w:r w:rsidRPr="007B155A">
        <w:rPr>
          <w:rFonts w:ascii="Times New Roman" w:hAnsi="Times New Roman"/>
          <w:sz w:val="28"/>
          <w:szCs w:val="28"/>
        </w:rPr>
        <w:t xml:space="preserve">10). </w:t>
      </w:r>
      <w:r w:rsidRPr="007B155A">
        <w:rPr>
          <w:rFonts w:ascii="Times New Roman" w:hAnsi="Times New Roman"/>
          <w:sz w:val="28"/>
          <w:szCs w:val="28"/>
        </w:rPr>
        <w:br/>
        <w:t xml:space="preserve">      Эмитентом ГКО является Министерство финансов РФ. При принятии решения о выпуске оно определяет его предельный объем, период размещения и ограничения на потенциальных покупателей. Банк России проводит размещение, обслуживание и гарантирует своевременное погашение выпущенных облигаций. Эмиссия осуществляется в виде отдельных выпусков на срок до одного года (3, 6 и 12 месяцев). Номинал облигаций, выпущенных до 27 сентября 1994 г., составлял 100 тыс. рублей. С 27 сентября 1994 г. номинал облигаций равен 1 000 000 рублей. Размещение их происходит в виде аукциона с дисконтом от номинальной цены. Облигации на имеют купонов. </w:t>
      </w:r>
      <w:r w:rsidRPr="007B155A">
        <w:rPr>
          <w:rFonts w:ascii="Times New Roman" w:hAnsi="Times New Roman"/>
          <w:sz w:val="28"/>
          <w:szCs w:val="28"/>
        </w:rPr>
        <w:br/>
        <w:t xml:space="preserve">    Выпуск облигаций осуществляется на безбумажной основе и виде записей на счетах "депо". Каждый выпуск оформляется глобальным сертификатом в двух подлинных экземплярах, хранящихся вечно в Министерстве финансов РФ и Банке России. </w:t>
      </w:r>
      <w:r w:rsidRPr="007B155A">
        <w:rPr>
          <w:rFonts w:ascii="Times New Roman" w:hAnsi="Times New Roman"/>
          <w:sz w:val="28"/>
          <w:szCs w:val="28"/>
        </w:rPr>
        <w:br/>
        <w:t xml:space="preserve">     Каждому выпуску присваивается номер государственной регистрации, состоящий из девяти значащихся разрядов: </w:t>
      </w:r>
      <w:r w:rsidRPr="007B155A">
        <w:rPr>
          <w:rFonts w:ascii="Times New Roman" w:hAnsi="Times New Roman"/>
          <w:sz w:val="28"/>
          <w:szCs w:val="28"/>
        </w:rPr>
        <w:br/>
        <w:t xml:space="preserve">Х1Х2Х3Х4Х5Х6Х7Х8Х9, </w:t>
      </w:r>
      <w:r w:rsidRPr="007B155A">
        <w:rPr>
          <w:rFonts w:ascii="Times New Roman" w:hAnsi="Times New Roman"/>
          <w:sz w:val="28"/>
          <w:szCs w:val="28"/>
        </w:rPr>
        <w:br/>
        <w:t xml:space="preserve">     где Х1 - цифра "2", указывающая на вид ценной бумаги - долговое обязательство; </w:t>
      </w:r>
      <w:r w:rsidRPr="007B155A">
        <w:rPr>
          <w:rFonts w:ascii="Times New Roman" w:hAnsi="Times New Roman"/>
          <w:sz w:val="28"/>
          <w:szCs w:val="28"/>
        </w:rPr>
        <w:br/>
        <w:t xml:space="preserve">     </w:t>
      </w:r>
      <w:r>
        <w:rPr>
          <w:rFonts w:ascii="Times New Roman" w:hAnsi="Times New Roman"/>
          <w:sz w:val="28"/>
          <w:szCs w:val="28"/>
        </w:rPr>
        <w:t>Х2-указывает</w:t>
      </w:r>
      <w:r w:rsidRPr="007B155A">
        <w:rPr>
          <w:rFonts w:ascii="Times New Roman" w:hAnsi="Times New Roman"/>
          <w:sz w:val="28"/>
          <w:szCs w:val="28"/>
        </w:rPr>
        <w:t xml:space="preserve"> </w:t>
      </w:r>
      <w:r>
        <w:rPr>
          <w:rFonts w:ascii="Times New Roman" w:hAnsi="Times New Roman"/>
          <w:sz w:val="28"/>
          <w:szCs w:val="28"/>
        </w:rPr>
        <w:t>на</w:t>
      </w:r>
      <w:r w:rsidRPr="007B155A">
        <w:rPr>
          <w:rFonts w:ascii="Times New Roman" w:hAnsi="Times New Roman"/>
          <w:sz w:val="28"/>
          <w:szCs w:val="28"/>
        </w:rPr>
        <w:t xml:space="preserve"> </w:t>
      </w:r>
      <w:r>
        <w:rPr>
          <w:rFonts w:ascii="Times New Roman" w:hAnsi="Times New Roman"/>
          <w:sz w:val="28"/>
          <w:szCs w:val="28"/>
        </w:rPr>
        <w:t>тип</w:t>
      </w:r>
      <w:r w:rsidRPr="007B155A">
        <w:rPr>
          <w:rFonts w:ascii="Times New Roman" w:hAnsi="Times New Roman"/>
          <w:sz w:val="28"/>
          <w:szCs w:val="28"/>
        </w:rPr>
        <w:t xml:space="preserve"> </w:t>
      </w:r>
      <w:r>
        <w:rPr>
          <w:rFonts w:ascii="Times New Roman" w:hAnsi="Times New Roman"/>
          <w:sz w:val="28"/>
          <w:szCs w:val="28"/>
        </w:rPr>
        <w:t>ценной</w:t>
      </w:r>
      <w:r w:rsidRPr="007B155A">
        <w:rPr>
          <w:rFonts w:ascii="Times New Roman" w:hAnsi="Times New Roman"/>
          <w:sz w:val="28"/>
          <w:szCs w:val="28"/>
        </w:rPr>
        <w:t xml:space="preserve"> </w:t>
      </w:r>
      <w:r>
        <w:rPr>
          <w:rFonts w:ascii="Times New Roman" w:hAnsi="Times New Roman"/>
          <w:sz w:val="28"/>
          <w:szCs w:val="28"/>
        </w:rPr>
        <w:t xml:space="preserve">бумаги: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"1"</w:t>
      </w:r>
      <w:r>
        <w:rPr>
          <w:rFonts w:ascii="Times New Roman" w:hAnsi="Times New Roman"/>
          <w:sz w:val="28"/>
          <w:szCs w:val="28"/>
        </w:rPr>
        <w:t xml:space="preserve"> - для трехмесячных облигаций,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"2" </w:t>
      </w:r>
      <w:r>
        <w:rPr>
          <w:rFonts w:ascii="Times New Roman" w:hAnsi="Times New Roman"/>
          <w:sz w:val="28"/>
          <w:szCs w:val="28"/>
        </w:rPr>
        <w:t xml:space="preserve">- для шестимесячных облигаций,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"3" - для</w:t>
      </w:r>
      <w:r>
        <w:rPr>
          <w:rFonts w:ascii="Times New Roman" w:hAnsi="Times New Roman"/>
          <w:sz w:val="28"/>
          <w:szCs w:val="28"/>
        </w:rPr>
        <w:t xml:space="preserve"> двенадцатимесячных облигаций;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Х3Х4Х5 - порядковый номер выпуска данного типа; </w:t>
      </w:r>
      <w:r w:rsidRPr="007B155A">
        <w:rPr>
          <w:rFonts w:ascii="Times New Roman" w:hAnsi="Times New Roman"/>
          <w:sz w:val="28"/>
          <w:szCs w:val="28"/>
        </w:rPr>
        <w:br/>
        <w:t>Х6Х7Х8 - буквы "RMF" (Russian Ministry of Finance) - указывают на эмитента;</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Х9 - буква "S" - указывает, что данная ценная бумага государственная. </w:t>
      </w:r>
      <w:r w:rsidRPr="007B155A">
        <w:rPr>
          <w:rFonts w:ascii="Times New Roman" w:hAnsi="Times New Roman"/>
          <w:sz w:val="28"/>
          <w:szCs w:val="28"/>
        </w:rPr>
        <w:br/>
        <w:t>Соответственно, выпуск № 23001RMFS является первым выпуском</w:t>
      </w:r>
      <w:r>
        <w:rPr>
          <w:rFonts w:ascii="Times New Roman" w:hAnsi="Times New Roman"/>
          <w:sz w:val="28"/>
          <w:szCs w:val="28"/>
        </w:rPr>
        <w:t xml:space="preserve"> двенадцатимесячных облигаций.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Сведения о параметрах очередного выпуска объявляются не позднее, чем за семь дней до его размещения. Владельцами ГКО могут быть российские юридические и физические лица, а также нерезиденты, с учетом ограничений, устанавливаемых отдельно от каждого выпуска. </w:t>
      </w:r>
      <w:r w:rsidRPr="007B155A">
        <w:rPr>
          <w:rFonts w:ascii="Times New Roman" w:hAnsi="Times New Roman"/>
          <w:sz w:val="28"/>
          <w:szCs w:val="28"/>
        </w:rPr>
        <w:br/>
        <w:t>Выпуск ГКО считается состоявшимся, если в период его размещения было продано не менее двадцати процентов от количества облига</w:t>
      </w:r>
      <w:r>
        <w:rPr>
          <w:rFonts w:ascii="Times New Roman" w:hAnsi="Times New Roman"/>
          <w:sz w:val="28"/>
          <w:szCs w:val="28"/>
        </w:rPr>
        <w:t xml:space="preserve">ций, предлагавшихся к выпуску.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Обращение облигаций может осуществляться только в результате заключения договоров купли-продажи. Переход права собственности от одного владельца к другому наступает в момент перевода облигаций на счет "депо" их нового владельца. Московская межбанковская валютная биржа за проведение операций на рынке ГКО взимает комиссию в размере 0,1 % от суммы каждой сделки, кроме операций по погашению облигаций. </w:t>
      </w:r>
      <w:r w:rsidRPr="007B155A">
        <w:rPr>
          <w:rFonts w:ascii="Times New Roman" w:hAnsi="Times New Roman"/>
          <w:sz w:val="28"/>
          <w:szCs w:val="28"/>
        </w:rPr>
        <w:br/>
        <w:t xml:space="preserve">       В ходе функционирования рынка ГКО могут возникать следующие ситуации: </w:t>
      </w:r>
      <w:r w:rsidRPr="007B155A">
        <w:rPr>
          <w:rFonts w:ascii="Times New Roman" w:hAnsi="Times New Roman"/>
          <w:sz w:val="28"/>
          <w:szCs w:val="28"/>
        </w:rPr>
        <w:br/>
        <w:t xml:space="preserve">1. проводится аукцион по размещению ГКО без погашения предыдущих выпусков; </w:t>
      </w:r>
      <w:r w:rsidRPr="007B155A">
        <w:rPr>
          <w:rFonts w:ascii="Times New Roman" w:hAnsi="Times New Roman"/>
          <w:sz w:val="28"/>
          <w:szCs w:val="28"/>
        </w:rPr>
        <w:br/>
        <w:t xml:space="preserve">2. проводится аукцион по размещению ГКО с одновременным погашением предыдущих выпусков, и выручка от реализации облигаций больше суммы погашения; </w:t>
      </w:r>
      <w:r w:rsidRPr="007B155A">
        <w:rPr>
          <w:rFonts w:ascii="Times New Roman" w:hAnsi="Times New Roman"/>
          <w:sz w:val="28"/>
          <w:szCs w:val="28"/>
        </w:rPr>
        <w:br/>
        <w:t xml:space="preserve">3. проводится аукцион по размещению ГКО с одновременным погашением предыдущих выпусков, и выручка от реализации меньше суммы погашения; </w:t>
      </w:r>
      <w:r w:rsidRPr="007B155A">
        <w:rPr>
          <w:rFonts w:ascii="Times New Roman" w:hAnsi="Times New Roman"/>
          <w:sz w:val="28"/>
          <w:szCs w:val="28"/>
        </w:rPr>
        <w:br/>
        <w:t xml:space="preserve">4. происходит погашение выпусков ГКО без проведения первичного аукциона. </w:t>
      </w:r>
      <w:r w:rsidRPr="007B155A">
        <w:rPr>
          <w:rFonts w:ascii="Times New Roman" w:hAnsi="Times New Roman"/>
          <w:sz w:val="28"/>
          <w:szCs w:val="28"/>
        </w:rPr>
        <w:br/>
        <w:t xml:space="preserve">      Действия Министерства финансов РФ и Банка России в этих случаях обговорены специальным договором № 5-2-1 "О размещении и обслуживании выпусков государственных краткосрочных бескупонны</w:t>
      </w:r>
      <w:r>
        <w:rPr>
          <w:rFonts w:ascii="Times New Roman" w:hAnsi="Times New Roman"/>
          <w:sz w:val="28"/>
          <w:szCs w:val="28"/>
        </w:rPr>
        <w:t xml:space="preserve">х облигаций" от 6 мая 1993 г.. </w:t>
      </w:r>
    </w:p>
    <w:p w:rsidR="00A61757" w:rsidRPr="007B155A" w:rsidRDefault="00A61757" w:rsidP="007B155A">
      <w:pPr>
        <w:spacing w:after="0" w:line="360" w:lineRule="auto"/>
        <w:ind w:right="-426"/>
        <w:jc w:val="both"/>
        <w:rPr>
          <w:rFonts w:ascii="Times New Roman" w:hAnsi="Times New Roman"/>
          <w:sz w:val="28"/>
          <w:szCs w:val="28"/>
          <w:u w:val="single"/>
        </w:rPr>
      </w:pPr>
      <w:r w:rsidRPr="007B155A">
        <w:rPr>
          <w:rFonts w:ascii="Times New Roman" w:hAnsi="Times New Roman"/>
          <w:sz w:val="28"/>
          <w:szCs w:val="28"/>
        </w:rPr>
        <w:t xml:space="preserve">       В первом случае Банк России обязан зачислить полученную выручку в пятидневный срок после проведения аукциона в республиканский бюджет. </w:t>
      </w:r>
      <w:r w:rsidRPr="007B155A">
        <w:rPr>
          <w:rFonts w:ascii="Times New Roman" w:hAnsi="Times New Roman"/>
          <w:sz w:val="28"/>
          <w:szCs w:val="28"/>
        </w:rPr>
        <w:br/>
      </w:r>
      <w:r>
        <w:rPr>
          <w:rFonts w:ascii="Times New Roman" w:hAnsi="Times New Roman"/>
          <w:sz w:val="28"/>
          <w:szCs w:val="28"/>
        </w:rPr>
        <w:t xml:space="preserve">        </w:t>
      </w:r>
      <w:r w:rsidRPr="007B155A">
        <w:rPr>
          <w:rFonts w:ascii="Times New Roman" w:hAnsi="Times New Roman"/>
          <w:sz w:val="28"/>
          <w:szCs w:val="28"/>
        </w:rPr>
        <w:t xml:space="preserve">Во втором случает Банк России из выручки от реализации облигаций покрывает расходы по погашению предыдущих выпусков и оставшиеся средства направляет в республиканский бюджет. </w:t>
      </w:r>
      <w:r w:rsidRPr="007B155A">
        <w:rPr>
          <w:rFonts w:ascii="Times New Roman" w:hAnsi="Times New Roman"/>
          <w:sz w:val="28"/>
          <w:szCs w:val="28"/>
        </w:rPr>
        <w:br/>
        <w:t xml:space="preserve">        В третьем случае могут возникать две ситуации. Если объем размещаемого выпуска превосходит параметры погашаемых, но в результате аукциона получена меньшая сумма, то Банк России обязан приобрести облигации размещаемого выпуска по средневзвешенной цене в объеме, обеспечивающем полное покрытие недостающих сумм, но в пределах лимита, установленного для кредитования Банком России федерального бюджета. В случае если этих мер будет недостаточно. Или в случае 4), Министерство финансов РФ направляет на выполнение своих обязательств бюджетные средства. </w:t>
      </w:r>
      <w:r w:rsidRPr="007B155A">
        <w:rPr>
          <w:rFonts w:ascii="Times New Roman" w:hAnsi="Times New Roman"/>
          <w:sz w:val="28"/>
          <w:szCs w:val="28"/>
        </w:rPr>
        <w:br/>
      </w:r>
      <w:r w:rsidRPr="007B155A">
        <w:rPr>
          <w:rFonts w:ascii="Times New Roman" w:hAnsi="Times New Roman"/>
          <w:sz w:val="28"/>
          <w:szCs w:val="28"/>
        </w:rPr>
        <w:br/>
      </w:r>
      <w:r w:rsidRPr="007B155A">
        <w:rPr>
          <w:rFonts w:ascii="Times New Roman" w:hAnsi="Times New Roman"/>
          <w:sz w:val="28"/>
          <w:szCs w:val="28"/>
          <w:u w:val="single"/>
        </w:rPr>
        <w:t xml:space="preserve">Участники рынка ГКО.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Участники рынка ГКО подразделяются на две категории: Дилеры и Инвесторы. Дилерами быть только инвестиционные институты и банки, заключившие договор с Банком России на выполнение функций по обслуживанию операций с ГКО. Их количество ограничено. Дилер может совершать следки от своего имени при заключении сделок от своего имени, за счет и по поручению Инвесторов. Под Инвесторами при этом подразумеваются любые юридические и физические лица, приобретающие облигации и имеющие право на владение ими. </w:t>
      </w:r>
      <w:r w:rsidRPr="007B155A">
        <w:rPr>
          <w:rFonts w:ascii="Times New Roman" w:hAnsi="Times New Roman"/>
          <w:sz w:val="28"/>
          <w:szCs w:val="28"/>
        </w:rPr>
        <w:br/>
        <w:t xml:space="preserve">Инвестор обязан заключить с Дилером договор на обслуживание. Этот договор определяет порядок приобретения, владения и продажи Инвестором облигаций, а также права и обязанности сторон. </w:t>
      </w:r>
      <w:r w:rsidRPr="007B155A">
        <w:rPr>
          <w:rFonts w:ascii="Times New Roman" w:hAnsi="Times New Roman"/>
          <w:sz w:val="28"/>
          <w:szCs w:val="28"/>
        </w:rPr>
        <w:br/>
        <w:t xml:space="preserve">Договором между Банком России и Дилером оговариваются права и обязанности обеих сторон. При этом каждому Дилеру присваивается уникальный код, который указывается во всех операционных, регистрационных и учетных документах, связанных с операциями данного Дилера от своего имени и за свой счет. </w:t>
      </w:r>
      <w:r w:rsidRPr="007B155A">
        <w:rPr>
          <w:rFonts w:ascii="Times New Roman" w:hAnsi="Times New Roman"/>
          <w:sz w:val="28"/>
          <w:szCs w:val="28"/>
        </w:rPr>
        <w:br/>
        <w:t xml:space="preserve">Банк России может приостановить на срок до 1 месяца сделки Дилера по купле-продаже облигаций, если тот нарушает законодательство и инструкции. Он также может без объяснения причин расторгнуть договор с Дилером, предупредив последнего за 1 месяц. Кроме этого, Банк России оставляет за собой право контролировать все операции Дилера на рынке ГКО и получать отчеты о состоянии его субдепозитария. Все изменения действующих инструкций по ГКО доводятся до Дилера в трехдневный срок. </w:t>
      </w:r>
      <w:r w:rsidRPr="007B155A">
        <w:rPr>
          <w:rFonts w:ascii="Times New Roman" w:hAnsi="Times New Roman"/>
          <w:sz w:val="28"/>
          <w:szCs w:val="28"/>
        </w:rPr>
        <w:br/>
        <w:t xml:space="preserve">Дилер, в свою очередь, имеет право расторгнуть договор с Банком России без объяснения причин с предупреждением за 1 месяц. Он принимает на себя обязательство осуществлять операции с ГКО только в рамках Торговой и Рачетной систем.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Перед работой и Инвесторами Дилер должен заключить с ними договор на обслуживание с присвоением Инвесторам регистрационных кодов и оговоркой права передачи информации о сделках в Банк России. </w:t>
      </w:r>
      <w:r w:rsidRPr="007B155A">
        <w:rPr>
          <w:rFonts w:ascii="Times New Roman" w:hAnsi="Times New Roman"/>
          <w:sz w:val="28"/>
          <w:szCs w:val="28"/>
        </w:rPr>
        <w:br/>
        <w:t>Поручения на покупку или продажу облигаций от Инвестора Дилер может принимать только заключения договоров комиссии. В договоре на обслуживание Дилер обычно принимает на себя следующие обязательства: принимать к исполнению поручения Инвестора, соблюдая при их исполнении исключительно его интересы; предоставлять Инвестору необходимую информацию, соблюдая при этом условия конфиденциальность, договоренности и своевременности; незамедлительно извещать Инвестора о наступлении обстоятельств, ведущих к нарушению его интересов. Инвестор, в свою очередь, обязуется: не производить с ГКО никаких операций, кроме купли-продажи облигаций, купленных Инвестором или приобретенных на основе полного правопреемства; неукоснительно соблюдать взятые обязательства; предоставлять Дилеру необходимую информацию д</w:t>
      </w:r>
      <w:r>
        <w:rPr>
          <w:rFonts w:ascii="Times New Roman" w:hAnsi="Times New Roman"/>
          <w:sz w:val="28"/>
          <w:szCs w:val="28"/>
        </w:rPr>
        <w:t xml:space="preserve">ля выполнения своих поручений. </w:t>
      </w:r>
    </w:p>
    <w:p w:rsidR="00A61757" w:rsidRPr="007B155A" w:rsidRDefault="00A61757" w:rsidP="007B155A">
      <w:pPr>
        <w:spacing w:after="0" w:line="360" w:lineRule="auto"/>
        <w:ind w:right="-426"/>
        <w:jc w:val="both"/>
        <w:rPr>
          <w:rFonts w:ascii="Times New Roman" w:hAnsi="Times New Roman"/>
          <w:sz w:val="28"/>
          <w:szCs w:val="28"/>
          <w:u w:val="single"/>
        </w:rPr>
      </w:pPr>
      <w:r w:rsidRPr="007B155A">
        <w:rPr>
          <w:rFonts w:ascii="Times New Roman" w:hAnsi="Times New Roman"/>
          <w:sz w:val="28"/>
          <w:szCs w:val="28"/>
        </w:rPr>
        <w:t xml:space="preserve">        В сделках Дилера от своего имени запрещается использовать облигации Инвесторов. Он не может отвечать последними по своим обязательствам. </w:t>
      </w:r>
      <w:r w:rsidRPr="007B155A">
        <w:rPr>
          <w:rFonts w:ascii="Times New Roman" w:hAnsi="Times New Roman"/>
          <w:sz w:val="28"/>
          <w:szCs w:val="28"/>
        </w:rPr>
        <w:br/>
        <w:t xml:space="preserve">В договоре о выполнении функций Дилера на рынке ГКО, заключаемом с Банком России, первоначально было установлено, что Дилер обязан подавать на каждый аукцион по размещению облигаций заявку на приобретение не менее 1% объявленного номинального объема выпуска. В течение же срока действия договора с Банком России он должен приобрести на аукционах не менее 1% от общего количества проданных облигаций. Однако впоследствии Банк России снизил кводу минимальной заявки на аукцион до 0,25% для трехмесячных облигаций и до 0,5% для шестимесячных об объема эмиссии. Начиная с сентября 1994 г. квота по шестимесячным ГКО была поднята до 0,75%. </w:t>
      </w:r>
      <w:r w:rsidRPr="007B155A">
        <w:rPr>
          <w:rFonts w:ascii="Times New Roman" w:hAnsi="Times New Roman"/>
          <w:sz w:val="28"/>
          <w:szCs w:val="28"/>
        </w:rPr>
        <w:br/>
        <w:t xml:space="preserve">     Запрещается предварительный сговор Дилеров по ценовым условиям аукциона. </w:t>
      </w:r>
      <w:r w:rsidRPr="007B155A">
        <w:rPr>
          <w:rFonts w:ascii="Times New Roman" w:hAnsi="Times New Roman"/>
          <w:sz w:val="28"/>
          <w:szCs w:val="28"/>
        </w:rPr>
        <w:br/>
      </w:r>
      <w:r w:rsidRPr="007B155A">
        <w:rPr>
          <w:rFonts w:ascii="Times New Roman" w:hAnsi="Times New Roman"/>
          <w:sz w:val="28"/>
          <w:szCs w:val="28"/>
        </w:rPr>
        <w:br/>
      </w:r>
      <w:r w:rsidRPr="007B155A">
        <w:rPr>
          <w:rFonts w:ascii="Times New Roman" w:hAnsi="Times New Roman"/>
          <w:sz w:val="28"/>
          <w:szCs w:val="28"/>
          <w:u w:val="single"/>
        </w:rPr>
        <w:t xml:space="preserve">Первичное размещение облигаций.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Для организации первичного размещения и вторичных торгов облигациями на ММВБ создана Торговая система. Она организует проведение торгов, регистрацию сделок, составление расчетных документов по совершенным сделкам и представление их в Расчетную систему и Депозитарий. Торговой системе также запрещено выполнять</w:t>
      </w:r>
      <w:r>
        <w:rPr>
          <w:rFonts w:ascii="Times New Roman" w:hAnsi="Times New Roman"/>
          <w:sz w:val="28"/>
          <w:szCs w:val="28"/>
        </w:rPr>
        <w:t xml:space="preserve"> функции Дилера или Инвестора.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Размещение ГКО осуществляется в форме аукциона, проводимого Банком России по поручению Министерства финансов Российской Федерации. Дата аукциона, предельных объем выпуска, место и время проведения объявляется Банком России не позднее чем за 7 календарных дней до его проведения. В объявлении могут содержаться ограничения на участие в аукционе нерезидентов. </w:t>
      </w:r>
      <w:r w:rsidRPr="007B155A">
        <w:rPr>
          <w:rFonts w:ascii="Times New Roman" w:hAnsi="Times New Roman"/>
          <w:sz w:val="28"/>
          <w:szCs w:val="28"/>
        </w:rPr>
        <w:br/>
        <w:t xml:space="preserve">       На аукцион дилеры подают две заявки - от своего имени и объединенную заявку Инвесторов. Каждая заявка может содержать неограниченное число конкурентных предложений и одно неконкурентное предложение. </w:t>
      </w:r>
      <w:r w:rsidRPr="007B155A">
        <w:rPr>
          <w:rFonts w:ascii="Times New Roman" w:hAnsi="Times New Roman"/>
          <w:sz w:val="28"/>
          <w:szCs w:val="28"/>
        </w:rPr>
        <w:br/>
        <w:t xml:space="preserve">В конкурентном предложении указывается цена, по которой покупатели готовы купить ГКО, и соответствующие этой цене количество облигаций. Цена устанавливается в процентах от номинала с точностью до сотых долей процента. В неконкурентной заявке указывается общее количество ГКО, которое покупатели готовы купить по средневзвешенной цене аукциона. Банк России устанавливает лимит ГКО, указываемых в неконкурентной заявке каждым покупателем. В настоящее время он составляет до 50 % от общего объема заявок, поданных Дилером. Этот лимит сообщается Дилерам также за 7 дней до проведения аукциона одновременно с другими параметрами выпуска. </w:t>
      </w:r>
      <w:r w:rsidRPr="007B155A">
        <w:rPr>
          <w:rFonts w:ascii="Times New Roman" w:hAnsi="Times New Roman"/>
          <w:sz w:val="28"/>
          <w:szCs w:val="28"/>
        </w:rPr>
        <w:br/>
        <w:t xml:space="preserve">        Ввод заявок в систему осуществляется по следующей схеме. Перед началом аукциона Дилеры переводят денежные средства в Расчетной системе со своих корреспондентских (текущих) счетов на "торговые" субсчета. Если перед проведением аукциона происходит погашение облигаций, то полученные средства также аккумулируются на "торговом" субсчете. Субсчет блокируется на период проведения аукциона и завершения расчетов по нему. </w:t>
      </w:r>
      <w:r w:rsidRPr="007B155A">
        <w:rPr>
          <w:rFonts w:ascii="Times New Roman" w:hAnsi="Times New Roman"/>
          <w:sz w:val="28"/>
          <w:szCs w:val="28"/>
        </w:rPr>
        <w:br/>
        <w:t xml:space="preserve">Данной суммы должно быть достаточно для оплаты всех конкурентных заявок и неконкурентных - по номинальной стоимости облигаций, плюс суммы налога на операции с ценными бумагами и комиссионное вознаграждение ММВБ. </w:t>
      </w:r>
      <w:r w:rsidRPr="007B155A">
        <w:rPr>
          <w:rFonts w:ascii="Times New Roman" w:hAnsi="Times New Roman"/>
          <w:sz w:val="28"/>
          <w:szCs w:val="28"/>
        </w:rPr>
        <w:br/>
        <w:t xml:space="preserve">       Дилер вводит заявки в следующем порядке: </w:t>
      </w:r>
      <w:r w:rsidRPr="007B155A">
        <w:rPr>
          <w:rFonts w:ascii="Times New Roman" w:hAnsi="Times New Roman"/>
          <w:sz w:val="28"/>
          <w:szCs w:val="28"/>
        </w:rPr>
        <w:br/>
        <w:t>а) нек</w:t>
      </w:r>
      <w:r>
        <w:rPr>
          <w:rFonts w:ascii="Times New Roman" w:hAnsi="Times New Roman"/>
          <w:sz w:val="28"/>
          <w:szCs w:val="28"/>
        </w:rPr>
        <w:t xml:space="preserve">онкурентные заявки Инвесторов;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б) к</w:t>
      </w:r>
      <w:r>
        <w:rPr>
          <w:rFonts w:ascii="Times New Roman" w:hAnsi="Times New Roman"/>
          <w:sz w:val="28"/>
          <w:szCs w:val="28"/>
        </w:rPr>
        <w:t xml:space="preserve">онкурентные заявки Инвесторов;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в)</w:t>
      </w:r>
      <w:r>
        <w:rPr>
          <w:rFonts w:ascii="Times New Roman" w:hAnsi="Times New Roman"/>
          <w:sz w:val="28"/>
          <w:szCs w:val="28"/>
        </w:rPr>
        <w:t xml:space="preserve"> неконкурентные заявки Дилера; </w:t>
      </w:r>
    </w:p>
    <w:p w:rsidR="00A61757" w:rsidRPr="007B155A" w:rsidRDefault="00A61757" w:rsidP="007B155A">
      <w:pPr>
        <w:spacing w:after="0" w:line="360" w:lineRule="auto"/>
        <w:ind w:right="-426"/>
        <w:jc w:val="both"/>
        <w:rPr>
          <w:rFonts w:ascii="Times New Roman" w:hAnsi="Times New Roman"/>
          <w:sz w:val="28"/>
          <w:szCs w:val="28"/>
        </w:rPr>
      </w:pPr>
      <w:r>
        <w:rPr>
          <w:rFonts w:ascii="Times New Roman" w:hAnsi="Times New Roman"/>
          <w:sz w:val="28"/>
          <w:szCs w:val="28"/>
        </w:rPr>
        <w:t xml:space="preserve">г) конкурентные заявки Дилера.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На основании сводной ведомости поступивших на аукцион заявок Министерство финансов РФ в пределах установленного объема выпуска ГКО определенную минимальную цену продажи облигаций (цену отсечения). Конкурентные заявки удостоверяются по ценам, которые в них указаны, но не дешевле минимальной цены продажи. Все неконкурентные заявки удовлетворяются по средневзвешенной цене удовлетворенных в ходе аукц</w:t>
      </w:r>
      <w:r>
        <w:rPr>
          <w:rFonts w:ascii="Times New Roman" w:hAnsi="Times New Roman"/>
          <w:sz w:val="28"/>
          <w:szCs w:val="28"/>
        </w:rPr>
        <w:t xml:space="preserve">иона конкурентных предложений. </w:t>
      </w:r>
      <w:r w:rsidRPr="007B155A">
        <w:rPr>
          <w:rFonts w:ascii="Times New Roman" w:hAnsi="Times New Roman"/>
          <w:sz w:val="28"/>
          <w:szCs w:val="28"/>
        </w:rPr>
        <w:t xml:space="preserve">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Средневзвешенная цена рассчитывается как сумма произведенных числа облигаций на их цену в удовлетворенных конкурентных заявках, деленная на общее число размещенных конкурентных об</w:t>
      </w:r>
      <w:r>
        <w:rPr>
          <w:rFonts w:ascii="Times New Roman" w:hAnsi="Times New Roman"/>
          <w:sz w:val="28"/>
          <w:szCs w:val="28"/>
        </w:rPr>
        <w:t xml:space="preserve">лигаций. </w:t>
      </w:r>
      <w:r>
        <w:rPr>
          <w:rFonts w:ascii="Times New Roman" w:hAnsi="Times New Roman"/>
          <w:sz w:val="28"/>
          <w:szCs w:val="28"/>
        </w:rPr>
        <w:br/>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w:t>
      </w:r>
      <w:r w:rsidRPr="007B155A">
        <w:rPr>
          <w:rFonts w:ascii="Times New Roman" w:hAnsi="Times New Roman"/>
          <w:sz w:val="28"/>
          <w:szCs w:val="28"/>
          <w:u w:val="single"/>
        </w:rPr>
        <w:t>Вторичное обращение облигаций и их погашение</w:t>
      </w:r>
      <w:r w:rsidRPr="007B155A">
        <w:rPr>
          <w:rFonts w:ascii="Times New Roman" w:hAnsi="Times New Roman"/>
          <w:sz w:val="28"/>
          <w:szCs w:val="28"/>
        </w:rPr>
        <w:t xml:space="preserve">. </w:t>
      </w:r>
      <w:r w:rsidRPr="007B155A">
        <w:rPr>
          <w:rFonts w:ascii="Times New Roman" w:hAnsi="Times New Roman"/>
          <w:sz w:val="28"/>
          <w:szCs w:val="28"/>
        </w:rPr>
        <w:br/>
        <w:t xml:space="preserve">       Перед началом торгов Торговая система запрашивает каждому Дилеру количество облигаций и денежных средств, зарезервированных на "торговых" субсчетах в Депозитарии и Расчетной системе. Во время торгов Дилеры подают разовые заявки на покупку (продажу) облигаций. Ввод заявки на продажу возможен только в том случае, если у Дилера-продавца зарезервировано достаточное количество облигаций, а на покупку, - если у Дилера - покупка зарезервировано необходимое количество денежных средств. </w:t>
      </w:r>
      <w:r w:rsidRPr="007B155A">
        <w:rPr>
          <w:rFonts w:ascii="Times New Roman" w:hAnsi="Times New Roman"/>
          <w:sz w:val="28"/>
          <w:szCs w:val="28"/>
        </w:rPr>
        <w:br/>
        <w:t xml:space="preserve">        При поступлении заявки на покупку Торговая система проверяет, есть ли неудовлетворенные заявки в очереди на продажу с ценой меньшей или равной, чем у поступившей заявки. Если какие заявки есть, то фиксируется сделки по цене заявок из очереди на продажу до тех пор, пока есть такие заявки или пока поступившая заявка не будет удовлетворена полностью, то ее остаток ставится в очередь неудовлетворенных заявок на покупку. Заявка ставится в ту же очередь, если по ней не было зафиксировано сделок. Неудовлетворенные заявки в очереди на продажу располагаются по мере возрастания цены заявки, а при равной цене - в порядке времени их подачи. </w:t>
      </w:r>
      <w:r w:rsidRPr="007B155A">
        <w:rPr>
          <w:rFonts w:ascii="Times New Roman" w:hAnsi="Times New Roman"/>
          <w:sz w:val="28"/>
          <w:szCs w:val="28"/>
        </w:rPr>
        <w:br/>
        <w:t>Аналогично при поступлении заявки на продажу Торговая система проверяет неудовлетворенность заявки из очереди на покупки с ценой равной или боль</w:t>
      </w:r>
      <w:r>
        <w:rPr>
          <w:rFonts w:ascii="Times New Roman" w:hAnsi="Times New Roman"/>
          <w:sz w:val="28"/>
          <w:szCs w:val="28"/>
        </w:rPr>
        <w:t xml:space="preserve">шей, чем у поступившей заявки.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По результатам торгов Торговая система формирует реестр сделок. Выписки из него выдаются каждому Дилеру. На основании выписок, если Дилер купил облигаций на большую сумму, чем продал, т.е. является нетто-должником, Расчетная система переводит соответствующую разницу с его корреспондентского (текущего) счета на счет Расчетной системы. Если Дилер является нетто-кредитором, то деньги идут в обратную сторону. Аналогично происходят расчеты Дилера с Депозитарием. Дилеры могут распоряжаться средствами, вырученными от продажи ГКО, на следующий рабочий ден</w:t>
      </w:r>
      <w:r>
        <w:rPr>
          <w:rFonts w:ascii="Times New Roman" w:hAnsi="Times New Roman"/>
          <w:sz w:val="28"/>
          <w:szCs w:val="28"/>
        </w:rPr>
        <w:t xml:space="preserve">ь после дня заключения сделки.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Погашение облигаций происходит по следующей схеме. Банк России переводит в Депозитарии со счетов "депо" Дилеров на "торговые" субсчета вне облигации, подлежащие погашению, и выставляет от имени Дилеров в Торговой системе заявки на продажу по номинальной цене. В свою очередь, Банк России выставляет заявку на приобретение всего объема погашаемых облигаций также по номинальной цене. Приобретенные таким образом Банком России ГКО зачисляются на его счет.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w:t>
      </w:r>
      <w:r w:rsidRPr="007B155A">
        <w:rPr>
          <w:rFonts w:ascii="Times New Roman" w:hAnsi="Times New Roman"/>
          <w:sz w:val="28"/>
          <w:szCs w:val="28"/>
          <w:u w:val="single"/>
        </w:rPr>
        <w:t>Функции Банка России на рынке ГКО</w:t>
      </w:r>
      <w:r>
        <w:rPr>
          <w:rFonts w:ascii="Times New Roman" w:hAnsi="Times New Roman"/>
          <w:sz w:val="28"/>
          <w:szCs w:val="28"/>
        </w:rPr>
        <w:t xml:space="preserve">.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Банк России выполняет на рынке ГКО следующие функции: </w:t>
      </w:r>
      <w:r w:rsidRPr="007B155A">
        <w:rPr>
          <w:rFonts w:ascii="Times New Roman" w:hAnsi="Times New Roman"/>
          <w:sz w:val="28"/>
          <w:szCs w:val="28"/>
        </w:rPr>
        <w:br/>
        <w:t xml:space="preserve">* агента Министерства финансов по </w:t>
      </w:r>
      <w:r>
        <w:rPr>
          <w:rFonts w:ascii="Times New Roman" w:hAnsi="Times New Roman"/>
          <w:sz w:val="28"/>
          <w:szCs w:val="28"/>
        </w:rPr>
        <w:t xml:space="preserve">обсуждению выпусков облигаций; </w:t>
      </w:r>
    </w:p>
    <w:p w:rsidR="00A61757" w:rsidRPr="007B155A" w:rsidRDefault="00A61757" w:rsidP="007B155A">
      <w:pPr>
        <w:spacing w:after="0" w:line="360" w:lineRule="auto"/>
        <w:ind w:right="-426"/>
        <w:jc w:val="both"/>
        <w:rPr>
          <w:rFonts w:ascii="Times New Roman" w:hAnsi="Times New Roman"/>
          <w:sz w:val="28"/>
          <w:szCs w:val="28"/>
        </w:rPr>
      </w:pPr>
      <w:r>
        <w:rPr>
          <w:rFonts w:ascii="Times New Roman" w:hAnsi="Times New Roman"/>
          <w:sz w:val="28"/>
          <w:szCs w:val="28"/>
        </w:rPr>
        <w:t xml:space="preserve">* Дилера; </w:t>
      </w:r>
    </w:p>
    <w:p w:rsidR="00A61757" w:rsidRPr="007B155A" w:rsidRDefault="00A61757" w:rsidP="007B155A">
      <w:pPr>
        <w:spacing w:after="0" w:line="360" w:lineRule="auto"/>
        <w:ind w:right="-426"/>
        <w:jc w:val="both"/>
        <w:rPr>
          <w:rFonts w:ascii="Times New Roman" w:hAnsi="Times New Roman"/>
          <w:sz w:val="28"/>
          <w:szCs w:val="28"/>
        </w:rPr>
      </w:pPr>
      <w:r>
        <w:rPr>
          <w:rFonts w:ascii="Times New Roman" w:hAnsi="Times New Roman"/>
          <w:sz w:val="28"/>
          <w:szCs w:val="28"/>
        </w:rPr>
        <w:t xml:space="preserve">* Контролирующего органа.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Выполняя функции агента, банк России устанавливает требования к Торговой, Расчетной системам, Депозитарию и субдепозитариям; устанавливает требования к Дилерам и определяет их количественный состав; устанавливает правила торгов и проводит аукционы по первичной продаже облигации; осуществляет погашение облигаций. </w:t>
      </w:r>
      <w:r w:rsidRPr="007B155A">
        <w:rPr>
          <w:rFonts w:ascii="Times New Roman" w:hAnsi="Times New Roman"/>
          <w:sz w:val="28"/>
          <w:szCs w:val="28"/>
        </w:rPr>
        <w:br/>
        <w:t xml:space="preserve">Как Дилер Банк России осуществляет куплю-продажу облигаций на вторичном рынке от своего имени и за свой счет; обладает правом делегирования своих диллерских полномочий территориальным отделениям; осуществляет сбор и исполнение заявок Инвесторов. </w:t>
      </w:r>
      <w:r w:rsidRPr="007B155A">
        <w:rPr>
          <w:rFonts w:ascii="Times New Roman" w:hAnsi="Times New Roman"/>
          <w:sz w:val="28"/>
          <w:szCs w:val="28"/>
        </w:rPr>
        <w:br/>
        <w:t xml:space="preserve">Как контролирующий орган Банк России имеет право: получать полную информацию о ходе торгов облигациями; об остатках на счетах Дилеров в Депозитарии и Инвесторов в субдепозитариях; приостанавливать операции любого Дилера с облигациями. При этом Банк России не может использовать при осуществлении собственных операций полученную в ходе контроля информацию или передавать ее третьим лицам. </w:t>
      </w:r>
      <w:r w:rsidRPr="007B155A">
        <w:rPr>
          <w:rFonts w:ascii="Times New Roman" w:hAnsi="Times New Roman"/>
          <w:sz w:val="28"/>
          <w:szCs w:val="28"/>
        </w:rPr>
        <w:br/>
        <w:t xml:space="preserve">Кроме этого, Банк России может осуществлять на условиях, согласованных с Министерством финансов РФ, дополнительную продажу на вторичном рынке непроданных на аукционе облигаций в течение срока их обращения. </w:t>
      </w:r>
      <w:r w:rsidRPr="007B155A">
        <w:rPr>
          <w:rFonts w:ascii="Times New Roman" w:hAnsi="Times New Roman"/>
          <w:sz w:val="28"/>
          <w:szCs w:val="28"/>
        </w:rPr>
        <w:br/>
        <w:t xml:space="preserve">Банк России может приобретать облигации от своего имени и за свой счет на первичном аукционе у Министерства финансов РФ. Это происходят в двух случаях: </w:t>
      </w:r>
      <w:r w:rsidRPr="007B155A">
        <w:rPr>
          <w:rFonts w:ascii="Times New Roman" w:hAnsi="Times New Roman"/>
          <w:sz w:val="28"/>
          <w:szCs w:val="28"/>
        </w:rPr>
        <w:br/>
        <w:t>1. при предоставлении Министерству финансов РФ прямого краткосрочного кре</w:t>
      </w:r>
      <w:r>
        <w:rPr>
          <w:rFonts w:ascii="Times New Roman" w:hAnsi="Times New Roman"/>
          <w:sz w:val="28"/>
          <w:szCs w:val="28"/>
        </w:rPr>
        <w:t xml:space="preserve">дита в виде покупки облигаций; </w:t>
      </w:r>
    </w:p>
    <w:p w:rsidR="00A61757" w:rsidRPr="007B155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2. при предоставлении кредита на покрытие кассовых разрывов, возникающих в процессе выпуска и погашения облигаций.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В обоих случаях ГКО приобретаются по средневзвешенной цене аукциона и в пределах лимита определенного законодательными органами для кред</w:t>
      </w:r>
      <w:r>
        <w:rPr>
          <w:rFonts w:ascii="Times New Roman" w:hAnsi="Times New Roman"/>
          <w:sz w:val="28"/>
          <w:szCs w:val="28"/>
        </w:rPr>
        <w:t xml:space="preserve">итования федерального бюджета. </w:t>
      </w:r>
      <w:r w:rsidRPr="007B155A">
        <w:rPr>
          <w:rFonts w:ascii="Times New Roman" w:hAnsi="Times New Roman"/>
          <w:sz w:val="28"/>
          <w:szCs w:val="28"/>
        </w:rPr>
        <w:t xml:space="preserve"> </w:t>
      </w:r>
    </w:p>
    <w:p w:rsidR="00A61757" w:rsidRPr="00B9646A" w:rsidRDefault="00A61757" w:rsidP="007B155A">
      <w:pPr>
        <w:spacing w:after="0" w:line="360" w:lineRule="auto"/>
        <w:ind w:right="-426"/>
        <w:jc w:val="both"/>
        <w:rPr>
          <w:rFonts w:ascii="Times New Roman" w:hAnsi="Times New Roman"/>
          <w:sz w:val="28"/>
          <w:szCs w:val="28"/>
        </w:rPr>
      </w:pPr>
      <w:r w:rsidRPr="007B155A">
        <w:rPr>
          <w:rFonts w:ascii="Times New Roman" w:hAnsi="Times New Roman"/>
          <w:sz w:val="28"/>
          <w:szCs w:val="28"/>
        </w:rPr>
        <w:t xml:space="preserve">          В первом случае Банк России обязан известить о покупке Дилеров не менее чем за один рабочий день до даты проведения аукциона. Кредит на покрытие кассовых разрывов предоставляется автоматически.</w:t>
      </w: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Pr="00B9646A" w:rsidRDefault="00A61757" w:rsidP="007B155A">
      <w:pPr>
        <w:spacing w:after="0" w:line="360" w:lineRule="auto"/>
        <w:ind w:right="-426"/>
        <w:jc w:val="both"/>
        <w:rPr>
          <w:rFonts w:ascii="Times New Roman" w:hAnsi="Times New Roman"/>
          <w:sz w:val="28"/>
          <w:szCs w:val="28"/>
        </w:rPr>
      </w:pPr>
    </w:p>
    <w:p w:rsidR="00A61757" w:rsidRDefault="00A61757" w:rsidP="007B155A">
      <w:pPr>
        <w:spacing w:after="0" w:line="360" w:lineRule="auto"/>
        <w:ind w:right="-426"/>
        <w:jc w:val="center"/>
        <w:rPr>
          <w:rFonts w:ascii="Times New Roman" w:hAnsi="Times New Roman"/>
          <w:sz w:val="36"/>
          <w:szCs w:val="36"/>
        </w:rPr>
      </w:pPr>
    </w:p>
    <w:p w:rsidR="00A61757" w:rsidRDefault="00A61757" w:rsidP="007B155A">
      <w:pPr>
        <w:spacing w:after="0" w:line="360" w:lineRule="auto"/>
        <w:ind w:right="-426"/>
        <w:jc w:val="center"/>
        <w:rPr>
          <w:rFonts w:ascii="Times New Roman" w:hAnsi="Times New Roman"/>
          <w:sz w:val="36"/>
          <w:szCs w:val="36"/>
        </w:rPr>
      </w:pPr>
      <w:r>
        <w:rPr>
          <w:rFonts w:ascii="Times New Roman" w:hAnsi="Times New Roman"/>
          <w:sz w:val="36"/>
          <w:szCs w:val="36"/>
        </w:rPr>
        <w:t>С</w:t>
      </w:r>
      <w:r w:rsidRPr="007B155A">
        <w:rPr>
          <w:rFonts w:ascii="Times New Roman" w:hAnsi="Times New Roman"/>
          <w:sz w:val="36"/>
          <w:szCs w:val="36"/>
        </w:rPr>
        <w:t>писок литературы</w:t>
      </w:r>
      <w:r>
        <w:rPr>
          <w:rFonts w:ascii="Times New Roman" w:hAnsi="Times New Roman"/>
          <w:sz w:val="36"/>
          <w:szCs w:val="36"/>
        </w:rPr>
        <w:t>:</w:t>
      </w:r>
    </w:p>
    <w:p w:rsidR="00A61757" w:rsidRDefault="00A61757" w:rsidP="007B155A">
      <w:pPr>
        <w:spacing w:after="0" w:line="360" w:lineRule="auto"/>
        <w:ind w:right="-425"/>
        <w:jc w:val="both"/>
        <w:rPr>
          <w:rFonts w:ascii="Times New Roman" w:hAnsi="Times New Roman"/>
          <w:sz w:val="28"/>
          <w:szCs w:val="28"/>
        </w:rPr>
      </w:pPr>
      <w:r w:rsidRPr="007B155A">
        <w:rPr>
          <w:rFonts w:ascii="Times New Roman" w:hAnsi="Times New Roman"/>
          <w:sz w:val="28"/>
          <w:szCs w:val="28"/>
        </w:rPr>
        <w:t>1.Бердникова Т.Б. «Рынок ценных бумаг/ Бердникова Т.Б. – М.: Инфра-М.</w:t>
      </w:r>
    </w:p>
    <w:p w:rsidR="00A61757" w:rsidRPr="007B155A" w:rsidRDefault="00A61757" w:rsidP="007B155A">
      <w:pPr>
        <w:spacing w:after="0" w:line="360" w:lineRule="auto"/>
        <w:ind w:right="-425"/>
        <w:jc w:val="both"/>
        <w:rPr>
          <w:rFonts w:ascii="Times New Roman" w:hAnsi="Times New Roman"/>
          <w:sz w:val="28"/>
          <w:szCs w:val="28"/>
        </w:rPr>
      </w:pPr>
      <w:r w:rsidRPr="007B155A">
        <w:rPr>
          <w:rFonts w:ascii="Times New Roman" w:hAnsi="Times New Roman"/>
          <w:sz w:val="28"/>
          <w:szCs w:val="28"/>
        </w:rPr>
        <w:t>2002 г.</w:t>
      </w:r>
    </w:p>
    <w:p w:rsidR="00A61757" w:rsidRPr="007B155A" w:rsidRDefault="00A61757" w:rsidP="007B155A">
      <w:pPr>
        <w:spacing w:after="0" w:line="360" w:lineRule="auto"/>
        <w:ind w:right="-425"/>
        <w:jc w:val="both"/>
        <w:rPr>
          <w:rFonts w:ascii="Times New Roman" w:hAnsi="Times New Roman"/>
          <w:sz w:val="28"/>
          <w:szCs w:val="28"/>
        </w:rPr>
      </w:pPr>
      <w:r w:rsidRPr="007B155A">
        <w:rPr>
          <w:rFonts w:ascii="Times New Roman" w:hAnsi="Times New Roman"/>
          <w:sz w:val="28"/>
          <w:szCs w:val="28"/>
        </w:rPr>
        <w:t>2.Ревинский И.А. «Международная экономика и мировые рынки:Учеб. пособие / Ревинский И.А.- Новосибирск: Изд-во НГТУ.1998г.</w:t>
      </w:r>
    </w:p>
    <w:p w:rsidR="00A61757" w:rsidRPr="007B155A" w:rsidRDefault="00A61757" w:rsidP="007B155A">
      <w:pPr>
        <w:spacing w:after="0" w:line="360" w:lineRule="auto"/>
        <w:ind w:right="-425"/>
        <w:jc w:val="both"/>
        <w:rPr>
          <w:rFonts w:ascii="Times New Roman" w:hAnsi="Times New Roman"/>
          <w:sz w:val="28"/>
          <w:szCs w:val="28"/>
        </w:rPr>
      </w:pPr>
      <w:r w:rsidRPr="007B155A">
        <w:rPr>
          <w:rFonts w:ascii="Times New Roman" w:hAnsi="Times New Roman"/>
          <w:sz w:val="28"/>
          <w:szCs w:val="28"/>
        </w:rPr>
        <w:t>3.Рэй К.И. «Рынок облигаций. Торговля и управление рисками.: Пер. с англ/ Рэй К.И..- М.:Дело,1999г.</w:t>
      </w:r>
    </w:p>
    <w:p w:rsidR="00A61757" w:rsidRDefault="00A61757" w:rsidP="007B155A">
      <w:pPr>
        <w:spacing w:after="0" w:line="360" w:lineRule="auto"/>
        <w:ind w:right="-426"/>
        <w:rPr>
          <w:rFonts w:ascii="Times New Roman" w:hAnsi="Times New Roman"/>
          <w:sz w:val="36"/>
          <w:szCs w:val="36"/>
        </w:rPr>
      </w:pPr>
    </w:p>
    <w:p w:rsidR="00A61757" w:rsidRDefault="00A61757" w:rsidP="007B155A">
      <w:pPr>
        <w:jc w:val="both"/>
        <w:rPr>
          <w:sz w:val="28"/>
          <w:szCs w:val="28"/>
        </w:rPr>
      </w:pPr>
      <w:r>
        <w:rPr>
          <w:sz w:val="28"/>
          <w:szCs w:val="28"/>
        </w:rPr>
        <w:t>Интернет сайты:</w:t>
      </w:r>
    </w:p>
    <w:p w:rsidR="00A61757" w:rsidRPr="00C93970" w:rsidRDefault="00A61757" w:rsidP="007B155A">
      <w:pPr>
        <w:pStyle w:val="1"/>
        <w:numPr>
          <w:ilvl w:val="0"/>
          <w:numId w:val="1"/>
        </w:numPr>
        <w:jc w:val="both"/>
        <w:rPr>
          <w:color w:val="262626"/>
          <w:sz w:val="28"/>
          <w:szCs w:val="28"/>
          <w:lang w:val="ru-RU"/>
        </w:rPr>
      </w:pPr>
    </w:p>
    <w:p w:rsidR="00A61757" w:rsidRPr="00C93970" w:rsidRDefault="00A61757" w:rsidP="007B155A">
      <w:pPr>
        <w:pStyle w:val="1"/>
        <w:numPr>
          <w:ilvl w:val="0"/>
          <w:numId w:val="1"/>
        </w:numPr>
        <w:jc w:val="both"/>
        <w:rPr>
          <w:color w:val="262626"/>
          <w:sz w:val="28"/>
          <w:szCs w:val="28"/>
          <w:lang w:val="ru-RU"/>
        </w:rPr>
      </w:pPr>
      <w:r w:rsidRPr="0027715B">
        <w:rPr>
          <w:sz w:val="28"/>
          <w:szCs w:val="28"/>
        </w:rPr>
        <w:t>www.bestreferat.ru</w:t>
      </w:r>
    </w:p>
    <w:p w:rsidR="00A61757" w:rsidRPr="007B155A" w:rsidRDefault="00A61757" w:rsidP="007B155A">
      <w:pPr>
        <w:rPr>
          <w:rFonts w:ascii="Times New Roman" w:hAnsi="Times New Roman"/>
          <w:sz w:val="36"/>
          <w:szCs w:val="36"/>
        </w:rPr>
      </w:pPr>
      <w:bookmarkStart w:id="0" w:name="_GoBack"/>
      <w:bookmarkEnd w:id="0"/>
    </w:p>
    <w:sectPr w:rsidR="00A61757" w:rsidRPr="007B155A" w:rsidSect="007B155A">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31E2"/>
    <w:multiLevelType w:val="hybridMultilevel"/>
    <w:tmpl w:val="31BC71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55A"/>
    <w:rsid w:val="000A3E2A"/>
    <w:rsid w:val="0027715B"/>
    <w:rsid w:val="005B6E07"/>
    <w:rsid w:val="006127A3"/>
    <w:rsid w:val="006B4963"/>
    <w:rsid w:val="007B155A"/>
    <w:rsid w:val="0098026A"/>
    <w:rsid w:val="009A797C"/>
    <w:rsid w:val="00A61757"/>
    <w:rsid w:val="00B9646A"/>
    <w:rsid w:val="00C25C03"/>
    <w:rsid w:val="00C93970"/>
    <w:rsid w:val="00D01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AEA171-9B32-4A9B-AD7F-6768F172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E0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7B155A"/>
    <w:pPr>
      <w:spacing w:after="0" w:line="240" w:lineRule="auto"/>
      <w:ind w:left="720"/>
      <w:contextualSpacing/>
    </w:pPr>
    <w:rPr>
      <w:rFonts w:ascii="Times New Roman" w:eastAsia="Calibri" w:hAnsi="Times New Roman"/>
      <w:sz w:val="24"/>
      <w:szCs w:val="24"/>
      <w:lang w:val="en-US" w:eastAsia="ru-RU"/>
    </w:rPr>
  </w:style>
  <w:style w:type="character" w:styleId="a3">
    <w:name w:val="Hyperlink"/>
    <w:basedOn w:val="a0"/>
    <w:rsid w:val="007B15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Words>
  <Characters>14663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Министерство транспорта Российской Федерации</vt:lpstr>
    </vt:vector>
  </TitlesOfParts>
  <Company>Home</Company>
  <LinksUpToDate>false</LinksUpToDate>
  <CharactersWithSpaces>17201</CharactersWithSpaces>
  <SharedDoc>false</SharedDoc>
  <HLinks>
    <vt:vector size="12" baseType="variant">
      <vt:variant>
        <vt:i4>7667835</vt:i4>
      </vt:variant>
      <vt:variant>
        <vt:i4>3</vt:i4>
      </vt:variant>
      <vt:variant>
        <vt:i4>0</vt:i4>
      </vt:variant>
      <vt:variant>
        <vt:i4>5</vt:i4>
      </vt:variant>
      <vt:variant>
        <vt:lpwstr>http://www.bestreferat.ru/</vt:lpwstr>
      </vt:variant>
      <vt:variant>
        <vt:lpwstr/>
      </vt: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транспорта Российской Федерации</dc:title>
  <dc:subject/>
  <dc:creator>User</dc:creator>
  <cp:keywords/>
  <dc:description/>
  <cp:lastModifiedBy>Irina</cp:lastModifiedBy>
  <cp:revision>2</cp:revision>
  <cp:lastPrinted>2010-04-17T15:02:00Z</cp:lastPrinted>
  <dcterms:created xsi:type="dcterms:W3CDTF">2014-08-24T06:16:00Z</dcterms:created>
  <dcterms:modified xsi:type="dcterms:W3CDTF">2014-08-24T06:16:00Z</dcterms:modified>
</cp:coreProperties>
</file>