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51" w:rsidRDefault="00726051" w:rsidP="002901F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A30E24" w:rsidRPr="002901F6" w:rsidRDefault="00A30E24" w:rsidP="002901F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2901F6">
        <w:rPr>
          <w:b/>
          <w:sz w:val="28"/>
          <w:szCs w:val="28"/>
        </w:rPr>
        <w:t>1.Введение.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Опыт применения добавок в бетон показывает, что во многих практически важных случаях наиболее перспективными являются комплексные добавки. Основные преимущества многокомпонентных добавок в общем случае выражаются в том, что монодобавки часто наряду с положительным оказывают и отрицательное влияние на свойства бетонов и растворов, что снижает их эффективность. Например, применение средне- и слабопластифицирующих добавок позволяет значительно повысить подвижность бетонных и растворных смесей, однако, в то же время, они могут вызвать недопустимое снижение прочности бетона или раствора. С помощью различных монодобавок можно существенно понизить температуру замерзания воды в бетонных смесях, но отдельные из них ускоряют схватывание цементного теста и вызывают коррозию стали. Поэтому для повышения эффективности применения однокомпонентных добавок различного назначения требуется введение в состав бетона таких комплексов, которые могли бы локализовать отрицательное действие монодобавок или усилить желаемый эффект, а при необходимости придать бетону или раствору новые свойства.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Преимущества комплексных добавок перед однокомпонентными достаточно велики ещё и потому, что в ближайшее время они должны почти полностью вытеснить монодобавки из сферы строительного производства.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2901F6">
        <w:rPr>
          <w:b/>
          <w:sz w:val="28"/>
          <w:szCs w:val="28"/>
        </w:rPr>
        <w:t>2.Группы комплексных добавок.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Комплексные добавки в зависимости от технологического эффекта и влияния на важнейшие свойства затвердевшего бетона и раствора условно разделены на пять групп: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I - смеси ПАВ;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II - смеси ПАВ и электролитов;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III - смеси электролитов;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IV - комплексные добавки на основе суперпластификаторов;</w:t>
      </w:r>
    </w:p>
    <w:p w:rsidR="00A30E24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V - многокомпонентные добавки полифункционального действия.</w:t>
      </w:r>
    </w:p>
    <w:p w:rsidR="00A30E24" w:rsidRPr="002901F6" w:rsidRDefault="00A30E24" w:rsidP="002901F6">
      <w:pPr>
        <w:spacing w:line="360" w:lineRule="auto"/>
        <w:ind w:firstLine="567"/>
        <w:contextualSpacing/>
        <w:rPr>
          <w:b/>
          <w:sz w:val="28"/>
          <w:szCs w:val="28"/>
        </w:rPr>
      </w:pPr>
      <w:r w:rsidRPr="002901F6">
        <w:rPr>
          <w:b/>
          <w:sz w:val="28"/>
          <w:szCs w:val="28"/>
        </w:rPr>
        <w:t xml:space="preserve">2.1. Комплексные добавки </w:t>
      </w:r>
      <w:r w:rsidRPr="002901F6">
        <w:rPr>
          <w:b/>
          <w:sz w:val="28"/>
          <w:szCs w:val="28"/>
          <w:lang w:val="en-US"/>
        </w:rPr>
        <w:t>I</w:t>
      </w:r>
      <w:r w:rsidRPr="002901F6">
        <w:rPr>
          <w:b/>
          <w:sz w:val="28"/>
          <w:szCs w:val="28"/>
        </w:rPr>
        <w:t xml:space="preserve"> группы.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 xml:space="preserve">Комплексные добавки I группы сочетают вещества гидрофильной и гидрофобной природы. Как было отмечено ранее, ПАВ показывают разную степень эффективности при использовании различных по минералогическому составу цементов. Например, добавки ЛСТ, УПБ более эффективны в бетонах на средне- и высокоалюминатном цементе, а добавки гидрофобного действия (ГКЖ-10, ГКЖ-11, СНВ, КТП и другие) - при использовании цементов с повышенным содержанием силикатной фазы. 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Комплексные гидрофильно-гидрофобные пластифицирующие добавки становятся более универсальными по отношению к цементам разного минералогического состава и его расхода в бетоне. Одновременно с высоким пластифицирующим действием комплексные добавки I группы изменяют в нужном направлении структуру и свойства бетона. Первоначальная подвижность смесей с комплексными добавками сохраняется в течение 2...3 ч, что имеет важное значение при транспортировании смесей на большие расстояния и при бетонировании в условиях сухого жаркого климата; повышается коррозионная стойкость бетона, увеличивается его морозостойкость на 2...3 марки и водонепроницаемость на 1...2 марки. Однако следует отметить, что добавки I группы замедляют процессы схватывания и твердения бетона, поэтому в технологию бетона необходимо вносить коррективы.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Рекомендуемая дозировка и сочетания комплексных добавок I группы представлены в табл. 1.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Таблица 1. Рекомендуемая дозировка комплексных добавок I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83"/>
        <w:gridCol w:w="3493"/>
      </w:tblGrid>
      <w:tr w:rsidR="00A30E24" w:rsidTr="00B94B27">
        <w:tc>
          <w:tcPr>
            <w:tcW w:w="2802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Назначение</w:t>
            </w:r>
          </w:p>
        </w:tc>
        <w:tc>
          <w:tcPr>
            <w:tcW w:w="4183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Условное обозначение комплексов</w:t>
            </w:r>
          </w:p>
        </w:tc>
        <w:tc>
          <w:tcPr>
            <w:tcW w:w="3493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Количество добавок в составе комплексных в расчете на сухое вещество, % массы цемента</w:t>
            </w:r>
          </w:p>
        </w:tc>
      </w:tr>
      <w:tr w:rsidR="00A30E24" w:rsidTr="00B94B27">
        <w:tc>
          <w:tcPr>
            <w:tcW w:w="2802" w:type="dxa"/>
            <w:vMerge w:val="restart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 и воздухововлекающие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 (СНВ, КТП, С, ОП)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0,1…0,25 + 0,002...0,01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ВРП-1+С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0,005...0,02 + 0,005...0,02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(ЩСПК, ЩСПК-М2, СПД-м) + (СНВ, КТП, С, ОП)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0,1...0,3 + 0,002...0,01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ЧСЩ + КТП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0,1...0,25 + 0,005...0,01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 (ЧСЩ, ЩСПК, ЩСПК-М2, СПД-м)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0,1...0,3 + 0,05...0,1</w:t>
            </w:r>
          </w:p>
        </w:tc>
      </w:tr>
      <w:tr w:rsidR="00A30E24" w:rsidTr="00B94B27">
        <w:tc>
          <w:tcPr>
            <w:tcW w:w="2802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 и газообразующие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 (136-41, 136-157М, ПГЭН)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0,1...0,3 + 0,05...0,1</w:t>
            </w:r>
          </w:p>
        </w:tc>
      </w:tr>
      <w:tr w:rsidR="00A30E24" w:rsidTr="00B94B27">
        <w:tc>
          <w:tcPr>
            <w:tcW w:w="2802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Пластифицирующе - гидрофобизирующие и газообразующие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(ГКЖ-10,ГКЖ-11,АМСР)+(ПГЭН, 136-41, 136-157М)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0,1...0,2 + 0,05...0,1</w:t>
            </w:r>
          </w:p>
        </w:tc>
      </w:tr>
      <w:tr w:rsidR="00A30E24" w:rsidTr="00B94B27">
        <w:tc>
          <w:tcPr>
            <w:tcW w:w="2802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Пластифицирующе-гидрофобизирующие и воздухововлекающие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(ГКЖ- 1 0, ГКЖ- 11, АМСР) + СНВ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0,1...0,2 + 0,005...0,02</w:t>
            </w:r>
          </w:p>
        </w:tc>
      </w:tr>
    </w:tbl>
    <w:p w:rsidR="00A30E24" w:rsidRDefault="00A30E24" w:rsidP="002901F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2901F6">
        <w:rPr>
          <w:b/>
          <w:sz w:val="28"/>
          <w:szCs w:val="28"/>
        </w:rPr>
        <w:t xml:space="preserve">2.2.Комплексные добавки </w:t>
      </w:r>
      <w:r w:rsidRPr="002901F6">
        <w:rPr>
          <w:b/>
          <w:sz w:val="28"/>
          <w:szCs w:val="28"/>
          <w:lang w:val="en-US"/>
        </w:rPr>
        <w:t>II</w:t>
      </w:r>
      <w:r w:rsidRPr="002901F6">
        <w:rPr>
          <w:b/>
          <w:sz w:val="28"/>
          <w:szCs w:val="28"/>
        </w:rPr>
        <w:t xml:space="preserve"> группы.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 xml:space="preserve">Перспективно применение комплексных добавок II группы, состоящих из пластифицирующих веществ и добавок-электролитов, ускоряющих схватывание и твердение бетона. 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Это позволяет одновременно экономить цемент и увеличить оборачиваемость форм и всего технологического оборудования независимо от технологии производства. Например, при использовании комплексной добавки ЛСТ + СН или ЛСТ + ННХК появляется возможность применения форсированных режимов тепло влажностной обработки. Кроме того, при сохранении подвижности бетонной смеси достигается сокращение на 10...15 % расхода воды, что обеспечивает повышение прочности бетона на 10... 25 %, а также увеличивает морозостойкость и водонепроницаемость бетона на 1...1,5 марки. При условии получения равнопрочных бетонов возможно сократить расход цемента на 8...15 %.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Комплексные трехкомпонентные добавки позволяют решать более сложные технологические задачи. В частности, при использовании средне- и слабо пластифицирующих добавок в сочетании с воздухововлекающими (или газообразующими), которые замедляют процессы схватывания и твердения, а также несколько снижают прочность бетона, вводится дополнительный компонент — добавка-электролит — ускоритель твердения, нейтрализующая негативное влияние первых двух добавок.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Возможные сочетания комплексных добавок II группы и их дозировка представлены в табл. 2.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Таблица 2. Дозировка и сочетания комплексных добавок II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4161"/>
        <w:gridCol w:w="3473"/>
      </w:tblGrid>
      <w:tr w:rsidR="00A30E24" w:rsidRPr="002901F6" w:rsidTr="00B94B27">
        <w:tc>
          <w:tcPr>
            <w:tcW w:w="2844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Назначение</w:t>
            </w:r>
          </w:p>
        </w:tc>
        <w:tc>
          <w:tcPr>
            <w:tcW w:w="4161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Условное обозначение комплексов</w:t>
            </w:r>
          </w:p>
        </w:tc>
        <w:tc>
          <w:tcPr>
            <w:tcW w:w="3473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Количество добавок в составе комплексных в расчете на сухое вещество, % массы цемента</w:t>
            </w:r>
          </w:p>
        </w:tc>
      </w:tr>
      <w:tr w:rsidR="00A30E24" w:rsidTr="00B94B27">
        <w:tc>
          <w:tcPr>
            <w:tcW w:w="2844" w:type="dxa"/>
            <w:vMerge w:val="restart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 и ускорители твердения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+(СН, НН1, ХК, НК, ННХК)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0,1...0,3 + 0,3...1,5</w:t>
            </w:r>
          </w:p>
        </w:tc>
      </w:tr>
      <w:tr w:rsidR="00A30E24" w:rsidTr="00B94B27">
        <w:tc>
          <w:tcPr>
            <w:tcW w:w="2844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 (НЧК, КЧНР) + СН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0,1...0,2 + 0,1...0,2 + 0,5...1,5</w:t>
            </w:r>
          </w:p>
        </w:tc>
      </w:tr>
      <w:tr w:rsidR="00A30E24" w:rsidTr="00B94B27">
        <w:tc>
          <w:tcPr>
            <w:tcW w:w="2844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ЧСЩ + ХК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0,1...0,25 +0,05...0,2</w:t>
            </w:r>
          </w:p>
        </w:tc>
      </w:tr>
      <w:tr w:rsidR="00A30E24" w:rsidTr="00B94B27">
        <w:tc>
          <w:tcPr>
            <w:tcW w:w="2844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УПБ + СН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0,1...0,3 + 0,5...1,5</w:t>
            </w:r>
          </w:p>
        </w:tc>
      </w:tr>
      <w:tr w:rsidR="00A30E24" w:rsidTr="00B94B27">
        <w:tc>
          <w:tcPr>
            <w:tcW w:w="2844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(ЩСПК, ЩСПК-2М, СПД-м) + (НК, СН, ТНФ)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0,1...0,35 +0,05...0,2</w:t>
            </w:r>
          </w:p>
        </w:tc>
      </w:tr>
      <w:tr w:rsidR="00A30E24" w:rsidTr="00B94B27">
        <w:tc>
          <w:tcPr>
            <w:tcW w:w="2844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(НЧК, КЧНР) + СН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0,1...0,15 +0,5...1,5</w:t>
            </w:r>
          </w:p>
        </w:tc>
      </w:tr>
    </w:tbl>
    <w:p w:rsidR="00A30E24" w:rsidRDefault="00A30E24">
      <w:r>
        <w:br w:type="page"/>
      </w:r>
    </w:p>
    <w:p w:rsidR="00A30E24" w:rsidRPr="00D13FD0" w:rsidRDefault="00A30E24" w:rsidP="00D13FD0">
      <w:pPr>
        <w:spacing w:line="360" w:lineRule="auto"/>
        <w:rPr>
          <w:sz w:val="28"/>
          <w:szCs w:val="28"/>
        </w:rPr>
      </w:pPr>
      <w:r w:rsidRPr="00D13FD0">
        <w:rPr>
          <w:sz w:val="28"/>
          <w:szCs w:val="28"/>
        </w:rPr>
        <w:t>Продолжение таблицы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4161"/>
        <w:gridCol w:w="3473"/>
      </w:tblGrid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Пластифицирующие, воздухововлекающие и ускорители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 СНВ + (СН, НК)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0,1...0,2 + 0,005...0C,03 + 0,5...1,5</w:t>
            </w:r>
          </w:p>
        </w:tc>
      </w:tr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Гидрофобизирующие и ускорители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(ГКЖ-10, ГКЖ-11, АМСР) + НК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0,1...0,2 + 0,5...1,5</w:t>
            </w:r>
          </w:p>
        </w:tc>
      </w:tr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Пластифицирующие, газообразующие и ускорители твердения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+(ПГЭН, 136-41, 136-157М) + СН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0,1...0,15 +0,05...0,1 +0,5...1,5</w:t>
            </w:r>
          </w:p>
        </w:tc>
      </w:tr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Воздухововлекающие и ускорители твердения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СНВ + (СН, НК, ННХК)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0,005...0,02 +0,5...1,5</w:t>
            </w:r>
          </w:p>
        </w:tc>
      </w:tr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Газообразующие и ускорители твердения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(ПГЭН, 136-41, 136-157М) + НК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0,05...0,1 +0,5...1,5</w:t>
            </w:r>
          </w:p>
        </w:tc>
      </w:tr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Воздухововлекающие и ингибиторы коррозии стали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СНВ + (НН, ННК)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0,005...0,02 +0,5...1,5</w:t>
            </w:r>
          </w:p>
        </w:tc>
      </w:tr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Пластифицирующие, воздухововлекающие и ингибиторы коррозии стали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ЛСТ+СНВ+ННК</w:t>
            </w:r>
            <w:r w:rsidRPr="00B94B27">
              <w:rPr>
                <w:sz w:val="28"/>
                <w:szCs w:val="28"/>
              </w:rPr>
              <w:tab/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0,1...0,15 +0,01...0,03 +0,5...1,5</w:t>
            </w:r>
          </w:p>
        </w:tc>
      </w:tr>
      <w:tr w:rsidR="00A30E24" w:rsidTr="00B94B27">
        <w:tc>
          <w:tcPr>
            <w:tcW w:w="2844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Замедлители схватывания и кольматирующие</w:t>
            </w:r>
          </w:p>
        </w:tc>
        <w:tc>
          <w:tcPr>
            <w:tcW w:w="4161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ЛСТ + (СА, ХЖ, НЖ, СЖ, НК)</w:t>
            </w:r>
          </w:p>
        </w:tc>
        <w:tc>
          <w:tcPr>
            <w:tcW w:w="347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0,15...0,25 +0,5...2</w:t>
            </w:r>
          </w:p>
        </w:tc>
      </w:tr>
    </w:tbl>
    <w:p w:rsidR="00A30E24" w:rsidRPr="00D13FD0" w:rsidRDefault="00A30E24" w:rsidP="002901F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D13FD0">
        <w:rPr>
          <w:b/>
          <w:sz w:val="28"/>
          <w:szCs w:val="28"/>
        </w:rPr>
        <w:t xml:space="preserve">2.3.Комплексные добавки </w:t>
      </w:r>
      <w:r w:rsidRPr="00D13FD0">
        <w:rPr>
          <w:b/>
          <w:sz w:val="28"/>
          <w:szCs w:val="28"/>
          <w:lang w:val="en-US"/>
        </w:rPr>
        <w:t>III</w:t>
      </w:r>
      <w:r w:rsidRPr="00D13FD0">
        <w:rPr>
          <w:b/>
          <w:sz w:val="28"/>
          <w:szCs w:val="28"/>
        </w:rPr>
        <w:t xml:space="preserve"> группы.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 xml:space="preserve">В комплексных добавках III группы сочетание электролитов позволяет исключить негативное влияние некоторых монодобавок и добиться максимального эффекта. 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В случаях, когда требуется получить сверхбыстрое схватывание смеси без заметного снижения последующих свойств бетона, используют смесь добавок алюмината натрия и поташа. Особый эффект при этом проявляется в неаддитивном влиянии комплексной добавки на самую раннюю стадию структурообразования бетонной смеси. Это позволяет сократить сроки схватывания до 10...20 с независимо от минералогического состава цемента, а при подогреве воды до +40 °С обеспечить практически мгновенное схватывание бетонной смеси, что имеет весьма важное значение для набрызг-бетона (торкретбетона).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Такой эффект объясняется тем, что в результате обменных реакций АН и поташа с гидроксидом кальция образуется едкий натр и едкое кали, которые остаются в поровой жидкости и обеспечивают сохранение жидкой фазы в бетоне и, таким образом, гидратационные процессы смогут протекать как в сухую жаркую погоду, так и при отрицательной температуре. При этом также отмечается и малая чувствительность твердеющего бетона к внешним гигрометрическим условиям, что объясняется повышенной дисперсностью новообразований и непроницаемостью цементного камня. Эти эффекты используются при проведении бетонных работ в летнее время в районах с сухим и жарким климатом и при укладке «холодного» бетона.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Комплексные добавки III группы в основном применяются для бетонирования на полигонах и строительных площадках в холодное время года при отрицательных температурах.</w:t>
      </w:r>
    </w:p>
    <w:p w:rsidR="00A30E24" w:rsidRPr="002901F6" w:rsidRDefault="00A30E24" w:rsidP="00D13F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Возможные сочетания и оптимальные дозировки комплексов добавок ускорителей схватывания бетона, ингибиторов коррозии стали представлены в</w:t>
      </w:r>
      <w:r>
        <w:rPr>
          <w:sz w:val="28"/>
          <w:szCs w:val="28"/>
        </w:rPr>
        <w:t xml:space="preserve"> таблице</w:t>
      </w:r>
      <w:r w:rsidRPr="002901F6">
        <w:rPr>
          <w:sz w:val="28"/>
          <w:szCs w:val="28"/>
        </w:rPr>
        <w:t xml:space="preserve"> 3.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Таблица 3. Дозировка комплексных добавок III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83"/>
        <w:gridCol w:w="3493"/>
      </w:tblGrid>
      <w:tr w:rsidR="00A30E24" w:rsidRPr="002901F6" w:rsidTr="00B94B27">
        <w:tc>
          <w:tcPr>
            <w:tcW w:w="2802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Назначение</w:t>
            </w:r>
          </w:p>
        </w:tc>
        <w:tc>
          <w:tcPr>
            <w:tcW w:w="4183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Условное обозначение комплексов</w:t>
            </w:r>
          </w:p>
        </w:tc>
        <w:tc>
          <w:tcPr>
            <w:tcW w:w="3493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Количество добавок в составе комплексных в расчете на сухое вещество, % массы цемента</w:t>
            </w:r>
          </w:p>
        </w:tc>
      </w:tr>
      <w:tr w:rsidR="00A30E24" w:rsidTr="00B94B27">
        <w:tc>
          <w:tcPr>
            <w:tcW w:w="2802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Ингибиторы коррозии стали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НН + (ТБН, БХН, БХК)</w:t>
            </w:r>
            <w:r w:rsidRPr="00B94B27">
              <w:rPr>
                <w:sz w:val="28"/>
                <w:szCs w:val="28"/>
              </w:rPr>
              <w:tab/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1,8...2 + 0,2...0,5</w:t>
            </w:r>
          </w:p>
        </w:tc>
      </w:tr>
      <w:tr w:rsidR="00A30E24" w:rsidTr="00B94B27">
        <w:tc>
          <w:tcPr>
            <w:tcW w:w="2802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Ускорители схватывания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ХК + (НН1,ХН,ННК)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0,5...3 + 0,5...3</w:t>
            </w:r>
          </w:p>
        </w:tc>
      </w:tr>
      <w:tr w:rsidR="00A30E24" w:rsidTr="00B94B27">
        <w:tc>
          <w:tcPr>
            <w:tcW w:w="2802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Ускорители твердения и ингибиторы коррозии стали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ХК + (НН, ННК)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0,5...3 + 0,5...3</w:t>
            </w:r>
          </w:p>
        </w:tc>
      </w:tr>
    </w:tbl>
    <w:p w:rsidR="00A30E24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736F">
        <w:rPr>
          <w:i/>
          <w:sz w:val="28"/>
          <w:szCs w:val="28"/>
        </w:rPr>
        <w:t>Примечание. Из компонентов, указанных в скобках, применяется только один</w:t>
      </w:r>
      <w:r>
        <w:rPr>
          <w:sz w:val="28"/>
          <w:szCs w:val="28"/>
        </w:rPr>
        <w:t>.</w:t>
      </w:r>
    </w:p>
    <w:p w:rsidR="00A30E24" w:rsidRPr="00037632" w:rsidRDefault="00A30E24" w:rsidP="002901F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37632">
        <w:rPr>
          <w:b/>
          <w:sz w:val="28"/>
          <w:szCs w:val="28"/>
        </w:rPr>
        <w:t xml:space="preserve">2.4.Комплекные добавки </w:t>
      </w:r>
      <w:r w:rsidRPr="00037632">
        <w:rPr>
          <w:b/>
          <w:sz w:val="28"/>
          <w:szCs w:val="28"/>
          <w:lang w:val="en-US"/>
        </w:rPr>
        <w:t>IV</w:t>
      </w:r>
      <w:r w:rsidRPr="00037632">
        <w:rPr>
          <w:b/>
          <w:sz w:val="28"/>
          <w:szCs w:val="28"/>
        </w:rPr>
        <w:t xml:space="preserve"> группы.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 xml:space="preserve">Наиболее эффективны и целесообразны в технологии бетона комплексные добавки IV группы — модификаторы на основе суперпластификаторов. 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Экономическая эффективность применения добавок во многом определяется их стоимостью и величиной оптимальной дозировки. Например, суперпластификаторы отечественных и зарубежных производителей, стоимость которых колеблется в пределах 25000...35000 руб./т (в ценах 2005 года), будут эффективны только в особых случаях. Исследованиями устан</w:t>
      </w:r>
      <w:r>
        <w:rPr>
          <w:sz w:val="28"/>
          <w:szCs w:val="28"/>
        </w:rPr>
        <w:t>овлено, что эффективность супер</w:t>
      </w:r>
      <w:r w:rsidRPr="002901F6">
        <w:rPr>
          <w:sz w:val="28"/>
          <w:szCs w:val="28"/>
        </w:rPr>
        <w:t>пластификатора С-3 может быть повышена за счет замены части его на дешевый лигносульфонат. В частности, для монолитного бетона возм</w:t>
      </w:r>
      <w:r>
        <w:rPr>
          <w:sz w:val="28"/>
          <w:szCs w:val="28"/>
        </w:rPr>
        <w:t>ожна замена от 30 до 70 % супер</w:t>
      </w:r>
      <w:r w:rsidRPr="002901F6">
        <w:rPr>
          <w:sz w:val="28"/>
          <w:szCs w:val="28"/>
        </w:rPr>
        <w:t>пластификатора на ЛСТ без снижения показателей качества бетона, Эффект от пластифицирующего действия можно усилить, добавив к вышеуказанным добавкам кремнийорганические жидкости ГКЖ-10 или ГКЖ-11, способные к воздухововлечению. В результате, можно добиться высоких показателей качества бетона при оптимальных затратах.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Комплексы, включающие супер</w:t>
      </w:r>
      <w:r w:rsidRPr="002901F6">
        <w:rPr>
          <w:sz w:val="28"/>
          <w:szCs w:val="28"/>
        </w:rPr>
        <w:t>пластификатор и ускоритель твердения, позволяют сократить длительность тепловой обработки бетона на 20...40 %, а в некоторых случаях и отказаться от нее. В состав комплексов, предназначенных для железобетонных конструкций высокой морозостойкости и водонепроницаемости, включают воздухововлекающие и гидрофобизирующие компоненты. Для высокоподвижных и литых бетонн</w:t>
      </w:r>
      <w:r>
        <w:rPr>
          <w:sz w:val="28"/>
          <w:szCs w:val="28"/>
        </w:rPr>
        <w:t>ых смесей целесообразно к супер</w:t>
      </w:r>
      <w:r w:rsidRPr="002901F6">
        <w:rPr>
          <w:sz w:val="28"/>
          <w:szCs w:val="28"/>
        </w:rPr>
        <w:t>пластификатору добавлять водоудерживающие, стабилизирующие компоненты, а также замедлители схватывания. При производстве предварительно-напряженных железобетонных изделий в комплексы с суперпластификаторами следует включать эффективные ингибиторы коррозии стали и добавки гидрофобизирующего действия.</w:t>
      </w:r>
    </w:p>
    <w:p w:rsidR="00A30E24" w:rsidRPr="002901F6" w:rsidRDefault="00A30E24" w:rsidP="0003763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Рекомендуемая дозировка и оптимальное сочетание (по совместимости) комплексных добавок IV группы приведены в табл. 4.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Таблица 4.Дозировка комплексных добавок IV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83"/>
        <w:gridCol w:w="3493"/>
      </w:tblGrid>
      <w:tr w:rsidR="00A30E24" w:rsidRPr="002901F6" w:rsidTr="00B94B27">
        <w:tc>
          <w:tcPr>
            <w:tcW w:w="2802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Назначение</w:t>
            </w:r>
          </w:p>
        </w:tc>
        <w:tc>
          <w:tcPr>
            <w:tcW w:w="4183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Условное обозначение комплексов</w:t>
            </w:r>
          </w:p>
        </w:tc>
        <w:tc>
          <w:tcPr>
            <w:tcW w:w="3493" w:type="dxa"/>
            <w:vAlign w:val="center"/>
          </w:tcPr>
          <w:p w:rsidR="00A30E24" w:rsidRPr="002901F6" w:rsidRDefault="00A30E24" w:rsidP="00B94B27">
            <w:pPr>
              <w:contextualSpacing/>
              <w:jc w:val="center"/>
            </w:pPr>
            <w:r w:rsidRPr="002901F6">
              <w:t>Количество добавок в составе комплексных в расчете на сухое вещество, % массы цемента</w:t>
            </w:r>
          </w:p>
        </w:tc>
      </w:tr>
      <w:tr w:rsidR="00A30E24" w:rsidTr="00B94B27">
        <w:tc>
          <w:tcPr>
            <w:tcW w:w="2802" w:type="dxa"/>
            <w:vMerge w:val="restart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ЛСТ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0,3...0,45 + 0,15...0,25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10-03 + ЛСТ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0,3...0,45 + 0,15...0,25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(ЩСПК, ЩСПК-2М, СПД-м, ЧСЩ)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0,35...0,45 + 0,15…0,25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ЛСТ +(ГКЖ-10,ГКЖ-И)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0,3...0,45 + 0,15...0,25 + 0,1...0,2</w:t>
            </w:r>
          </w:p>
        </w:tc>
      </w:tr>
      <w:tr w:rsidR="00A30E24" w:rsidTr="00B94B27">
        <w:tc>
          <w:tcPr>
            <w:tcW w:w="2802" w:type="dxa"/>
            <w:vMerge w:val="restart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 и воздухововлекающие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(ОНВ, КТП)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0,5...0,7 + 0,002...0,01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10-03 + (СНВ, КТП)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0,5...0,7 + 0,002...0,01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ЧСЩ + (СНВ, КТП)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0,35...0,45 + 0,15...0,25 + 0,002...0,01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10-03 + ЛСТ + (СНВ, ТП)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0,35...0,45 + 0,15...0,25 + 0,002...0,01</w:t>
            </w:r>
          </w:p>
        </w:tc>
      </w:tr>
      <w:tr w:rsidR="00A30E24" w:rsidTr="00B94B27">
        <w:tc>
          <w:tcPr>
            <w:tcW w:w="2802" w:type="dxa"/>
            <w:vMerge w:val="restart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 и ускорители твердения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(СН, ННХК)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0,35...0,45 + 0,3...1,5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10-03 + (СН,ННХК)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0,35...0,45 + 0,3...1,5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(ЛСТ, ЧСЩ) + СН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0,35...0,45 + 0,15...0,2 + 0,3...1,5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10-03 + ЛСТ + (СН, НХК)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0,35...0,45 + 0,15...0,2 + 0,3...1,5</w:t>
            </w:r>
          </w:p>
        </w:tc>
      </w:tr>
    </w:tbl>
    <w:p w:rsidR="00A30E24" w:rsidRDefault="00A30E24">
      <w:r>
        <w:br w:type="page"/>
      </w:r>
    </w:p>
    <w:p w:rsidR="00A30E24" w:rsidRPr="0029736F" w:rsidRDefault="00A30E24" w:rsidP="0029736F">
      <w:pPr>
        <w:spacing w:line="360" w:lineRule="auto"/>
        <w:rPr>
          <w:sz w:val="28"/>
          <w:szCs w:val="28"/>
        </w:rPr>
      </w:pPr>
      <w:r w:rsidRPr="0029736F">
        <w:rPr>
          <w:sz w:val="28"/>
          <w:szCs w:val="28"/>
        </w:rPr>
        <w:t>Продолжение таблицы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83"/>
        <w:gridCol w:w="3493"/>
      </w:tblGrid>
      <w:tr w:rsidR="00A30E24" w:rsidTr="00B94B27">
        <w:tc>
          <w:tcPr>
            <w:tcW w:w="2802" w:type="dxa"/>
            <w:vMerge w:val="restart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Пластифицирующие, воздухововлекающие и ингибиторы коррозии стали</w:t>
            </w: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С-З + СНВ + НН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0,5...0,7 + 0,002...0,01 + 0,5...1,5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С-3 + ГКЖ-10+БХК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0,3...0,45 + 0,1…0,2 + 0,3...0,5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10-03+ СНВ + ТБН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0,5...0,7 + 0,002...0,01 + 0,2...0,5</w:t>
            </w:r>
          </w:p>
        </w:tc>
      </w:tr>
      <w:tr w:rsidR="00A30E24" w:rsidTr="00B94B27">
        <w:tc>
          <w:tcPr>
            <w:tcW w:w="2802" w:type="dxa"/>
            <w:vMerge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10-03 +ГКЖ-10 + НН</w:t>
            </w:r>
          </w:p>
        </w:tc>
        <w:tc>
          <w:tcPr>
            <w:tcW w:w="3493" w:type="dxa"/>
            <w:vAlign w:val="center"/>
          </w:tcPr>
          <w:p w:rsidR="00A30E24" w:rsidRPr="00B94B27" w:rsidRDefault="00A30E24" w:rsidP="00B94B27">
            <w:pPr>
              <w:contextualSpacing/>
              <w:jc w:val="center"/>
              <w:rPr>
                <w:sz w:val="28"/>
                <w:szCs w:val="28"/>
              </w:rPr>
            </w:pPr>
            <w:r w:rsidRPr="00B94B27">
              <w:rPr>
                <w:sz w:val="28"/>
                <w:szCs w:val="28"/>
              </w:rPr>
              <w:t>0,3... 0,45 + ОД...0,2 +0,5. ..1,5</w:t>
            </w:r>
          </w:p>
        </w:tc>
      </w:tr>
    </w:tbl>
    <w:p w:rsidR="00A30E24" w:rsidRPr="0029736F" w:rsidRDefault="00A30E24" w:rsidP="002901F6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29736F">
        <w:rPr>
          <w:i/>
          <w:sz w:val="28"/>
          <w:szCs w:val="28"/>
        </w:rPr>
        <w:t>Примечание. Из компонентов, указанных в скобках, применяется только один.</w:t>
      </w:r>
    </w:p>
    <w:p w:rsidR="00A30E24" w:rsidRPr="00037632" w:rsidRDefault="00A30E24" w:rsidP="0003763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37632">
        <w:rPr>
          <w:b/>
          <w:sz w:val="28"/>
          <w:szCs w:val="28"/>
        </w:rPr>
        <w:t xml:space="preserve">2.5.Комплексные добавки </w:t>
      </w:r>
      <w:r w:rsidRPr="00037632">
        <w:rPr>
          <w:b/>
          <w:sz w:val="28"/>
          <w:szCs w:val="28"/>
          <w:lang w:val="en-US"/>
        </w:rPr>
        <w:t>V</w:t>
      </w:r>
      <w:r w:rsidRPr="00037632">
        <w:rPr>
          <w:b/>
          <w:sz w:val="28"/>
          <w:szCs w:val="28"/>
        </w:rPr>
        <w:t xml:space="preserve"> группы.</w:t>
      </w:r>
    </w:p>
    <w:p w:rsidR="00A30E24" w:rsidRPr="002901F6" w:rsidRDefault="00A30E24" w:rsidP="0003763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Комплексные добавки V группы представляют собой сложные многокомпонентные комплексы, предназначенные для приданию бетону специальных свойств. К этой группе относятся битумная эмульсия БЭ и эмульсосуспензии, которые готовятся на основе битума, ЛСТ и воды (для эмульсосуспензии добавляется еще каолиновая суспензия). Эти добавки, являясь уплотнителями и гидрофобно-пластифицирующими компонентами, используются для повышения непроницаемости и долговечности железобетонных конструкций.</w:t>
      </w:r>
    </w:p>
    <w:p w:rsidR="00A30E24" w:rsidRPr="002901F6" w:rsidRDefault="00A30E24" w:rsidP="0003763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Для получения безусадочных и расширяющихся бетонов целесообразно использовать комплекс, включающий алюминиевую пудру, лигносульфонат и сульфат натрия: ПАК + + ЛСТ + СН. Компоненты комплексного продукта, вступая в химическое взаимодействие с гидроксидом кальция, способны образовывать гидросульфоалюминаты кальция и оказывать расширяющее действие на твердеющую систему бетона.</w:t>
      </w:r>
    </w:p>
    <w:p w:rsidR="00A30E24" w:rsidRPr="0029736F" w:rsidRDefault="00A30E24" w:rsidP="0029736F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29736F">
        <w:rPr>
          <w:b/>
          <w:sz w:val="28"/>
          <w:szCs w:val="28"/>
        </w:rPr>
        <w:t>3.Комплексные добавки многоцелевого воздействия.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 xml:space="preserve">Комплексные добавки многоцелевого назначения обладают полифункциональным действием, т. е. способностью влиять сразу на несколько характеристик бетона, часто не связанных друг с другом, а в некоторых случаях и придавать бетону новые свойства. </w:t>
      </w:r>
    </w:p>
    <w:p w:rsidR="00A30E24" w:rsidRPr="002901F6" w:rsidRDefault="00A30E24" w:rsidP="0029736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Одним из наиболее эффективных способов придания повышенной стойкости бетону железобетонных конструкций, эксплуатирующихся в хлоридных средах, и одновременно улучшающих защитные свойства бетона по отношению к стальной арматуре, является применение комплексных полифункциональных модификаторов ингибирующего действия (ПФМИ), разработанных в НИИЖБе (табл. 5).</w:t>
      </w:r>
    </w:p>
    <w:p w:rsidR="00A30E24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Таблица 5. Состав полифункциональных модификаторов</w:t>
      </w:r>
    </w:p>
    <w:p w:rsidR="00A30E24" w:rsidRPr="002901F6" w:rsidRDefault="001B2F8F" w:rsidP="0029736F">
      <w:pPr>
        <w:spacing w:line="360" w:lineRule="auto"/>
        <w:ind w:left="-142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таблица5.jpg" style="width:521.25pt;height:224.25pt;visibility:visible">
            <v:imagedata r:id="rId7" o:title=""/>
          </v:shape>
        </w:pic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Примечания.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1. * - коэффициент солестойкости определен как отношение, прочности бетона после испытаний к прочности бетона до испытаний.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2. Исследования проведены на портландцементе марки 400 Воскресенского завода.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3. Подвижность бетонной смеси в экспериментах была постоянной и соответствовала осадке конуса 2...3 см.</w:t>
      </w:r>
    </w:p>
    <w:p w:rsidR="00A30E24" w:rsidRDefault="00A30E24" w:rsidP="00D13F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>Табличные данные свидетельствуют о сохранении высокой прочности бетона с полифункциональными модификаторами после 80 циклов испытаний, что объясняется высокой плотностью бетона и его стабильной структурой. Следовательно, применение комплексных добавок, улучшающих технологические свойства бетонной смеси при её уплотнении, а также снижающих проницаемость бетона и повышающих защитные свойства бетона по отношению к арматуре, является наиболее эффективным способом повышения долго</w:t>
      </w:r>
      <w:r>
        <w:rPr>
          <w:sz w:val="28"/>
          <w:szCs w:val="28"/>
        </w:rPr>
        <w:t>вечности бетона.</w:t>
      </w:r>
    </w:p>
    <w:p w:rsidR="00A30E24" w:rsidRPr="00D13FD0" w:rsidRDefault="00A30E24" w:rsidP="0029736F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13FD0">
        <w:rPr>
          <w:b/>
          <w:sz w:val="28"/>
          <w:szCs w:val="28"/>
        </w:rPr>
        <w:t>.Новые виды комплексных добавок.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901F6">
        <w:rPr>
          <w:sz w:val="28"/>
          <w:szCs w:val="28"/>
        </w:rPr>
        <w:t xml:space="preserve">В последние годы в нашей стране разработаны и успешно применяются новые высокоэффективные комплексные добавки на основе суперпластификаторов. перечень и характеристики которых приведены ниже. 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Реламикс</w:t>
      </w:r>
      <w:r w:rsidRPr="002901F6">
        <w:rPr>
          <w:sz w:val="28"/>
          <w:szCs w:val="28"/>
        </w:rPr>
        <w:t>. Комплексный продукт на основе натриевых солей полиметиленнафталинсульфокислот и ускорителей набора прочности. Добавка в виде водорастворимого порошка светло-коричневого цвета или водного раствора темно-коричневого цвета, имеющего концентрацию не менее 32 %. Позволяет полностью отказаться от тепловой обработки бетона. Рекомендуемая дозировка: 0,6...1 % массы цемента.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Линамикс</w:t>
      </w:r>
      <w:r w:rsidRPr="002901F6">
        <w:rPr>
          <w:sz w:val="28"/>
          <w:szCs w:val="28"/>
        </w:rPr>
        <w:t>. Комплексный продукт на основе натриевых солей полиметиленнафталинсульфокислот и замедлителей схватывания на основе лигносульфонатов. Добавка в виде водорастворимого порошка коричневого цвета или водного раствора темно-коричневого цвета, имеющего концентрацию не менее 32 %, Повышает живучесть смеси до 2,5 ч. Рекомендуемая дозировка: 0,3...0,4 % массы цемента.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Дефомикс</w:t>
      </w:r>
      <w:r w:rsidRPr="002901F6">
        <w:rPr>
          <w:sz w:val="28"/>
          <w:szCs w:val="28"/>
        </w:rPr>
        <w:t>. Комплексный продукт на основе натриевых солей полиметиленнафталинсульфокислот и пеногасителей (воздухоподавляющего компонента). Добавка в виде водорастворимого порошка коричневого цвета или водного раствора темно-коричневого цвета, имеющего концентрацию не менее 32 %. Обеспечивает снижение воздухововлечения в бетонную смесь до 0,8...1 %, Дозировка: 0,4...0,8 % массы цемента.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С-ЗМ-15</w:t>
      </w:r>
      <w:r w:rsidRPr="002901F6">
        <w:rPr>
          <w:sz w:val="28"/>
          <w:szCs w:val="28"/>
        </w:rPr>
        <w:t>. Комплексный продукт на основе натриевых солей полиметиленнафталинсульфокислот и противоморозного компонента на основе формиата натрия. Добавка в виде водорастворимого порошка коричневого цвета или водного раствора темно-коричневого цвета, имеющего концентрацию не менее 32 %. Добавка не содержит едких веществ, содержание хлорид-ионов не более 0,1 %. Обеспечивает нормативный набор прочности при температуре до минус 15 °С. Дозировка: 1, 1,5 и 2,5 % соответствует температуре окружающего воздуха: -5 °С, -10 °С и -15 °С.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ПФМ-НЛК</w:t>
      </w:r>
      <w:r w:rsidRPr="002901F6">
        <w:rPr>
          <w:sz w:val="28"/>
          <w:szCs w:val="28"/>
        </w:rPr>
        <w:t>. Комплексная добавка на основе пластифицирующих, воздухововлекающих и гидрофобизирующих компонентов. Добавка в виде водорастворимого порошка коричневого цвета или водного раствора темно-коричневого цвета, имеющего концентрацию не менее 32 %. Позволяет получать литые смеси и отказаться от дополнительных энергозатрат на уплотнение. Дозировка: 0,3...0,7 % массы цемента.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Гексалит</w:t>
      </w:r>
      <w:r w:rsidRPr="002901F6">
        <w:rPr>
          <w:sz w:val="28"/>
          <w:szCs w:val="28"/>
        </w:rPr>
        <w:t>. Комплексная добавка на основе компонентов пластифицирующего действия и ускорителей схватывания. Обеспечивает набор прочности бетона в суточном возрасте - 80 % от проектной. Добавка в виде порошка вводится в смесь сухих компонентов смеси. Дозировка: 7,5 % массы цемента.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БИОТЕХ-НМ</w:t>
      </w:r>
      <w:r w:rsidRPr="002901F6">
        <w:rPr>
          <w:sz w:val="28"/>
          <w:szCs w:val="28"/>
        </w:rPr>
        <w:t>. Многофункциональная добавка на основе пластификаторов, ускорителей твердения и других компонентов, повышающих морозостойкость и водонепроницаемость бетонов и строительных растворов. Применяется с без добавочным портландцементом. Добавка в виде порошка вводится в смесь сухих компонентов смеси. Рекомендуемая дозировка: 1,5...2,5 % массы цемента.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Реомикс 405</w:t>
      </w:r>
      <w:r w:rsidRPr="002901F6">
        <w:rPr>
          <w:sz w:val="28"/>
          <w:szCs w:val="28"/>
        </w:rPr>
        <w:t>. Смесь пластификатора на основе лигносульфонатов и ускорителей на базе хлоридов; может использоваться как противоморозная добавка, обеспечивая твердение бетона при температуре до минус 10 °С. Темно-коричневая жидкость плотностью 1,34 кг/л; содержание хлоридов — 0,75 % массы цемента. Не рекомендуется использовать с высокоглиноземистыми цементами. Дозировка: 1,7 л на 100 кг цемента при температуре окружающего воздуха выше —4 °С и 3,4 л при температуре от —4 °С до —7 °С.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Универсал-П-2.</w:t>
      </w:r>
      <w:r w:rsidRPr="002901F6">
        <w:rPr>
          <w:sz w:val="28"/>
          <w:szCs w:val="28"/>
        </w:rPr>
        <w:t xml:space="preserve"> Комплексная добавка на основе сильно пластифицирующих компонентов, ускорителей твердения, воздухововлекающего агента и ингибитора коррозии стали. Продукт в виде порошка коричневого цвета. Совместим с пенообразователями Пеностром, ПБ-2000. Позволяет отказаться от тепловой обработки бетона. Способствует повышению морозостойкости и водонепроницаемости бетона на 1...2 марки. Рекомендуемая дозировка: 0,5...0,6 % массы цемента.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Монолит-2</w:t>
      </w:r>
      <w:r w:rsidRPr="002901F6">
        <w:rPr>
          <w:sz w:val="28"/>
          <w:szCs w:val="28"/>
        </w:rPr>
        <w:t>. Пластификатор спиртовой модифицированный на натриевой основе, обладающий противоморозным эффектом. Добавка не содержит ионов хлора, не вызывает коррозии арматуры. Продукт в виде порошка или концентрированного раствора. Рекомендуемая дозировка как пластификатора: 0,6...0,8 % массы цемента; как противоморозной добавки: 1,5 % при температуре до -5- °С; 2...3,5 % при температуре от -6°С до-15 °С.</w:t>
      </w:r>
    </w:p>
    <w:p w:rsidR="00A30E24" w:rsidRPr="002901F6" w:rsidRDefault="00A30E24" w:rsidP="002901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13FD0">
        <w:rPr>
          <w:b/>
          <w:i/>
          <w:sz w:val="28"/>
          <w:szCs w:val="28"/>
        </w:rPr>
        <w:t>Лигнопан Б2</w:t>
      </w:r>
      <w:r w:rsidRPr="002901F6">
        <w:rPr>
          <w:sz w:val="28"/>
          <w:szCs w:val="28"/>
        </w:rPr>
        <w:t>. Комплекс на основе пластифицирующих компонентов и ускорителей твердения для бетонов и растворов. Продукт на основе лигносульфонатов и неорганических солей; не содержит хлоридов, виде порошка или раствора 30 % концентрации. Дозировка: 0,6…1,5 % массы цемента.</w:t>
      </w:r>
    </w:p>
    <w:p w:rsidR="00A30E24" w:rsidRDefault="00A30E24" w:rsidP="0029736F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29736F">
        <w:rPr>
          <w:b/>
          <w:sz w:val="28"/>
          <w:szCs w:val="28"/>
        </w:rPr>
        <w:t>5.Список используемой литературы.</w:t>
      </w:r>
    </w:p>
    <w:p w:rsidR="00A30E24" w:rsidRPr="0029736F" w:rsidRDefault="00A30E24" w:rsidP="002901F6">
      <w:pPr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Информация взята с сайта </w:t>
      </w:r>
      <w:r w:rsidRPr="0029736F">
        <w:rPr>
          <w:i/>
          <w:sz w:val="28"/>
          <w:szCs w:val="28"/>
          <w:lang w:val="en-US"/>
        </w:rPr>
        <w:t>www</w:t>
      </w:r>
      <w:r w:rsidRPr="0029736F">
        <w:rPr>
          <w:i/>
          <w:sz w:val="28"/>
          <w:szCs w:val="28"/>
        </w:rPr>
        <w:t>.</w:t>
      </w:r>
      <w:r w:rsidRPr="0029736F">
        <w:rPr>
          <w:i/>
          <w:sz w:val="28"/>
          <w:szCs w:val="28"/>
          <w:lang w:val="en-US"/>
        </w:rPr>
        <w:t>betonoved</w:t>
      </w:r>
      <w:r w:rsidRPr="0029736F">
        <w:rPr>
          <w:i/>
          <w:sz w:val="28"/>
          <w:szCs w:val="28"/>
        </w:rPr>
        <w:t>.</w:t>
      </w:r>
      <w:r w:rsidRPr="0029736F">
        <w:rPr>
          <w:i/>
          <w:sz w:val="28"/>
          <w:szCs w:val="28"/>
          <w:lang w:val="en-US"/>
        </w:rPr>
        <w:t>ru</w:t>
      </w:r>
      <w:r w:rsidRPr="0029736F">
        <w:rPr>
          <w:sz w:val="28"/>
          <w:szCs w:val="28"/>
        </w:rPr>
        <w:t>.</w:t>
      </w:r>
      <w:bookmarkStart w:id="0" w:name="_GoBack"/>
      <w:bookmarkEnd w:id="0"/>
    </w:p>
    <w:sectPr w:rsidR="00A30E24" w:rsidRPr="0029736F" w:rsidSect="002901F6">
      <w:headerReference w:type="default" r:id="rId8"/>
      <w:footerReference w:type="default" r:id="rId9"/>
      <w:pgSz w:w="11906" w:h="16838"/>
      <w:pgMar w:top="397" w:right="397" w:bottom="964" w:left="1247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24" w:rsidRDefault="00A30E24">
      <w:r>
        <w:separator/>
      </w:r>
    </w:p>
  </w:endnote>
  <w:endnote w:type="continuationSeparator" w:id="0">
    <w:p w:rsidR="00A30E24" w:rsidRDefault="00A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24" w:rsidRDefault="001B2F8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3.8pt;margin-top:.95pt;width:273.6pt;height:22.8pt;z-index:251658240" filled="f" stroked="f">
          <v:textbox>
            <w:txbxContent>
              <w:p w:rsidR="00A30E24" w:rsidRPr="0018458A" w:rsidRDefault="00A30E24">
                <w:pPr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24" w:rsidRDefault="00A30E24">
      <w:r>
        <w:separator/>
      </w:r>
    </w:p>
  </w:footnote>
  <w:footnote w:type="continuationSeparator" w:id="0">
    <w:p w:rsidR="00A30E24" w:rsidRDefault="00A3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24" w:rsidRDefault="001B2F8F">
    <w:pPr>
      <w:pStyle w:val="a5"/>
    </w:pPr>
    <w:r>
      <w:rPr>
        <w:noProof/>
      </w:rPr>
      <w:pict>
        <v:group id="_x0000_s2049" style="position:absolute;margin-left:56.7pt;margin-top:14.2pt;width:523.85pt;height:813.55pt;z-index:251657216;mso-position-horizontal-relative:page;mso-position-vertical-relative:page" coordorigin="1161,234" coordsize="10477,16330">
          <v:rect id="_x0000_s2050" style="position:absolute;left:4401;top:15714;width:720;height:850" filled="f"/>
          <v:rect id="_x0000_s2051" style="position:absolute;left:1701;top:15714;width:720;height:850" filled="f"/>
          <v:rect id="_x0000_s2052" style="position:absolute;left:2421;top:15714;width:1080;height:850" filled="f"/>
          <v:group id="_x0000_s2053" style="position:absolute;left:1161;top:234;width:10477;height:16330" coordorigin="1161,234" coordsize="10477,16330">
            <v:rect id="_x0000_s2054" style="position:absolute;left:1161;top:234;width:10477;height:16322" filled="f"/>
            <v:rect id="_x0000_s2055" style="position:absolute;left:1161;top:15714;width:10467;height:850" filled="f"/>
            <v:rect id="_x0000_s2056" style="position:absolute;left:11061;top:15714;width:568;height:850" filled="f"/>
            <v:rect id="_x0000_s2057" style="position:absolute;left:1161;top:16281;width:540;height:283">
              <v:textbox style="mso-next-textbox:#_x0000_s2057" inset="0,0,0,0">
                <w:txbxContent>
                  <w:p w:rsidR="00A30E24" w:rsidRDefault="00A30E24" w:rsidP="001D298B">
                    <w:pPr>
                      <w:jc w:val="center"/>
                    </w:pPr>
                    <w:r>
                      <w:t>Изм</w:t>
                    </w:r>
                  </w:p>
                </w:txbxContent>
              </v:textbox>
            </v:rect>
            <v:rect id="_x0000_s2058" style="position:absolute;left:1161;top:15714;width:540;height:283"/>
            <v:rect id="_x0000_s2059" style="position:absolute;left:1701;top:15714;width:720;height:283"/>
            <v:rect id="_x0000_s2060" style="position:absolute;left:1701;top:16281;width:720;height:283">
              <v:textbox style="mso-next-textbox:#_x0000_s2060" inset="0,0,0,0">
                <w:txbxContent>
                  <w:p w:rsidR="00A30E24" w:rsidRDefault="00A30E24" w:rsidP="001D298B">
                    <w:pPr>
                      <w:jc w:val="center"/>
                    </w:pPr>
                    <w:r>
                      <w:t>Лист</w:t>
                    </w:r>
                  </w:p>
                </w:txbxContent>
              </v:textbox>
            </v:rect>
            <v:rect id="_x0000_s2061" style="position:absolute;left:2421;top:16281;width:1080;height:283">
              <v:textbox style="mso-next-textbox:#_x0000_s2061" inset="0,0,0,0">
                <w:txbxContent>
                  <w:p w:rsidR="00A30E24" w:rsidRDefault="00A30E24" w:rsidP="001D298B">
                    <w:pPr>
                      <w:jc w:val="center"/>
                    </w:pPr>
                    <w:r>
                      <w:t>№ докум</w:t>
                    </w:r>
                  </w:p>
                </w:txbxContent>
              </v:textbox>
            </v:rect>
            <v:rect id="_x0000_s2062" style="position:absolute;left:3501;top:16281;width:900;height:283">
              <v:textbox style="mso-next-textbox:#_x0000_s2062" inset="0,0,0,0">
                <w:txbxContent>
                  <w:p w:rsidR="00A30E24" w:rsidRDefault="00A30E24" w:rsidP="001D298B">
                    <w:pPr>
                      <w:jc w:val="center"/>
                    </w:pPr>
                    <w:r>
                      <w:t>Подп.</w:t>
                    </w:r>
                  </w:p>
                </w:txbxContent>
              </v:textbox>
            </v:rect>
            <v:rect id="_x0000_s2063" style="position:absolute;left:4401;top:16281;width:720;height:283">
              <v:textbox style="mso-next-textbox:#_x0000_s2063" inset="0,0,0,0">
                <w:txbxContent>
                  <w:p w:rsidR="00A30E24" w:rsidRDefault="00A30E24" w:rsidP="001D298B">
                    <w:pPr>
                      <w:jc w:val="center"/>
                    </w:pPr>
                    <w:r>
                      <w:t>Дата</w:t>
                    </w:r>
                  </w:p>
                </w:txbxContent>
              </v:textbox>
            </v:rect>
            <v:rect id="_x0000_s2064" style="position:absolute;left:2421;top:15714;width:1080;height:283"/>
            <v:rect id="_x0000_s2065" style="position:absolute;left:3501;top:15714;width:900;height:283"/>
            <v:rect id="_x0000_s2066" style="position:absolute;left:4401;top:15714;width:720;height:283"/>
            <v:rect id="_x0000_s2067" style="position:absolute;left:11061;top:15714;width:568;height:283">
              <v:textbox style="mso-next-textbox:#_x0000_s2067" inset="0,0,0,0">
                <w:txbxContent>
                  <w:p w:rsidR="00A30E24" w:rsidRDefault="00A30E24" w:rsidP="001D298B">
                    <w:pPr>
                      <w:jc w:val="center"/>
                    </w:pPr>
                    <w:r>
                      <w:t>Лист</w:t>
                    </w:r>
                  </w:p>
                </w:txbxContent>
              </v:textbox>
            </v:rect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F07"/>
    <w:multiLevelType w:val="multilevel"/>
    <w:tmpl w:val="8B68ACB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1">
    <w:nsid w:val="037266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3EE74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581662E"/>
    <w:multiLevelType w:val="hybridMultilevel"/>
    <w:tmpl w:val="7F4C2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D112A"/>
    <w:multiLevelType w:val="multilevel"/>
    <w:tmpl w:val="5B9E343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5">
    <w:nsid w:val="07061AA1"/>
    <w:multiLevelType w:val="hybridMultilevel"/>
    <w:tmpl w:val="B30C8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B1ACC"/>
    <w:multiLevelType w:val="multilevel"/>
    <w:tmpl w:val="6B96C73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7">
    <w:nsid w:val="08DB6BC7"/>
    <w:multiLevelType w:val="multilevel"/>
    <w:tmpl w:val="FD4E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514E25"/>
    <w:multiLevelType w:val="hybridMultilevel"/>
    <w:tmpl w:val="2F9AA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83844BA"/>
    <w:multiLevelType w:val="multilevel"/>
    <w:tmpl w:val="9FECB9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9BC7F92"/>
    <w:multiLevelType w:val="hybridMultilevel"/>
    <w:tmpl w:val="C9F8E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055390"/>
    <w:multiLevelType w:val="multilevel"/>
    <w:tmpl w:val="2096A58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1027763"/>
    <w:multiLevelType w:val="hybridMultilevel"/>
    <w:tmpl w:val="E60E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7307AC"/>
    <w:multiLevelType w:val="hybridMultilevel"/>
    <w:tmpl w:val="FBAC953E"/>
    <w:lvl w:ilvl="0" w:tplc="C92E7F8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8714E3"/>
    <w:multiLevelType w:val="multilevel"/>
    <w:tmpl w:val="09F6A07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7F787F"/>
    <w:multiLevelType w:val="multilevel"/>
    <w:tmpl w:val="FD040D7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76426D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387814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C651E11"/>
    <w:multiLevelType w:val="multilevel"/>
    <w:tmpl w:val="4308DA9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EEA4F31"/>
    <w:multiLevelType w:val="multilevel"/>
    <w:tmpl w:val="2514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020E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4869185C"/>
    <w:multiLevelType w:val="hybridMultilevel"/>
    <w:tmpl w:val="76528D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BC7622C"/>
    <w:multiLevelType w:val="hybridMultilevel"/>
    <w:tmpl w:val="C1C408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BA68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56DA3E3A"/>
    <w:multiLevelType w:val="hybridMultilevel"/>
    <w:tmpl w:val="0848EB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7E5272A"/>
    <w:multiLevelType w:val="hybridMultilevel"/>
    <w:tmpl w:val="73DA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6C0431"/>
    <w:multiLevelType w:val="hybridMultilevel"/>
    <w:tmpl w:val="05A271DE"/>
    <w:lvl w:ilvl="0" w:tplc="12A6E07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77124E"/>
    <w:multiLevelType w:val="multilevel"/>
    <w:tmpl w:val="F822C06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8C937A4"/>
    <w:multiLevelType w:val="multilevel"/>
    <w:tmpl w:val="4C747D0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986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29">
    <w:nsid w:val="6B0863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6CCC0DB2"/>
    <w:multiLevelType w:val="hybridMultilevel"/>
    <w:tmpl w:val="2C448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35C2C"/>
    <w:multiLevelType w:val="hybridMultilevel"/>
    <w:tmpl w:val="8AF4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8125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7831497C"/>
    <w:multiLevelType w:val="multilevel"/>
    <w:tmpl w:val="BC8842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4">
    <w:nsid w:val="7A1545AF"/>
    <w:multiLevelType w:val="hybridMultilevel"/>
    <w:tmpl w:val="F7087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5"/>
  </w:num>
  <w:num w:numId="7">
    <w:abstractNumId w:val="33"/>
  </w:num>
  <w:num w:numId="8">
    <w:abstractNumId w:val="18"/>
  </w:num>
  <w:num w:numId="9">
    <w:abstractNumId w:val="3"/>
  </w:num>
  <w:num w:numId="10">
    <w:abstractNumId w:val="6"/>
  </w:num>
  <w:num w:numId="11">
    <w:abstractNumId w:val="3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34"/>
  </w:num>
  <w:num w:numId="16">
    <w:abstractNumId w:val="24"/>
  </w:num>
  <w:num w:numId="17">
    <w:abstractNumId w:val="8"/>
  </w:num>
  <w:num w:numId="18">
    <w:abstractNumId w:val="1"/>
  </w:num>
  <w:num w:numId="19">
    <w:abstractNumId w:val="28"/>
  </w:num>
  <w:num w:numId="20">
    <w:abstractNumId w:val="29"/>
  </w:num>
  <w:num w:numId="21">
    <w:abstractNumId w:val="17"/>
  </w:num>
  <w:num w:numId="22">
    <w:abstractNumId w:val="19"/>
  </w:num>
  <w:num w:numId="23">
    <w:abstractNumId w:val="23"/>
  </w:num>
  <w:num w:numId="24">
    <w:abstractNumId w:val="2"/>
  </w:num>
  <w:num w:numId="25">
    <w:abstractNumId w:val="20"/>
  </w:num>
  <w:num w:numId="26">
    <w:abstractNumId w:val="25"/>
  </w:num>
  <w:num w:numId="27">
    <w:abstractNumId w:val="32"/>
  </w:num>
  <w:num w:numId="28">
    <w:abstractNumId w:val="31"/>
  </w:num>
  <w:num w:numId="29">
    <w:abstractNumId w:val="21"/>
  </w:num>
  <w:num w:numId="30">
    <w:abstractNumId w:val="10"/>
  </w:num>
  <w:num w:numId="31">
    <w:abstractNumId w:val="22"/>
  </w:num>
  <w:num w:numId="32">
    <w:abstractNumId w:val="26"/>
  </w:num>
  <w:num w:numId="33">
    <w:abstractNumId w:val="13"/>
  </w:num>
  <w:num w:numId="34">
    <w:abstractNumId w:val="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rawingGridVerticalSpacing w:val="57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1A4"/>
    <w:rsid w:val="000025D6"/>
    <w:rsid w:val="00013F3D"/>
    <w:rsid w:val="00015D16"/>
    <w:rsid w:val="000218BA"/>
    <w:rsid w:val="00031495"/>
    <w:rsid w:val="00037632"/>
    <w:rsid w:val="00051AE8"/>
    <w:rsid w:val="00052E55"/>
    <w:rsid w:val="000A0681"/>
    <w:rsid w:val="000A1720"/>
    <w:rsid w:val="000A4E7C"/>
    <w:rsid w:val="000B2032"/>
    <w:rsid w:val="000C5C7D"/>
    <w:rsid w:val="000D2C16"/>
    <w:rsid w:val="000E0F93"/>
    <w:rsid w:val="000E1D80"/>
    <w:rsid w:val="00101853"/>
    <w:rsid w:val="00105A29"/>
    <w:rsid w:val="00106BA0"/>
    <w:rsid w:val="00132325"/>
    <w:rsid w:val="001422AF"/>
    <w:rsid w:val="001471EB"/>
    <w:rsid w:val="00152D2D"/>
    <w:rsid w:val="001653C5"/>
    <w:rsid w:val="00182B68"/>
    <w:rsid w:val="0018458A"/>
    <w:rsid w:val="001928FA"/>
    <w:rsid w:val="001B2686"/>
    <w:rsid w:val="001B2F8F"/>
    <w:rsid w:val="001B4005"/>
    <w:rsid w:val="001B6FCF"/>
    <w:rsid w:val="001C4258"/>
    <w:rsid w:val="001C5230"/>
    <w:rsid w:val="001D298B"/>
    <w:rsid w:val="001E00AC"/>
    <w:rsid w:val="001E49CF"/>
    <w:rsid w:val="002013F2"/>
    <w:rsid w:val="00204BDF"/>
    <w:rsid w:val="00205052"/>
    <w:rsid w:val="002317D5"/>
    <w:rsid w:val="00237A0C"/>
    <w:rsid w:val="002416AA"/>
    <w:rsid w:val="002705BC"/>
    <w:rsid w:val="0028256A"/>
    <w:rsid w:val="002901F6"/>
    <w:rsid w:val="0029736F"/>
    <w:rsid w:val="002A6BC8"/>
    <w:rsid w:val="002E1685"/>
    <w:rsid w:val="002E5F5F"/>
    <w:rsid w:val="00302EFD"/>
    <w:rsid w:val="00317BC6"/>
    <w:rsid w:val="0032245C"/>
    <w:rsid w:val="003264D1"/>
    <w:rsid w:val="00360891"/>
    <w:rsid w:val="00361E32"/>
    <w:rsid w:val="003626FC"/>
    <w:rsid w:val="00371D77"/>
    <w:rsid w:val="00381625"/>
    <w:rsid w:val="003835AF"/>
    <w:rsid w:val="003B5633"/>
    <w:rsid w:val="003C2C38"/>
    <w:rsid w:val="003C7B49"/>
    <w:rsid w:val="003D00B5"/>
    <w:rsid w:val="003D298F"/>
    <w:rsid w:val="003D4A50"/>
    <w:rsid w:val="003D4EC9"/>
    <w:rsid w:val="003D7B9A"/>
    <w:rsid w:val="003F50CE"/>
    <w:rsid w:val="0040581F"/>
    <w:rsid w:val="0041030B"/>
    <w:rsid w:val="0041586E"/>
    <w:rsid w:val="00462FEC"/>
    <w:rsid w:val="00472E33"/>
    <w:rsid w:val="004757BF"/>
    <w:rsid w:val="00477EFB"/>
    <w:rsid w:val="0048014A"/>
    <w:rsid w:val="004B1F63"/>
    <w:rsid w:val="004B4ECA"/>
    <w:rsid w:val="004C5145"/>
    <w:rsid w:val="004D3119"/>
    <w:rsid w:val="00504463"/>
    <w:rsid w:val="00517AB2"/>
    <w:rsid w:val="00537E5D"/>
    <w:rsid w:val="005561E2"/>
    <w:rsid w:val="00570741"/>
    <w:rsid w:val="005B650D"/>
    <w:rsid w:val="005C581D"/>
    <w:rsid w:val="005E3A70"/>
    <w:rsid w:val="005F3B95"/>
    <w:rsid w:val="00607640"/>
    <w:rsid w:val="006163EF"/>
    <w:rsid w:val="00622597"/>
    <w:rsid w:val="00635CBC"/>
    <w:rsid w:val="006364E9"/>
    <w:rsid w:val="00641D66"/>
    <w:rsid w:val="00642724"/>
    <w:rsid w:val="00650B93"/>
    <w:rsid w:val="006606BA"/>
    <w:rsid w:val="006612C4"/>
    <w:rsid w:val="00670B61"/>
    <w:rsid w:val="00673FED"/>
    <w:rsid w:val="00680277"/>
    <w:rsid w:val="006B1E5C"/>
    <w:rsid w:val="006B2BAF"/>
    <w:rsid w:val="006C45B0"/>
    <w:rsid w:val="006D1090"/>
    <w:rsid w:val="006D62A5"/>
    <w:rsid w:val="006E0875"/>
    <w:rsid w:val="006F16D0"/>
    <w:rsid w:val="006F26CF"/>
    <w:rsid w:val="00701721"/>
    <w:rsid w:val="00713228"/>
    <w:rsid w:val="00717FE4"/>
    <w:rsid w:val="007238DB"/>
    <w:rsid w:val="007243D8"/>
    <w:rsid w:val="00726051"/>
    <w:rsid w:val="00751D00"/>
    <w:rsid w:val="00762A42"/>
    <w:rsid w:val="00763095"/>
    <w:rsid w:val="00763A28"/>
    <w:rsid w:val="007942F3"/>
    <w:rsid w:val="00795FD5"/>
    <w:rsid w:val="00797857"/>
    <w:rsid w:val="007B05C7"/>
    <w:rsid w:val="007D6999"/>
    <w:rsid w:val="007D749D"/>
    <w:rsid w:val="007E1548"/>
    <w:rsid w:val="007E73C2"/>
    <w:rsid w:val="0082018F"/>
    <w:rsid w:val="00822052"/>
    <w:rsid w:val="00831908"/>
    <w:rsid w:val="00834CD3"/>
    <w:rsid w:val="00841A51"/>
    <w:rsid w:val="00844329"/>
    <w:rsid w:val="00846D02"/>
    <w:rsid w:val="0085509D"/>
    <w:rsid w:val="00862B5F"/>
    <w:rsid w:val="00864B92"/>
    <w:rsid w:val="00886E98"/>
    <w:rsid w:val="008921EE"/>
    <w:rsid w:val="00897EAA"/>
    <w:rsid w:val="008A5DC7"/>
    <w:rsid w:val="008B072D"/>
    <w:rsid w:val="008B5A26"/>
    <w:rsid w:val="008D6198"/>
    <w:rsid w:val="008E2F47"/>
    <w:rsid w:val="008E7EBA"/>
    <w:rsid w:val="008F1017"/>
    <w:rsid w:val="008F21BF"/>
    <w:rsid w:val="008F24EC"/>
    <w:rsid w:val="00906892"/>
    <w:rsid w:val="009108A8"/>
    <w:rsid w:val="0091185D"/>
    <w:rsid w:val="00914831"/>
    <w:rsid w:val="009341CF"/>
    <w:rsid w:val="009624DE"/>
    <w:rsid w:val="009718A3"/>
    <w:rsid w:val="00991968"/>
    <w:rsid w:val="009A70A2"/>
    <w:rsid w:val="009B3B69"/>
    <w:rsid w:val="009C1519"/>
    <w:rsid w:val="009C5D97"/>
    <w:rsid w:val="00A112E1"/>
    <w:rsid w:val="00A30E24"/>
    <w:rsid w:val="00A6305E"/>
    <w:rsid w:val="00A6561C"/>
    <w:rsid w:val="00A6776B"/>
    <w:rsid w:val="00A705C1"/>
    <w:rsid w:val="00A71FB9"/>
    <w:rsid w:val="00A91CD7"/>
    <w:rsid w:val="00A94FAD"/>
    <w:rsid w:val="00AA60E1"/>
    <w:rsid w:val="00AB3AAE"/>
    <w:rsid w:val="00AB4E2B"/>
    <w:rsid w:val="00AC06E4"/>
    <w:rsid w:val="00AD7E8C"/>
    <w:rsid w:val="00B271A4"/>
    <w:rsid w:val="00B40523"/>
    <w:rsid w:val="00B52FCD"/>
    <w:rsid w:val="00B61FD8"/>
    <w:rsid w:val="00B62A06"/>
    <w:rsid w:val="00B837B2"/>
    <w:rsid w:val="00B94B27"/>
    <w:rsid w:val="00BA2299"/>
    <w:rsid w:val="00BA4B9F"/>
    <w:rsid w:val="00C015EA"/>
    <w:rsid w:val="00C07E08"/>
    <w:rsid w:val="00C36AEE"/>
    <w:rsid w:val="00C609C8"/>
    <w:rsid w:val="00C6754D"/>
    <w:rsid w:val="00C937B3"/>
    <w:rsid w:val="00CB2289"/>
    <w:rsid w:val="00CC145D"/>
    <w:rsid w:val="00D05A8E"/>
    <w:rsid w:val="00D13FD0"/>
    <w:rsid w:val="00D32784"/>
    <w:rsid w:val="00D3739E"/>
    <w:rsid w:val="00D3765F"/>
    <w:rsid w:val="00D70C79"/>
    <w:rsid w:val="00D95B18"/>
    <w:rsid w:val="00DA510A"/>
    <w:rsid w:val="00DB74F7"/>
    <w:rsid w:val="00DE3079"/>
    <w:rsid w:val="00E00CD5"/>
    <w:rsid w:val="00E13658"/>
    <w:rsid w:val="00E150B5"/>
    <w:rsid w:val="00E163A0"/>
    <w:rsid w:val="00E25E33"/>
    <w:rsid w:val="00E27C35"/>
    <w:rsid w:val="00E34590"/>
    <w:rsid w:val="00E42296"/>
    <w:rsid w:val="00E70D4A"/>
    <w:rsid w:val="00E7219B"/>
    <w:rsid w:val="00EC3C87"/>
    <w:rsid w:val="00EC6466"/>
    <w:rsid w:val="00EC6F6F"/>
    <w:rsid w:val="00ED4485"/>
    <w:rsid w:val="00F0050D"/>
    <w:rsid w:val="00F044BD"/>
    <w:rsid w:val="00F10A95"/>
    <w:rsid w:val="00F12FEC"/>
    <w:rsid w:val="00F169D9"/>
    <w:rsid w:val="00F23F87"/>
    <w:rsid w:val="00F249EF"/>
    <w:rsid w:val="00F436B5"/>
    <w:rsid w:val="00F648D9"/>
    <w:rsid w:val="00F82EE7"/>
    <w:rsid w:val="00F93DA2"/>
    <w:rsid w:val="00F95FE3"/>
    <w:rsid w:val="00FA25EC"/>
    <w:rsid w:val="00FA655D"/>
    <w:rsid w:val="00FB43D3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5:chartTrackingRefBased/>
  <w15:docId w15:val="{826050FF-4C11-4178-B45D-35A0685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71A4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B271A4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1D298B"/>
    <w:pPr>
      <w:tabs>
        <w:tab w:val="center" w:pos="4677"/>
        <w:tab w:val="right" w:pos="9355"/>
      </w:tabs>
    </w:pPr>
  </w:style>
  <w:style w:type="paragraph" w:styleId="a7">
    <w:name w:val="Body Text"/>
    <w:basedOn w:val="a1"/>
    <w:link w:val="a8"/>
    <w:rsid w:val="006D1090"/>
    <w:pPr>
      <w:spacing w:after="120" w:line="360" w:lineRule="auto"/>
      <w:ind w:firstLine="709"/>
      <w:jc w:val="both"/>
    </w:pPr>
    <w:rPr>
      <w:i/>
      <w:sz w:val="28"/>
      <w:szCs w:val="28"/>
    </w:rPr>
  </w:style>
  <w:style w:type="paragraph" w:customStyle="1" w:styleId="a0">
    <w:name w:val="Подпункты"/>
    <w:basedOn w:val="a1"/>
    <w:rsid w:val="006D1090"/>
    <w:pPr>
      <w:numPr>
        <w:ilvl w:val="2"/>
        <w:numId w:val="7"/>
      </w:numPr>
      <w:tabs>
        <w:tab w:val="left" w:pos="0"/>
        <w:tab w:val="left" w:pos="180"/>
        <w:tab w:val="left" w:pos="1644"/>
      </w:tabs>
      <w:spacing w:line="480" w:lineRule="auto"/>
      <w:jc w:val="both"/>
    </w:pPr>
    <w:rPr>
      <w:b/>
      <w:i/>
      <w:sz w:val="28"/>
      <w:szCs w:val="28"/>
    </w:rPr>
  </w:style>
  <w:style w:type="paragraph" w:customStyle="1" w:styleId="a">
    <w:name w:val="ПУНКТЫ"/>
    <w:basedOn w:val="a1"/>
    <w:rsid w:val="006D1090"/>
    <w:pPr>
      <w:numPr>
        <w:ilvl w:val="1"/>
        <w:numId w:val="7"/>
      </w:numPr>
      <w:tabs>
        <w:tab w:val="left" w:pos="0"/>
        <w:tab w:val="left" w:pos="180"/>
        <w:tab w:val="left" w:pos="2268"/>
      </w:tabs>
      <w:spacing w:line="480" w:lineRule="auto"/>
    </w:pPr>
    <w:rPr>
      <w:b/>
      <w:i/>
      <w:sz w:val="32"/>
      <w:szCs w:val="32"/>
    </w:rPr>
  </w:style>
  <w:style w:type="character" w:customStyle="1" w:styleId="a8">
    <w:name w:val="Основной текст Знак"/>
    <w:link w:val="a7"/>
    <w:locked/>
    <w:rsid w:val="006D1090"/>
    <w:rPr>
      <w:i/>
      <w:sz w:val="28"/>
      <w:lang w:val="ru-RU" w:eastAsia="ru-RU"/>
    </w:rPr>
  </w:style>
  <w:style w:type="paragraph" w:customStyle="1" w:styleId="-">
    <w:name w:val="Текст в таблице - ШАПКА"/>
    <w:rsid w:val="006D1090"/>
    <w:pPr>
      <w:jc w:val="center"/>
    </w:pPr>
    <w:rPr>
      <w:b/>
      <w:i/>
      <w:sz w:val="24"/>
      <w:szCs w:val="24"/>
    </w:rPr>
  </w:style>
  <w:style w:type="paragraph" w:customStyle="1" w:styleId="a9">
    <w:name w:val="Текст в таблице"/>
    <w:rsid w:val="00B62A06"/>
    <w:pPr>
      <w:jc w:val="center"/>
    </w:pPr>
    <w:rPr>
      <w:i/>
      <w:sz w:val="28"/>
      <w:szCs w:val="28"/>
    </w:rPr>
  </w:style>
  <w:style w:type="table" w:styleId="aa">
    <w:name w:val="Table Grid"/>
    <w:basedOn w:val="a3"/>
    <w:rsid w:val="006E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2"/>
    <w:rsid w:val="003835AF"/>
    <w:rPr>
      <w:color w:val="2200CC"/>
      <w:u w:val="single"/>
    </w:rPr>
  </w:style>
  <w:style w:type="character" w:styleId="ac">
    <w:name w:val="Emphasis"/>
    <w:basedOn w:val="a2"/>
    <w:qFormat/>
    <w:rsid w:val="003835AF"/>
    <w:rPr>
      <w:b/>
    </w:rPr>
  </w:style>
  <w:style w:type="paragraph" w:customStyle="1" w:styleId="1">
    <w:name w:val="Абзац списка1"/>
    <w:basedOn w:val="a1"/>
    <w:rsid w:val="008D61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1"/>
    <w:link w:val="ae"/>
    <w:rsid w:val="002973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sid w:val="0029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Мама</dc:creator>
  <cp:keywords/>
  <dc:description/>
  <cp:lastModifiedBy>admin</cp:lastModifiedBy>
  <cp:revision>2</cp:revision>
  <cp:lastPrinted>2010-04-21T19:45:00Z</cp:lastPrinted>
  <dcterms:created xsi:type="dcterms:W3CDTF">2014-05-18T15:53:00Z</dcterms:created>
  <dcterms:modified xsi:type="dcterms:W3CDTF">2014-05-18T15:53:00Z</dcterms:modified>
</cp:coreProperties>
</file>