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01" w:rsidRDefault="00544A01">
      <w:pPr>
        <w:rPr>
          <w:b/>
        </w:rPr>
      </w:pPr>
    </w:p>
    <w:p w:rsidR="00544A01" w:rsidRDefault="00544A01">
      <w:pPr>
        <w:rPr>
          <w:b/>
        </w:rPr>
      </w:pPr>
      <w:r>
        <w:rPr>
          <w:b/>
        </w:rPr>
        <w:t>МСФО (</w:t>
      </w:r>
      <w:r>
        <w:rPr>
          <w:b/>
          <w:lang w:val="en-US"/>
        </w:rPr>
        <w:t>IAS</w:t>
      </w:r>
      <w:r>
        <w:rPr>
          <w:b/>
        </w:rPr>
        <w:t>) 39 «Финансовые инструменты – признание  оценка»</w:t>
      </w:r>
    </w:p>
    <w:p w:rsidR="00544A01" w:rsidRDefault="00544A01"/>
    <w:p w:rsidR="00544A01" w:rsidRDefault="00544A01">
      <w:pPr>
        <w:ind w:firstLine="540"/>
      </w:pPr>
      <w:r>
        <w:t>Финансовые инструменты представляют собой значительную часть деятельности большинства предприятий, и точная их идентификация является необходимостью для достоверного отражения финансового состояния организации. МСФО (</w:t>
      </w:r>
      <w:r>
        <w:rPr>
          <w:lang w:val="en-US"/>
        </w:rPr>
        <w:t>IAS</w:t>
      </w:r>
      <w:r>
        <w:t xml:space="preserve">) 39 «Финансовые инструменты – признание  оценка» представляет собой ряд рекомендаций, предназначенных для корректного признания, дальнейшей оценки и прекращения признания финансовых инструментов, находящихся в распоряжении предприятия. </w:t>
      </w:r>
    </w:p>
    <w:p w:rsidR="00544A01" w:rsidRDefault="00544A01">
      <w:pPr>
        <w:ind w:firstLine="540"/>
        <w:rPr>
          <w:b/>
          <w:i/>
        </w:rPr>
      </w:pPr>
      <w:r>
        <w:rPr>
          <w:b/>
          <w:i/>
        </w:rPr>
        <w:t>Сфера применения:</w:t>
      </w:r>
    </w:p>
    <w:p w:rsidR="00544A01" w:rsidRDefault="00544A01">
      <w:pPr>
        <w:ind w:firstLine="540"/>
      </w:pPr>
      <w:r>
        <w:t>Данный стандарт применяется во всех компаниях, использующих МСФО при составлении финансовой отчётности для всех типов финансовых инструментов, за исключением:</w:t>
      </w:r>
    </w:p>
    <w:p w:rsidR="00544A01" w:rsidRDefault="00544A01">
      <w:pPr>
        <w:numPr>
          <w:ilvl w:val="0"/>
          <w:numId w:val="3"/>
        </w:numPr>
      </w:pPr>
      <w:r>
        <w:t>долей участия в дочерних организациях, ассоциированных организациях и совместной деятельности (МСФО (</w:t>
      </w:r>
      <w:r>
        <w:rPr>
          <w:lang w:val="en-US"/>
        </w:rPr>
        <w:t>IAS</w:t>
      </w:r>
      <w:r>
        <w:t>) 27, 28, 31), если иного не требует МСФО (</w:t>
      </w:r>
      <w:r>
        <w:rPr>
          <w:lang w:val="en-US"/>
        </w:rPr>
        <w:t>IAS</w:t>
      </w:r>
      <w:r>
        <w:t>) 32;</w:t>
      </w:r>
    </w:p>
    <w:p w:rsidR="00544A01" w:rsidRDefault="00544A01">
      <w:pPr>
        <w:numPr>
          <w:ilvl w:val="0"/>
          <w:numId w:val="3"/>
        </w:numPr>
      </w:pPr>
      <w:r>
        <w:t>прав и обязательств по договорам аренды (МСФО (</w:t>
      </w:r>
      <w:r>
        <w:rPr>
          <w:lang w:val="en-US"/>
        </w:rPr>
        <w:t>IAS</w:t>
      </w:r>
      <w:r>
        <w:t>) 17), если иного не предусмотрено МСФО (</w:t>
      </w:r>
      <w:r>
        <w:rPr>
          <w:lang w:val="en-US"/>
        </w:rPr>
        <w:t>IAS</w:t>
      </w:r>
      <w:r>
        <w:t>) 39;</w:t>
      </w:r>
    </w:p>
    <w:p w:rsidR="00544A01" w:rsidRDefault="00544A01">
      <w:pPr>
        <w:numPr>
          <w:ilvl w:val="0"/>
          <w:numId w:val="3"/>
        </w:numPr>
      </w:pPr>
      <w:r>
        <w:t>прав и обязательств по программам вознаграждения работников, к которым применяется МСФО (</w:t>
      </w:r>
      <w:r>
        <w:rPr>
          <w:lang w:val="en-US"/>
        </w:rPr>
        <w:t>IAS</w:t>
      </w:r>
      <w:r>
        <w:t>) 19;</w:t>
      </w:r>
    </w:p>
    <w:p w:rsidR="00544A01" w:rsidRDefault="00544A01">
      <w:pPr>
        <w:numPr>
          <w:ilvl w:val="0"/>
          <w:numId w:val="3"/>
        </w:numPr>
      </w:pPr>
      <w:r>
        <w:t>прав и обязательств по договорам страхования (МСФО (</w:t>
      </w:r>
      <w:r>
        <w:rPr>
          <w:lang w:val="en-US"/>
        </w:rPr>
        <w:t>IFRS</w:t>
      </w:r>
      <w:r>
        <w:t>) 4), если иного не требует МСФО (</w:t>
      </w:r>
      <w:r>
        <w:rPr>
          <w:lang w:val="en-US"/>
        </w:rPr>
        <w:t>IAS</w:t>
      </w:r>
      <w:r>
        <w:t>) 32;</w:t>
      </w:r>
    </w:p>
    <w:p w:rsidR="00544A01" w:rsidRDefault="00544A01">
      <w:pPr>
        <w:numPr>
          <w:ilvl w:val="0"/>
          <w:numId w:val="3"/>
        </w:numPr>
      </w:pPr>
      <w:r>
        <w:t>договоров финансовых гарантий;</w:t>
      </w:r>
    </w:p>
    <w:p w:rsidR="00544A01" w:rsidRDefault="00544A01">
      <w:pPr>
        <w:ind w:firstLine="540"/>
      </w:pPr>
      <w:r>
        <w:t>В МСФО (</w:t>
      </w:r>
      <w:r>
        <w:rPr>
          <w:lang w:val="en-US"/>
        </w:rPr>
        <w:t>IAS</w:t>
      </w:r>
      <w:r>
        <w:t xml:space="preserve"> 39) применяются следующие термины:</w:t>
      </w:r>
    </w:p>
    <w:p w:rsidR="00544A01" w:rsidRDefault="00544A01">
      <w:pPr>
        <w:ind w:firstLine="540"/>
      </w:pPr>
      <w:r>
        <w:rPr>
          <w:b/>
          <w:bCs/>
          <w:i/>
        </w:rPr>
        <w:t>Финансовый инструмент</w:t>
      </w:r>
      <w:r>
        <w:rPr>
          <w:i/>
        </w:rPr>
        <w:t xml:space="preserve"> – </w:t>
      </w:r>
      <w:r>
        <w:t>любой договор, в результате которого одновременно возникает финансовый актив у одной организации и финансовое обязательство или долевой инструмент -  у другой.</w:t>
      </w:r>
    </w:p>
    <w:p w:rsidR="00544A01" w:rsidRDefault="00544A01">
      <w:pPr>
        <w:ind w:firstLine="540"/>
      </w:pPr>
      <w:r>
        <w:rPr>
          <w:b/>
          <w:bCs/>
          <w:i/>
        </w:rPr>
        <w:t>Финансовый актив</w:t>
      </w:r>
      <w:r>
        <w:rPr>
          <w:i/>
        </w:rPr>
        <w:t xml:space="preserve"> – </w:t>
      </w:r>
      <w:r>
        <w:t xml:space="preserve">любой актив, который представляет собой: </w:t>
      </w:r>
    </w:p>
    <w:p w:rsidR="00544A01" w:rsidRDefault="00544A01">
      <w:pPr>
        <w:numPr>
          <w:ilvl w:val="0"/>
          <w:numId w:val="4"/>
        </w:numPr>
        <w:tabs>
          <w:tab w:val="left" w:pos="0"/>
        </w:tabs>
        <w:ind w:left="0" w:firstLine="360"/>
      </w:pPr>
      <w:r>
        <w:t xml:space="preserve">денежные средства; </w:t>
      </w:r>
    </w:p>
    <w:p w:rsidR="00544A01" w:rsidRDefault="00544A01">
      <w:pPr>
        <w:numPr>
          <w:ilvl w:val="0"/>
          <w:numId w:val="4"/>
        </w:numPr>
        <w:tabs>
          <w:tab w:val="left" w:pos="0"/>
        </w:tabs>
        <w:ind w:left="0" w:firstLine="360"/>
      </w:pPr>
      <w:r>
        <w:t xml:space="preserve">долевой инструмент другой организации; </w:t>
      </w:r>
    </w:p>
    <w:p w:rsidR="00544A01" w:rsidRDefault="00544A01">
      <w:pPr>
        <w:numPr>
          <w:ilvl w:val="0"/>
          <w:numId w:val="4"/>
        </w:numPr>
        <w:tabs>
          <w:tab w:val="left" w:pos="0"/>
        </w:tabs>
        <w:ind w:left="0" w:firstLine="360"/>
      </w:pPr>
      <w:r>
        <w:t xml:space="preserve">договорное право на получение денежных средств или иного финансового актива от другой организации или на обмен финансовых активов или финансовых обязательств на потенциально выгодных условиях; </w:t>
      </w:r>
    </w:p>
    <w:p w:rsidR="00544A01" w:rsidRDefault="00544A01">
      <w:pPr>
        <w:numPr>
          <w:ilvl w:val="0"/>
          <w:numId w:val="4"/>
        </w:numPr>
        <w:tabs>
          <w:tab w:val="left" w:pos="0"/>
        </w:tabs>
        <w:ind w:left="0" w:firstLine="360"/>
      </w:pPr>
      <w:r>
        <w:t>такой договор, расчёт по которому будет или может быть произведён собственными долевыми инструментами организации, и который при этом является таким непроизводным инструментом, по которому у организации есть или может появиться обязанность получить переменное число собственных долевых инструментов или таким непроизводным инструментом, расчёт по которому будет или может быть произведён любым иным способом, нежели путём обмена фиксированной суммы денежных средств или иного финансового актива на фиксированное число собственных долевых инструментов.</w:t>
      </w:r>
    </w:p>
    <w:p w:rsidR="00544A01" w:rsidRDefault="00544A01">
      <w:pPr>
        <w:ind w:firstLine="540"/>
      </w:pPr>
      <w:r>
        <w:rPr>
          <w:b/>
          <w:bCs/>
          <w:i/>
        </w:rPr>
        <w:t>Финансовое обязательство</w:t>
      </w:r>
      <w:r>
        <w:rPr>
          <w:i/>
        </w:rPr>
        <w:t xml:space="preserve"> –</w:t>
      </w:r>
      <w:r>
        <w:t xml:space="preserve"> любое обязательство представляющее собой:</w:t>
      </w:r>
    </w:p>
    <w:p w:rsidR="00544A01" w:rsidRDefault="00544A01">
      <w:pPr>
        <w:numPr>
          <w:ilvl w:val="0"/>
          <w:numId w:val="2"/>
        </w:numPr>
        <w:tabs>
          <w:tab w:val="left" w:pos="0"/>
          <w:tab w:val="left" w:pos="720"/>
        </w:tabs>
        <w:ind w:left="0" w:firstLine="360"/>
      </w:pPr>
      <w:r>
        <w:t>обязанность по договору: передать другой компании денежные средства или иные финансовые активы; или обменяться с другой компанией финансовыми активами  или финансовыми обязательствами на потенциально невыгодных условиях;</w:t>
      </w:r>
      <w:r>
        <w:tab/>
      </w:r>
    </w:p>
    <w:p w:rsidR="00544A01" w:rsidRDefault="00544A01">
      <w:pPr>
        <w:numPr>
          <w:ilvl w:val="0"/>
          <w:numId w:val="2"/>
        </w:numPr>
        <w:tabs>
          <w:tab w:val="left" w:pos="0"/>
          <w:tab w:val="left" w:pos="720"/>
        </w:tabs>
        <w:ind w:left="0" w:firstLine="360"/>
      </w:pPr>
      <w:r>
        <w:t>контракт, расчет по которому будет или может быть произведен собственными долевыми инструментами компании и представляет собой: непроизводный инструмент, по которому компания поставляет или может быть обязана поставить переменное количество собственных долевых инструментов компании; либо  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w:t>
      </w:r>
    </w:p>
    <w:p w:rsidR="00544A01" w:rsidRDefault="00544A01">
      <w:pPr>
        <w:tabs>
          <w:tab w:val="left" w:pos="0"/>
          <w:tab w:val="left" w:pos="720"/>
        </w:tabs>
        <w:ind w:firstLine="360"/>
      </w:pPr>
    </w:p>
    <w:p w:rsidR="00544A01" w:rsidRDefault="00544A01">
      <w:pPr>
        <w:tabs>
          <w:tab w:val="left" w:pos="0"/>
          <w:tab w:val="left" w:pos="720"/>
        </w:tabs>
        <w:ind w:firstLine="360"/>
      </w:pPr>
    </w:p>
    <w:p w:rsidR="00544A01" w:rsidRDefault="00544A01">
      <w:pPr>
        <w:pStyle w:val="Bullet"/>
        <w:numPr>
          <w:ilvl w:val="0"/>
          <w:numId w:val="0"/>
        </w:numPr>
        <w:tabs>
          <w:tab w:val="clear" w:pos="227"/>
          <w:tab w:val="clear" w:pos="454"/>
          <w:tab w:val="left" w:pos="0"/>
          <w:tab w:val="left" w:pos="720"/>
        </w:tabs>
        <w:ind w:firstLine="540"/>
        <w:rPr>
          <w:rFonts w:ascii="Times New Roman" w:hAnsi="Times New Roman"/>
          <w:iCs/>
          <w:sz w:val="24"/>
          <w:szCs w:val="24"/>
          <w:lang w:val="ru-RU"/>
        </w:rPr>
      </w:pPr>
      <w:r>
        <w:rPr>
          <w:rFonts w:ascii="Times New Roman" w:hAnsi="Times New Roman"/>
          <w:i/>
          <w:iCs/>
          <w:sz w:val="24"/>
          <w:szCs w:val="24"/>
          <w:lang w:val="ru-RU"/>
        </w:rPr>
        <w:t>Финансовое обязательство списывается с бухгалтерского баланса</w:t>
      </w:r>
      <w:r>
        <w:rPr>
          <w:rFonts w:ascii="Times New Roman" w:hAnsi="Times New Roman"/>
          <w:iCs/>
          <w:sz w:val="24"/>
          <w:szCs w:val="24"/>
          <w:lang w:val="ru-RU"/>
        </w:rPr>
        <w:t xml:space="preserve"> только в том случае, когда оно </w:t>
      </w:r>
      <w:r>
        <w:rPr>
          <w:rFonts w:ascii="Times New Roman" w:hAnsi="Times New Roman"/>
          <w:sz w:val="24"/>
          <w:szCs w:val="24"/>
          <w:lang w:val="ru-RU"/>
        </w:rPr>
        <w:t>ликвидиро</w:t>
      </w:r>
      <w:r>
        <w:rPr>
          <w:rFonts w:ascii="Times New Roman" w:hAnsi="Times New Roman"/>
          <w:iCs/>
          <w:sz w:val="24"/>
          <w:szCs w:val="24"/>
          <w:lang w:val="ru-RU"/>
        </w:rPr>
        <w:t xml:space="preserve">вано, т.е. когда обязательство, указанное в договоре, погашено, аннулируется или прекращено. </w:t>
      </w:r>
    </w:p>
    <w:p w:rsidR="00544A01" w:rsidRDefault="00544A01">
      <w:pPr>
        <w:pStyle w:val="a1"/>
      </w:pPr>
      <w:r>
        <w:t>Классификация и оценка МСФО (IAS) 39 содержит около 20 различных способов учета финансовых инструментов. Во-первых, в зависимости от вида финансовых инструментов и от намерений руководства организации они могут классифицироваться как:</w:t>
      </w:r>
    </w:p>
    <w:p w:rsidR="00544A01" w:rsidRDefault="00544A01">
      <w:pPr>
        <w:pStyle w:val="a1"/>
      </w:pPr>
      <w:r>
        <w:t>— предназначенные для торговли;</w:t>
      </w:r>
    </w:p>
    <w:p w:rsidR="00544A01" w:rsidRDefault="00544A01">
      <w:pPr>
        <w:pStyle w:val="a1"/>
      </w:pPr>
      <w:r>
        <w:t>— имеющиеся в наличии для продажи;</w:t>
      </w:r>
    </w:p>
    <w:p w:rsidR="00544A01" w:rsidRDefault="00544A01">
      <w:pPr>
        <w:pStyle w:val="a1"/>
      </w:pPr>
      <w:r>
        <w:t>— удерживаемые до погашения;</w:t>
      </w:r>
    </w:p>
    <w:p w:rsidR="00544A01" w:rsidRDefault="00544A01">
      <w:pPr>
        <w:pStyle w:val="a1"/>
      </w:pPr>
      <w:r>
        <w:t>— кредиты и дебиторская задолженность.</w:t>
      </w:r>
    </w:p>
    <w:p w:rsidR="00544A01" w:rsidRDefault="00544A01">
      <w:pPr>
        <w:pStyle w:val="a1"/>
      </w:pPr>
      <w:r>
        <w:t>Кроме того, изменения справедливой стоимости финансовых инструментов также отражаются по-разному, например, включаются:</w:t>
      </w:r>
    </w:p>
    <w:p w:rsidR="00544A01" w:rsidRDefault="00544A01">
      <w:pPr>
        <w:pStyle w:val="a1"/>
      </w:pPr>
      <w:r>
        <w:t>а) в состав прибыли или убытка;</w:t>
      </w:r>
    </w:p>
    <w:p w:rsidR="00544A01" w:rsidRDefault="00544A01">
      <w:pPr>
        <w:pStyle w:val="a1"/>
      </w:pPr>
      <w:r>
        <w:t>б) в состав прочего совокупного дохода (т.е. напрямую в капитал);</w:t>
      </w:r>
    </w:p>
    <w:p w:rsidR="00544A01" w:rsidRDefault="00544A01">
      <w:pPr>
        <w:pStyle w:val="a1"/>
      </w:pPr>
      <w:r>
        <w:t>в) не отражаются вообще.</w:t>
      </w:r>
    </w:p>
    <w:p w:rsidR="00544A01" w:rsidRDefault="00544A01">
      <w:pPr>
        <w:pStyle w:val="a1"/>
      </w:pPr>
      <w:r>
        <w:t>Правила оценки инструментов и выявления их обесценения также достаточно сложны и приводят к тому, что идентичные инструменты учитываются различными способами — как в рамках одной компании, так и разными компаниями. Все это делает финансовую отчетность сложной для подготовки, понимания и сравнения.</w:t>
      </w:r>
    </w:p>
    <w:p w:rsidR="00544A01" w:rsidRDefault="00544A01">
      <w:pPr>
        <w:pStyle w:val="a1"/>
      </w:pPr>
      <w:r>
        <w:t>Новый стандарт по классификации и оценке (МСФО (IFRS) 9 «Финансовые инструменты») предусматривает уменьшение количества категорий финансовых инструментов всего лишь до двух:</w:t>
      </w:r>
    </w:p>
    <w:p w:rsidR="00544A01" w:rsidRDefault="00544A01">
      <w:pPr>
        <w:pStyle w:val="a1"/>
      </w:pPr>
      <w:r>
        <w:t>— финансовые инструменты, учитываемые по амортизированной стоимости;</w:t>
      </w:r>
    </w:p>
    <w:p w:rsidR="00544A01" w:rsidRDefault="00544A01">
      <w:pPr>
        <w:pStyle w:val="a1"/>
      </w:pPr>
      <w:r>
        <w:t>— финансовые инструменты, учитываемые по справедливой стоимости.</w:t>
      </w:r>
    </w:p>
    <w:p w:rsidR="00544A01" w:rsidRDefault="00544A01">
      <w:pPr>
        <w:pStyle w:val="a1"/>
      </w:pPr>
      <w:r>
        <w:t>В отличие от действующих стандартов МСФО (IFRS) 9 не предусматривает необходимости выделения встроенных производных инструментов из основных финансовых инструментов. Новый стандарт также не содержит сложных правил «компрометации» портфеля инвестиций, удерживаемых до погашения, которые имеются в МСФО (IAS) 39.</w:t>
      </w:r>
    </w:p>
    <w:p w:rsidR="00544A01" w:rsidRDefault="00544A01">
      <w:pPr>
        <w:pStyle w:val="a1"/>
      </w:pPr>
      <w:r>
        <w:t>Финансовые инструменты, учитываемые по амортизированной стоимости</w:t>
      </w:r>
    </w:p>
    <w:p w:rsidR="00544A01" w:rsidRDefault="00544A01">
      <w:pPr>
        <w:pStyle w:val="a1"/>
      </w:pPr>
      <w:r>
        <w:t>Согласно МСФО (IFRS) 9 к этой категории будут относиться лишь те инструменты, которые одновременно отвечают следующим критериям:</w:t>
      </w:r>
    </w:p>
    <w:p w:rsidR="00544A01" w:rsidRDefault="00544A01">
      <w:pPr>
        <w:pStyle w:val="a1"/>
      </w:pPr>
      <w:r>
        <w:t>— обладают «базовыми характеристиками займов»;</w:t>
      </w:r>
    </w:p>
    <w:p w:rsidR="00544A01" w:rsidRDefault="00544A01">
      <w:pPr>
        <w:pStyle w:val="a1"/>
      </w:pPr>
      <w:r>
        <w:t>— удерживаются в рамках бизнес-модели, целью которой является получение договорных денежных потоков.</w:t>
      </w:r>
    </w:p>
    <w:p w:rsidR="00544A01" w:rsidRDefault="00544A01">
      <w:pPr>
        <w:pStyle w:val="a1"/>
      </w:pPr>
      <w:r>
        <w:t>«Базовые характеристики займов», по мысли авторов стандарта, — это предусмотренные договором платежи процентов и основной суммы долга, при этом проценты должны состоять из платы за временную стоимость денег и за кредитный риск. Процентная ставка может иметь как фиксированную, так и плавающую составляющую.</w:t>
      </w:r>
    </w:p>
    <w:p w:rsidR="00544A01" w:rsidRDefault="00544A01">
      <w:pPr>
        <w:pStyle w:val="a1"/>
      </w:pPr>
      <w:r>
        <w:t>Критерий бизнес-модели будет применяться не к отдельным инструментам, а к целым портфелям, управление которыми осуществляется в совокупности. Так, например, кредитная организация может управлять торговым портфелем ценных бумаг на основе изменений в справедливой стоимости входящих в него инструментов, а инвестиционным портфелем — с целью получения купонных доходов по инвестициям, а также основной суммы при погашении инвестиции.</w:t>
      </w:r>
    </w:p>
    <w:p w:rsidR="00544A01" w:rsidRDefault="00544A01">
      <w:pPr>
        <w:pStyle w:val="a1"/>
      </w:pPr>
      <w:r>
        <w:t>Очевидно, что вложения в долевые инструменты (акции, паи) к данной категории относиться не смогут, поскольку они не обладают «базовыми характеристиками займов».</w:t>
      </w:r>
    </w:p>
    <w:p w:rsidR="00544A01" w:rsidRDefault="00544A01">
      <w:pPr>
        <w:pStyle w:val="a1"/>
        <w:rPr>
          <w:rStyle w:val="a5"/>
        </w:rPr>
      </w:pPr>
      <w:r>
        <w:rPr>
          <w:rStyle w:val="a5"/>
        </w:rPr>
        <w:t>Финансовые инструменты, учитываемые по справедливой стоимости</w:t>
      </w:r>
    </w:p>
    <w:p w:rsidR="00544A01" w:rsidRDefault="00544A01">
      <w:pPr>
        <w:pStyle w:val="a1"/>
      </w:pPr>
      <w:r>
        <w:t>К данной категории будут относиться все инструменты, не попавшие в первую категорию. Кроме того, в отдельных случаях, даже если инструмент отвечает условиям для включения в первую категорию, он может быть отнесен во вторую категорию при первоначальном признании по решению организации, правда, для этого необходимо выполнение определенных условий.</w:t>
      </w:r>
    </w:p>
    <w:p w:rsidR="00544A01" w:rsidRDefault="00544A01">
      <w:pPr>
        <w:pStyle w:val="a1"/>
      </w:pPr>
      <w:r>
        <w:t>Переоценка по всем финансовым инструментам, учитываемым по справедливой стоимости, в соответствии с МСФО (IFRS) 9 будет отражаться в составе прибыли или убытка.</w:t>
      </w:r>
    </w:p>
    <w:p w:rsidR="00544A01" w:rsidRDefault="00544A01">
      <w:pPr>
        <w:pStyle w:val="a1"/>
      </w:pPr>
      <w:r>
        <w:t>Единственное исключение составят отдельные инвестиции в долевые инструменты, не предназначенные для торговли, переоценку по которым (по выбору организации) можно будет отражать в составе прочего совокупного дохода (т.е. напрямую в капитале). Однако при этом все доходы от таких инвестиций, включая дивиденды и доходы от реализации, будут также отражаться только напрямую в капитале.</w:t>
      </w:r>
    </w:p>
    <w:p w:rsidR="00544A01" w:rsidRDefault="00544A01">
      <w:pPr>
        <w:pStyle w:val="a1"/>
      </w:pPr>
      <w:r>
        <w:t>Переклассификация между категориями будет запрещена за исключением редких случаев изменения бизнес-модели организации. Это предложение не вполне соотносится с недавно принятой Советом по МСФО поправкой к действующему стандарту МСФО (IAS) 39, которая разрешила в определенных случаях производить переклассификацию инвестиций из торгового портфеля и из портфеля инвестиций, имеющихся в наличии для продажи.</w:t>
      </w:r>
    </w:p>
    <w:p w:rsidR="00544A01" w:rsidRDefault="00544A01">
      <w:pPr>
        <w:pStyle w:val="a1"/>
        <w:rPr>
          <w:rStyle w:val="a5"/>
        </w:rPr>
      </w:pPr>
      <w:r>
        <w:rPr>
          <w:rStyle w:val="a5"/>
        </w:rPr>
        <w:t>Срок вступления в действие</w:t>
      </w:r>
    </w:p>
    <w:p w:rsidR="00544A01" w:rsidRDefault="00544A01">
      <w:pPr>
        <w:pStyle w:val="a1"/>
      </w:pPr>
      <w:r>
        <w:t>Новый стандарт можно будет досрочно применить, уже начиная с финансовой отчетности за 2009 год. Стандарт будет обязательным к применению лишь начиная с финансовой отчетности за 2013 год, с тем чтобы позволить организациям заблаговременно подготовиться к переходу и внести изменения в свои учетные системы.</w:t>
      </w:r>
    </w:p>
    <w:p w:rsidR="00544A01" w:rsidRDefault="00544A01">
      <w:pPr>
        <w:pStyle w:val="a1"/>
      </w:pPr>
      <w:r>
        <w:t>В целом стандарт требует ретроспективного применения, но при этом предусмотрены многочисленные переходные положения, облегчающие переход к новым требованиям, в особенности для тех организаций, которые применят стандарт досрочно.</w:t>
      </w:r>
    </w:p>
    <w:p w:rsidR="00544A01" w:rsidRDefault="00544A01">
      <w:pPr>
        <w:pStyle w:val="a1"/>
        <w:rPr>
          <w:rStyle w:val="a5"/>
        </w:rPr>
      </w:pPr>
      <w:r>
        <w:rPr>
          <w:rStyle w:val="a5"/>
        </w:rPr>
        <w:t xml:space="preserve">Обесценение </w:t>
      </w:r>
    </w:p>
    <w:p w:rsidR="00544A01" w:rsidRDefault="00544A01">
      <w:pPr>
        <w:pStyle w:val="a1"/>
      </w:pPr>
      <w:r>
        <w:t>В отношении долговых инструментов, не учитываемых по справедливой стоимости через прибыль или убыток (например, выданных кредитов и займов), МСФО (IAS) 39 в настоящий момент требует, чтобы обесценение определялось на основе модели так называемых «понесенных убытков». Совет по МСФО обсудил ряд альтернативных моделей учета обесценения, при этом метод учета согласно ожидаемым убыткам (или ожидаемым денежным потокам) рассматривается в качестве предпочтительного как Советом по МСФО, так и многими представителями профессионального сообщества.</w:t>
      </w:r>
    </w:p>
    <w:p w:rsidR="00544A01" w:rsidRDefault="00544A01">
      <w:pPr>
        <w:pStyle w:val="a1"/>
        <w:rPr>
          <w:rStyle w:val="a5"/>
        </w:rPr>
      </w:pPr>
      <w:r>
        <w:rPr>
          <w:rStyle w:val="a5"/>
        </w:rPr>
        <w:t>Недостатки метода учета согласно понесенным убыткам</w:t>
      </w:r>
    </w:p>
    <w:p w:rsidR="00544A01" w:rsidRDefault="00544A01">
      <w:pPr>
        <w:pStyle w:val="a1"/>
      </w:pPr>
      <w:r>
        <w:t>Модель учета согласно понесенным убыткам основывается на том, что актив не является обесцененным до момента наступления какого-либо события, приводящего к его обесценению, — так называемого «события убытка». В отношении портфеля кредитов понесенные убытки определяются на совокупной основе с целью отражения убытков, которые уже были понесены, даже если они еще не могут быть выявлены в отношении отдельных кредитов. Однако такая оценка не учитывает убытков, которые, как ожидается, будут понесены в будущем в течение оставшегося срока действия займов, даже если их величину можно предсказать на основе информации за прошлые периоды.</w:t>
      </w:r>
    </w:p>
    <w:p w:rsidR="00544A01" w:rsidRDefault="00544A01">
      <w:pPr>
        <w:pStyle w:val="a1"/>
      </w:pPr>
      <w:r>
        <w:t>МСФО (IAS) 39 не разрешает признания «общих резервов», если только они не являются оценкой «понесенных, но не выявленных» убытков по кредитам. Последние возникают в случае, когда событие убытка уже произошло, но конкретный кредит, подвергшийся обесценению, еще предстоит определить. Такие убытки должны быть отражены в резерве под обесценение, определяемом на совокупной основе.</w:t>
      </w:r>
    </w:p>
    <w:p w:rsidR="00544A01" w:rsidRDefault="00544A01">
      <w:pPr>
        <w:pStyle w:val="a1"/>
      </w:pPr>
      <w:r>
        <w:t>Отмечаются следующие недостатки модели учета согласно понесенным убыткам:</w:t>
      </w:r>
    </w:p>
    <w:p w:rsidR="00544A01" w:rsidRDefault="00544A01">
      <w:pPr>
        <w:pStyle w:val="a1"/>
      </w:pPr>
      <w:r>
        <w:t>— модель основывается на разделении между «понесенными убытками по кредитам» и «будущими убытками по кредитам», которое во многом произвольно;</w:t>
      </w:r>
    </w:p>
    <w:p w:rsidR="00544A01" w:rsidRDefault="00544A01">
      <w:pPr>
        <w:pStyle w:val="a1"/>
      </w:pPr>
      <w:r>
        <w:t>— для расчета «понесенных, но не выявленных» убытков, включаемых в резерв под обесценение, определяемый на совокупной основе, применяются несколько различных методов, что не способствует сопоставимости показателей между различными организациями;</w:t>
      </w:r>
    </w:p>
    <w:p w:rsidR="00544A01" w:rsidRDefault="00544A01">
      <w:pPr>
        <w:pStyle w:val="a1"/>
      </w:pPr>
      <w:r>
        <w:t>— модель проциклична в том смысле, что признанный согласно ей чистый доход больше в условиях экономического подъема и меньше во время рецессии.</w:t>
      </w:r>
    </w:p>
    <w:p w:rsidR="00544A01" w:rsidRDefault="00544A01">
      <w:pPr>
        <w:pStyle w:val="a1"/>
        <w:rPr>
          <w:rStyle w:val="a5"/>
        </w:rPr>
      </w:pPr>
      <w:r>
        <w:rPr>
          <w:rStyle w:val="a5"/>
        </w:rPr>
        <w:t>Модель учета согласно ожидаемым убыткам</w:t>
      </w:r>
    </w:p>
    <w:p w:rsidR="00544A01" w:rsidRDefault="00544A01">
      <w:pPr>
        <w:pStyle w:val="a1"/>
      </w:pPr>
      <w:r>
        <w:t>Модель учета согласно ожидаемым убыткам или ожидаемым денежным потокам в том виде, в котором она была представлена для обсуждения техническим персоналом Совета по МСФО, не требует наличия события убытка. Вместо этого убытки по кредитам, ожидаемые на дату выдачи кредита, включаются в состав ожидаемых будущих денежных потоков, используемых для расчета эффективной процентной ставки. Таким образом, резерв под обесценение формируется в течение всего срока действия кредита.</w:t>
      </w:r>
    </w:p>
    <w:p w:rsidR="00544A01" w:rsidRDefault="00544A01">
      <w:pPr>
        <w:pStyle w:val="a1"/>
        <w:tabs>
          <w:tab w:val="left" w:pos="0"/>
          <w:tab w:val="left" w:pos="720"/>
        </w:tabs>
        <w:ind w:firstLine="540"/>
        <w:rPr>
          <w:iCs/>
        </w:rPr>
      </w:pPr>
      <w:r>
        <w:rPr>
          <w:iCs/>
        </w:rPr>
        <w:t>Прогнозы постоянно обновляются, а все изменения ожидаемых убытков по кредитам, как и любые другие изменения ожидаемых денежных потоков, приводят к корректировке суммы резерва (в результате чего значение эффективной процентной ставки всегда остается неизменным).</w:t>
      </w:r>
    </w:p>
    <w:p w:rsidR="00544A01" w:rsidRDefault="00544A01">
      <w:pPr>
        <w:pStyle w:val="4"/>
      </w:pPr>
      <w:r>
        <w:t>Что нового в МСФО (IFRS) 7</w:t>
      </w:r>
    </w:p>
    <w:p w:rsidR="00544A01" w:rsidRDefault="00544A01">
      <w:pPr>
        <w:pStyle w:val="a1"/>
      </w:pPr>
      <w:r>
        <w:t xml:space="preserve">Целью МСФО (IFRS) 7 является предоставление информации об использовании финансовых инструментов в работе предприятия, их влиянии на его финансовое положение и результаты деятельности, а также о связанных с этими инструментами рисках. </w:t>
      </w:r>
    </w:p>
    <w:p w:rsidR="00544A01" w:rsidRDefault="00544A01">
      <w:pPr>
        <w:pStyle w:val="a1"/>
      </w:pPr>
      <w:r>
        <w:t xml:space="preserve">Наиболее важными новыми требованиями МСФО (IFRS) 7 по сравнению с МСФО (IAS) 30 </w:t>
      </w:r>
    </w:p>
    <w:p w:rsidR="00544A01" w:rsidRDefault="00544A01">
      <w:pPr>
        <w:pStyle w:val="a1"/>
      </w:pPr>
      <w:r>
        <w:t xml:space="preserve"> «Раскрытие информации в финансовой отчетности банков и аналогичных финансовых институтов» (Disclosures in the Financial Statements of Banks and Similar Financial Institutions) и МСФО (IAS) 32 «Финансовые инструменты: раскрытие и представление информации» (Financial Instruments: Disclosure and Presentation) являются требования по подробному раскрытию информации о финансовых рисках, которые несет предприятие. К числу основных финансовых рисков относятся рыночные риски, риск ликвидности и кредитный риск. Стандарт обязывает раскрывать как описательную (финансовые риски и процедуры управления ими на предприятии), так и количественную информацию, из которых раскрытие последней требует наибольших затрат времени и средств. Новизна подхода МСФО (IFRS) 7 к раскрытию информации о финансовых рисках заключается в том, что информация в финансовой отчетности должна основываться </w:t>
      </w:r>
      <w:r>
        <w:rPr>
          <w:rStyle w:val="a6"/>
        </w:rPr>
        <w:t xml:space="preserve">на данных внутренней управленчской отчетности, представляемой высшему руководству предприятия. </w:t>
      </w:r>
      <w:r>
        <w:t xml:space="preserve">Это позволит пользователю отчетности понять, как само предприятие оценивает свои финансовые риски. Однако стандарт устанавливает также минимальные требования по раскрытию информации, которые должны быть выполнены, даже если управленческая отчетность предприятия не содержит соответствующей информации. </w:t>
      </w:r>
    </w:p>
    <w:p w:rsidR="00544A01" w:rsidRDefault="00544A01">
      <w:pPr>
        <w:pStyle w:val="4"/>
      </w:pPr>
      <w:r>
        <w:t>В чем основные сложности применения МСФО (IFRS) 7</w:t>
      </w:r>
    </w:p>
    <w:p w:rsidR="00544A01" w:rsidRDefault="00544A01">
      <w:pPr>
        <w:pStyle w:val="a1"/>
      </w:pPr>
      <w:r>
        <w:t xml:space="preserve">В целом МСФО (IFRS) 7 приспособлен скорее для нужд банков, чем нефинансовых организаций: ряд требований по раскрытию информации был «унаследован» от МСФО (IAS) 30, применявшегося только к банкам. Соответственно внедрение нового стандарта потребует от нефинансовых организаций значительных усилий по подготовке информации, которая зачастую не используется ими для управления бизнесом. </w:t>
      </w:r>
    </w:p>
    <w:p w:rsidR="00544A01" w:rsidRDefault="00544A01">
      <w:pPr>
        <w:pStyle w:val="a1"/>
      </w:pPr>
      <w:r>
        <w:t xml:space="preserve">Для многих нефинансовых компаний объем информации о финансовых рисках будет непропорционально большим по сравнению с требуемой информацией о нефинансовых рисках, из-за чего пользователь отчетности рискует получить искаженное представление о рисках, которым подвергается предприятие. Поэтому от руководства могут потребоваться дополнительные пояснения к информации, содержащейся в финансовой отчетности. </w:t>
      </w:r>
    </w:p>
    <w:p w:rsidR="00544A01" w:rsidRDefault="00544A01">
      <w:pPr>
        <w:pStyle w:val="a1"/>
      </w:pPr>
      <w:r>
        <w:t xml:space="preserve">Помимо необходимости представления сведений о финансовых рисках стандарт содержит ряд других требований к раскрытию информации, которую далеко не всегда можно получить из учетной системы предприятия. </w:t>
      </w:r>
    </w:p>
    <w:p w:rsidR="00544A01" w:rsidRDefault="00544A01">
      <w:pPr>
        <w:pStyle w:val="a1"/>
      </w:pPr>
      <w:r>
        <w:t xml:space="preserve">Рассмотрим подробнее основные изменения. </w:t>
      </w:r>
    </w:p>
    <w:p w:rsidR="00544A01" w:rsidRDefault="00544A01">
      <w:pPr>
        <w:pStyle w:val="4"/>
      </w:pPr>
      <w:r>
        <w:t>Рыночные риски</w:t>
      </w:r>
    </w:p>
    <w:p w:rsidR="00544A01" w:rsidRDefault="00544A01">
      <w:pPr>
        <w:pStyle w:val="a1"/>
      </w:pPr>
      <w:r>
        <w:t xml:space="preserve">Согласно МСФО (IFRS) 7 компании должны представлять в финансовой отчетности анализ чувствительности к рыночным рискам. Такой анализ показывает, как изменились бы чистая прибыль или убыток предприятия и его капитал в случае потенциального изменения того или иного рыночного параметра (курса иностранной валюты, уровня процентных ставок, цен на акции и т.п.). Анализ необходимо проводить отдельно по каждому рыночному параметру, существенно влияющему на деятельность предприятия. </w:t>
      </w:r>
    </w:p>
    <w:p w:rsidR="00544A01" w:rsidRDefault="00544A01">
      <w:pPr>
        <w:pStyle w:val="a1"/>
      </w:pPr>
      <w:r>
        <w:t>Компании (особенно банки), обладающие развитой системой управления финансовыми рисками, могут вместо данного анализа представить анализ чувствительности к рыночным рискам на основе модели, учитывающей взаимосвязь рыночных параметров, например такой, как Value-at-Risk (VaR)</w:t>
      </w:r>
      <w:r>
        <w:rPr>
          <w:position w:val="8"/>
        </w:rPr>
        <w:t>1</w:t>
      </w:r>
      <w:r>
        <w:t xml:space="preserve">. </w:t>
      </w:r>
    </w:p>
    <w:p w:rsidR="00544A01" w:rsidRDefault="00544A01">
      <w:pPr>
        <w:pStyle w:val="a1"/>
      </w:pPr>
      <w:r>
        <w:t xml:space="preserve">В ходе анализа чувствительности по отдельным рыночным рискам предприятие оценивает эффект от возможного изменения того или иного рыночного параметра при условии, что остальные параметры остаются неизменными. Такой анализ проводится в отношении финансовых инструментов, имеющихся у компании по состоянию на отчетную дату. </w:t>
      </w:r>
    </w:p>
    <w:p w:rsidR="00544A01" w:rsidRDefault="00544A01">
      <w:pPr>
        <w:pStyle w:val="a1"/>
      </w:pPr>
      <w:r>
        <w:t xml:space="preserve">При определении возможных изменений рыночного параметра предприятие должно рассмотреть следующие факторы: </w:t>
      </w:r>
    </w:p>
    <w:p w:rsidR="00544A01" w:rsidRDefault="00544A01">
      <w:pPr>
        <w:pStyle w:val="a1"/>
        <w:numPr>
          <w:ilvl w:val="0"/>
          <w:numId w:val="6"/>
        </w:numPr>
        <w:tabs>
          <w:tab w:val="left" w:pos="707"/>
        </w:tabs>
        <w:spacing w:after="0"/>
      </w:pPr>
      <w:r>
        <w:t xml:space="preserve">экономическую среду, в которой оно функционирует; </w:t>
      </w:r>
    </w:p>
    <w:p w:rsidR="00544A01" w:rsidRDefault="00544A01">
      <w:pPr>
        <w:pStyle w:val="a1"/>
        <w:numPr>
          <w:ilvl w:val="0"/>
          <w:numId w:val="6"/>
        </w:numPr>
        <w:tabs>
          <w:tab w:val="left" w:pos="707"/>
        </w:tabs>
        <w:spacing w:after="0"/>
      </w:pPr>
      <w:r>
        <w:t xml:space="preserve">изменения этого параметра в предыдущие отчетные периоды; </w:t>
      </w:r>
    </w:p>
    <w:p w:rsidR="00544A01" w:rsidRDefault="00544A01">
      <w:pPr>
        <w:pStyle w:val="a1"/>
        <w:numPr>
          <w:ilvl w:val="0"/>
          <w:numId w:val="6"/>
        </w:numPr>
        <w:tabs>
          <w:tab w:val="left" w:pos="707"/>
        </w:tabs>
      </w:pPr>
      <w:r>
        <w:t xml:space="preserve">стабильность уровня изменения данного рыночного параметра в течение нескольких отчетных периодов. </w:t>
      </w:r>
    </w:p>
    <w:p w:rsidR="00544A01" w:rsidRDefault="00544A01">
      <w:pPr>
        <w:pStyle w:val="a1"/>
        <w:tabs>
          <w:tab w:val="left" w:pos="0"/>
          <w:tab w:val="left" w:pos="720"/>
        </w:tabs>
        <w:ind w:firstLine="540"/>
        <w:rPr>
          <w:iCs/>
        </w:rPr>
      </w:pPr>
      <w:r>
        <w:rPr>
          <w:iCs/>
        </w:rPr>
        <w:t>При этом компания не должна рассматривать маловероятные сценарии или производить стресс-тестинг</w:t>
      </w:r>
      <w:r>
        <w:rPr>
          <w:iCs/>
          <w:position w:val="8"/>
        </w:rPr>
        <w:t>1</w:t>
      </w:r>
      <w:r>
        <w:rPr>
          <w:iCs/>
        </w:rPr>
        <w:t>. Стремиться к максимально точным прогнозам также не требуется, поскольку «возможное изменение» - величина оценочная. Достаточно определить диапазон возможных изменений (например, изменение курса иностранной валюты к рублю от -5 до +5%) и затем провести анализ чувствительности для крайних значений этого диапазона (то есть для -5 и +5%).</w:t>
      </w:r>
    </w:p>
    <w:p w:rsidR="00544A01" w:rsidRDefault="00544A01">
      <w:pPr>
        <w:pStyle w:val="a1"/>
        <w:tabs>
          <w:tab w:val="left" w:pos="0"/>
          <w:tab w:val="left" w:pos="720"/>
        </w:tabs>
        <w:ind w:firstLine="540"/>
        <w:rPr>
          <w:iCs/>
        </w:rPr>
      </w:pPr>
    </w:p>
    <w:p w:rsidR="00544A01" w:rsidRDefault="00544A01">
      <w:r>
        <w:t xml:space="preserve"> </w:t>
      </w:r>
    </w:p>
    <w:p w:rsidR="00544A01" w:rsidRDefault="00544A01"/>
    <w:p w:rsidR="00544A01" w:rsidRDefault="00544A01">
      <w:r>
        <w:rPr>
          <w:rStyle w:val="a5"/>
        </w:rPr>
        <w:t>Пример</w:t>
      </w:r>
      <w:r>
        <w:t xml:space="preserve"> </w:t>
      </w:r>
    </w:p>
    <w:p w:rsidR="00544A01" w:rsidRDefault="00544A01">
      <w:pPr>
        <w:pStyle w:val="a1"/>
      </w:pPr>
      <w:r>
        <w:t xml:space="preserve">Функциональной валютой предприятия является российский рубль. На отчетную дату компания привлекла банковский кредит в размере 10 млн долл. США, помимо этого не имеется статей отчетности, выраженных в долларах США. В качестве возможных изменений курса доллара США по отношению к рублю компания определила диапазон: от -2 до +2 руб. за 1 долл. США. При укреплении рубля (то есть </w:t>
      </w:r>
    </w:p>
    <w:p w:rsidR="00544A01" w:rsidRDefault="00544A01">
      <w:pPr>
        <w:pStyle w:val="a1"/>
      </w:pPr>
      <w:r>
        <w:t xml:space="preserve">уменьшении курса доллара США на 2 руб.) рублевая балансовая стоимость кредита снизится на 20 млн руб., соответственно потенциальное влияние такого «возможного изменения» на чистую прибыль выразится в ее увеличении на 20 млн руб. за счет дохода от переоценки иностранной валюты. При ослаблении же рубля (то есть увеличении курса доллара США на 2 руб.) потенциальное уменьшение чистой прибыли составит 20 млн руб. </w:t>
      </w:r>
    </w:p>
    <w:p w:rsidR="00544A01" w:rsidRDefault="00544A01">
      <w:pPr>
        <w:pStyle w:val="a1"/>
      </w:pPr>
      <w:r>
        <w:t xml:space="preserve">Определение «возможного изменения» и расчет его влияния на чистую прибыль и капитал требуют наличия специалистов с соответствующей квалификацией, которых не имеется у многих нефинансовых организаций. Поэтому компании придется либо самостоятельно разрабатывать модели расчета указанных показателей, либо привлекать для этого внешних консультантов (например, финансовые организации). </w:t>
      </w:r>
    </w:p>
    <w:p w:rsidR="00544A01" w:rsidRDefault="00544A01">
      <w:pPr>
        <w:pStyle w:val="a1"/>
      </w:pPr>
      <w:r>
        <w:rPr>
          <w:rStyle w:val="a5"/>
        </w:rPr>
        <w:t>Кредитный риск</w:t>
      </w:r>
      <w:r>
        <w:t xml:space="preserve"> </w:t>
      </w:r>
    </w:p>
    <w:p w:rsidR="00544A01" w:rsidRDefault="00544A01">
      <w:pPr>
        <w:pStyle w:val="4"/>
      </w:pPr>
      <w:r>
        <w:t>В соответствии с требованиями стандарта в финансовой отчетности необходимо раскрывать:</w:t>
      </w:r>
    </w:p>
    <w:p w:rsidR="00544A01" w:rsidRDefault="00544A01">
      <w:pPr>
        <w:pStyle w:val="a1"/>
        <w:numPr>
          <w:ilvl w:val="0"/>
          <w:numId w:val="7"/>
        </w:numPr>
        <w:tabs>
          <w:tab w:val="left" w:pos="707"/>
        </w:tabs>
        <w:spacing w:after="0"/>
      </w:pPr>
      <w:r>
        <w:t xml:space="preserve">максимальный размер кредитного риска по каждому классу финансовых инструментов (для балансовых активов это, как правило, балансовая стоимость соответствующих активов; для выданных гарантий, поручительств - максимальная сумма выплаты); </w:t>
      </w:r>
    </w:p>
    <w:p w:rsidR="00544A01" w:rsidRDefault="00544A01">
      <w:pPr>
        <w:pStyle w:val="a1"/>
        <w:numPr>
          <w:ilvl w:val="0"/>
          <w:numId w:val="7"/>
        </w:numPr>
        <w:tabs>
          <w:tab w:val="left" w:pos="707"/>
        </w:tabs>
        <w:spacing w:after="0"/>
      </w:pPr>
      <w:r>
        <w:t xml:space="preserve">результаты анализа кредитного качества финансовых активов, которые не являются просроченными или обесцененными (например, их анализ по группам кредитного риска); </w:t>
      </w:r>
    </w:p>
    <w:p w:rsidR="00544A01" w:rsidRDefault="00544A01">
      <w:pPr>
        <w:pStyle w:val="a1"/>
        <w:numPr>
          <w:ilvl w:val="0"/>
          <w:numId w:val="7"/>
        </w:numPr>
        <w:tabs>
          <w:tab w:val="left" w:pos="707"/>
        </w:tabs>
        <w:spacing w:after="0"/>
      </w:pPr>
      <w:r>
        <w:t xml:space="preserve">результаты анализа по срокам финансовых активов, которые просрочены, но не обесценены; </w:t>
      </w:r>
    </w:p>
    <w:p w:rsidR="00544A01" w:rsidRDefault="00544A01">
      <w:pPr>
        <w:pStyle w:val="a1"/>
        <w:numPr>
          <w:ilvl w:val="0"/>
          <w:numId w:val="7"/>
        </w:numPr>
        <w:tabs>
          <w:tab w:val="left" w:pos="707"/>
        </w:tabs>
      </w:pPr>
      <w:r>
        <w:t xml:space="preserve">информацию о полученном обеспечении и других инструментах, снижающих кре- </w:t>
      </w:r>
    </w:p>
    <w:p w:rsidR="00544A01" w:rsidRDefault="00544A01">
      <w:pPr>
        <w:pStyle w:val="a1"/>
      </w:pPr>
      <w:r>
        <w:t xml:space="preserve">дитный риск (например, полученных гарантиях, поручительствах). </w:t>
      </w:r>
    </w:p>
    <w:p w:rsidR="00544A01" w:rsidRDefault="00544A01">
      <w:pPr>
        <w:pStyle w:val="a1"/>
      </w:pPr>
      <w:r>
        <w:t xml:space="preserve">Анализ просроченных, но не обесцененных финансовых активов по срокам, прошедшим с момента, когда должна была быть произведена выплата в соответствии с договором, может представлять проблему для многих предприятий, поскольку информация о таких сроках не всегда имеется в их учетной системе. </w:t>
      </w:r>
    </w:p>
    <w:p w:rsidR="00544A01" w:rsidRDefault="00544A01">
      <w:pPr>
        <w:pStyle w:val="a1"/>
      </w:pPr>
      <w:r>
        <w:t xml:space="preserve">Риск ликвидности </w:t>
      </w:r>
    </w:p>
    <w:p w:rsidR="00544A01" w:rsidRDefault="00544A01">
      <w:pPr>
        <w:pStyle w:val="a1"/>
      </w:pPr>
      <w:r>
        <w:t xml:space="preserve">Согласно новому стандарту предприятие должно представить анализ финансовых обязательств по договорным срокам погашения. Его следует проводить на основании будущих денежных выплат в соответствии с условиями заключенных договоров. Например, денежные потоки: </w:t>
      </w:r>
    </w:p>
    <w:p w:rsidR="00544A01" w:rsidRDefault="00544A01">
      <w:pPr>
        <w:pStyle w:val="a1"/>
        <w:numPr>
          <w:ilvl w:val="0"/>
          <w:numId w:val="8"/>
        </w:numPr>
        <w:tabs>
          <w:tab w:val="left" w:pos="707"/>
        </w:tabs>
        <w:spacing w:after="0"/>
      </w:pPr>
      <w:r>
        <w:t xml:space="preserve">по заемным средствам должны включать выплаты как по основной сумме долга, так и по процентам; </w:t>
      </w:r>
    </w:p>
    <w:p w:rsidR="00544A01" w:rsidRDefault="00544A01">
      <w:pPr>
        <w:pStyle w:val="a1"/>
        <w:numPr>
          <w:ilvl w:val="0"/>
          <w:numId w:val="8"/>
        </w:numPr>
        <w:tabs>
          <w:tab w:val="left" w:pos="707"/>
        </w:tabs>
      </w:pPr>
      <w:r>
        <w:t xml:space="preserve">по договорам финансового лизинга должны быть представлены на недисконтированной основе. </w:t>
      </w:r>
    </w:p>
    <w:p w:rsidR="00544A01" w:rsidRDefault="00544A01">
      <w:pPr>
        <w:pStyle w:val="a1"/>
      </w:pPr>
      <w:r>
        <w:t xml:space="preserve">Денежные потоки классифицируются в различные временные интервалы согласно наиболее раннему из сроков, когда может потребоваться выплата по договору. Сумма всех выплат по указанному анализу будет превышать балансовую стоимость соответствующих статей, поскольку в балансе финансовые обязательства представлены на дисконтированной основе, то есть без учета будущих процентных расходов. </w:t>
      </w:r>
    </w:p>
    <w:p w:rsidR="00544A01" w:rsidRDefault="00544A01">
      <w:pPr>
        <w:pStyle w:val="a1"/>
      </w:pPr>
      <w:r>
        <w:t xml:space="preserve">Особую сложность может представлять анализ будущих денежных потоков по производным финансовым инструментам, а также по финансовым гарантиям и поручительствам. </w:t>
      </w:r>
    </w:p>
    <w:p w:rsidR="00544A01" w:rsidRDefault="00544A01">
      <w:pPr>
        <w:pStyle w:val="a1"/>
      </w:pPr>
      <w:r>
        <w:t xml:space="preserve">Прочая информация </w:t>
      </w:r>
    </w:p>
    <w:p w:rsidR="00544A01" w:rsidRDefault="00544A01">
      <w:pPr>
        <w:pStyle w:val="a1"/>
      </w:pPr>
      <w:r>
        <w:t xml:space="preserve">МСФО (IFRS) 7 содержит ряд требований к раскрытию информации по статьям баланса и отчета о прибылях и убытках, связанным   с   финансовыми   инструментами. </w:t>
      </w:r>
    </w:p>
    <w:p w:rsidR="00544A01" w:rsidRDefault="00544A01">
      <w:pPr>
        <w:pStyle w:val="a1"/>
      </w:pPr>
      <w:r>
        <w:t xml:space="preserve">Хотя многие требования «унаследованы» от МСФО (IAS) 32 и МСФО (IAS) 30, к ним добавлен ряд новых. </w:t>
      </w:r>
    </w:p>
    <w:p w:rsidR="00544A01" w:rsidRDefault="00544A01">
      <w:pPr>
        <w:pStyle w:val="a1"/>
      </w:pPr>
      <w:r>
        <w:t xml:space="preserve">Так, согласно новому стандарту необходимо подробное раскрытие информации (балансовой стоимости, а также чистой суммы доходов или расходов за год) по каждой категории финансовых инструментов, определенных в МСФО (IAS) 39 «Финансовые инструменты: признание и оценка» (Financial Instruments: Recognition and Measurement): </w:t>
      </w:r>
    </w:p>
    <w:p w:rsidR="00544A01" w:rsidRDefault="00544A01">
      <w:pPr>
        <w:pStyle w:val="a1"/>
        <w:numPr>
          <w:ilvl w:val="0"/>
          <w:numId w:val="9"/>
        </w:numPr>
        <w:tabs>
          <w:tab w:val="left" w:pos="707"/>
        </w:tabs>
        <w:spacing w:after="0"/>
      </w:pPr>
      <w:r>
        <w:t xml:space="preserve">финансовые активы, переоцениваемые по справедливой стоимости; </w:t>
      </w:r>
    </w:p>
    <w:p w:rsidR="00544A01" w:rsidRDefault="00544A01">
      <w:pPr>
        <w:pStyle w:val="a1"/>
        <w:numPr>
          <w:ilvl w:val="0"/>
          <w:numId w:val="9"/>
        </w:numPr>
        <w:tabs>
          <w:tab w:val="left" w:pos="707"/>
        </w:tabs>
        <w:spacing w:after="0"/>
      </w:pPr>
      <w:r>
        <w:t xml:space="preserve">финансовые активы, имеющиеся в наличии для продажи; </w:t>
      </w:r>
    </w:p>
    <w:p w:rsidR="00544A01" w:rsidRDefault="00544A01">
      <w:pPr>
        <w:pStyle w:val="a1"/>
        <w:numPr>
          <w:ilvl w:val="0"/>
          <w:numId w:val="9"/>
        </w:numPr>
        <w:tabs>
          <w:tab w:val="left" w:pos="707"/>
        </w:tabs>
        <w:spacing w:after="0"/>
      </w:pPr>
      <w:r>
        <w:t xml:space="preserve">кредиты и дебиторская задолженность; </w:t>
      </w:r>
    </w:p>
    <w:p w:rsidR="00544A01" w:rsidRDefault="00544A01">
      <w:pPr>
        <w:pStyle w:val="a1"/>
        <w:numPr>
          <w:ilvl w:val="0"/>
          <w:numId w:val="9"/>
        </w:numPr>
        <w:tabs>
          <w:tab w:val="left" w:pos="707"/>
        </w:tabs>
        <w:spacing w:after="0"/>
      </w:pPr>
      <w:r>
        <w:t xml:space="preserve">инвестиции, удерживаемые до погашения; </w:t>
      </w:r>
    </w:p>
    <w:p w:rsidR="00544A01" w:rsidRDefault="00544A01">
      <w:pPr>
        <w:pStyle w:val="a1"/>
        <w:numPr>
          <w:ilvl w:val="0"/>
          <w:numId w:val="9"/>
        </w:numPr>
        <w:tabs>
          <w:tab w:val="left" w:pos="707"/>
        </w:tabs>
        <w:spacing w:after="0"/>
      </w:pPr>
      <w:r>
        <w:t xml:space="preserve">финансовые обязательства, переоцениваемые по справедливой стоимости; </w:t>
      </w:r>
    </w:p>
    <w:p w:rsidR="00544A01" w:rsidRDefault="00544A01">
      <w:pPr>
        <w:pStyle w:val="a1"/>
        <w:numPr>
          <w:ilvl w:val="0"/>
          <w:numId w:val="9"/>
        </w:numPr>
        <w:tabs>
          <w:tab w:val="left" w:pos="707"/>
        </w:tabs>
      </w:pPr>
      <w:r>
        <w:t xml:space="preserve">прочие финансовые обязательства. </w:t>
      </w:r>
    </w:p>
    <w:p w:rsidR="00544A01" w:rsidRDefault="00544A01">
      <w:pPr>
        <w:pStyle w:val="a1"/>
      </w:pPr>
      <w:r>
        <w:t xml:space="preserve">В соответствии с МСФО (IAS) 32 требовалось только раскрытие отдельной информации по финансовым инструментам, переоцениваемым по справедливой стоимости. Таким образом, учетная система компании может не содержать отдельной информации по каждой из указанных категорий, поэтому </w:t>
      </w:r>
    </w:p>
    <w:p w:rsidR="00544A01" w:rsidRDefault="00544A01">
      <w:pPr>
        <w:pStyle w:val="a1"/>
      </w:pPr>
      <w:r>
        <w:t xml:space="preserve">ей придется затратить дополнительное время на сбор этой информации. </w:t>
      </w:r>
    </w:p>
    <w:p w:rsidR="00544A01" w:rsidRDefault="00544A01">
      <w:pPr>
        <w:pStyle w:val="a1"/>
      </w:pPr>
      <w:r>
        <w:t xml:space="preserve">Данные по балансовым статьям и статьям отчета о прибылях и убытках могут быть представлены как в самих указанных отчетах, так и в примечаниях к финансовой отчетности. </w:t>
      </w:r>
    </w:p>
    <w:p w:rsidR="00544A01" w:rsidRDefault="00544A01">
      <w:pPr>
        <w:pStyle w:val="a1"/>
      </w:pPr>
      <w:r>
        <w:t xml:space="preserve">Еще одним новым требованием для нефинансовых организаций станет необходимость раскрывать изменения за отчетный год по резервам на сомнительную задолженность отдельно по каждому классу финансовых активов (ранее такое требование предъявлялось только к банкам в отношении резерва под обесценение кредитов). </w:t>
      </w:r>
    </w:p>
    <w:p w:rsidR="00544A01" w:rsidRDefault="00544A01">
      <w:pPr>
        <w:pStyle w:val="a1"/>
      </w:pPr>
      <w:r>
        <w:t xml:space="preserve">В МСФО (IFRS) 7 сохраняются многие требования МСФО (IAS) 32, в частности необходимость раскрывать: </w:t>
      </w:r>
    </w:p>
    <w:p w:rsidR="00544A01" w:rsidRDefault="00544A01">
      <w:pPr>
        <w:pStyle w:val="a1"/>
        <w:numPr>
          <w:ilvl w:val="0"/>
          <w:numId w:val="10"/>
        </w:numPr>
        <w:tabs>
          <w:tab w:val="left" w:pos="707"/>
        </w:tabs>
        <w:spacing w:after="0"/>
      </w:pPr>
      <w:r>
        <w:t xml:space="preserve">справедливую стоимость различных классов финансовых активов и обязательств, а также основные методы и допущения, использованные при определении справедливой стоимости; </w:t>
      </w:r>
    </w:p>
    <w:p w:rsidR="00544A01" w:rsidRDefault="00544A01">
      <w:pPr>
        <w:pStyle w:val="a1"/>
        <w:numPr>
          <w:ilvl w:val="0"/>
          <w:numId w:val="10"/>
        </w:numPr>
        <w:tabs>
          <w:tab w:val="left" w:pos="707"/>
        </w:tabs>
        <w:spacing w:after="0"/>
      </w:pPr>
      <w:r>
        <w:t xml:space="preserve">балансовую стоимость, а также условия финансовых активов, предоставленных в качестве обеспечения; </w:t>
      </w:r>
    </w:p>
    <w:p w:rsidR="00544A01" w:rsidRDefault="00544A01">
      <w:pPr>
        <w:pStyle w:val="a1"/>
        <w:numPr>
          <w:ilvl w:val="0"/>
          <w:numId w:val="10"/>
        </w:numPr>
        <w:tabs>
          <w:tab w:val="left" w:pos="707"/>
        </w:tabs>
        <w:spacing w:after="0"/>
      </w:pPr>
      <w:r>
        <w:t xml:space="preserve">условия и балансовую стоимость обязательств предприятия, по которым были нарушены условия договора; </w:t>
      </w:r>
    </w:p>
    <w:p w:rsidR="00544A01" w:rsidRDefault="00544A01">
      <w:pPr>
        <w:pStyle w:val="a1"/>
        <w:numPr>
          <w:ilvl w:val="0"/>
          <w:numId w:val="10"/>
        </w:numPr>
        <w:tabs>
          <w:tab w:val="left" w:pos="707"/>
        </w:tabs>
        <w:spacing w:after="0"/>
      </w:pPr>
      <w:r>
        <w:t xml:space="preserve">если передача финансовых активов согласно критериям МСФО (IAS) 39 не приводит к их выбытию либо возникает ситуация«продолжающегося участия» в активе, также предусмотренная МСФО (IAS) 39, - информацию о причине этого; </w:t>
      </w:r>
    </w:p>
    <w:p w:rsidR="00544A01" w:rsidRDefault="00544A01">
      <w:pPr>
        <w:pStyle w:val="a1"/>
        <w:numPr>
          <w:ilvl w:val="0"/>
          <w:numId w:val="10"/>
        </w:numPr>
        <w:tabs>
          <w:tab w:val="left" w:pos="707"/>
        </w:tabs>
      </w:pPr>
      <w:r>
        <w:t xml:space="preserve">основные положения учетной политики предприятия, относящиеся к финансовым инструментам. </w:t>
      </w:r>
    </w:p>
    <w:p w:rsidR="00544A01" w:rsidRDefault="00544A01">
      <w:pPr>
        <w:pStyle w:val="a1"/>
      </w:pPr>
    </w:p>
    <w:p w:rsidR="00544A01" w:rsidRDefault="00544A01">
      <w:pPr>
        <w:pStyle w:val="a1"/>
      </w:pPr>
    </w:p>
    <w:p w:rsidR="00544A01" w:rsidRDefault="00544A01">
      <w:pPr>
        <w:rPr>
          <w:b/>
          <w:bCs/>
          <w:i/>
          <w:iCs/>
          <w:sz w:val="28"/>
          <w:szCs w:val="28"/>
        </w:rPr>
      </w:pPr>
      <w:r>
        <w:rPr>
          <w:b/>
          <w:bCs/>
          <w:i/>
          <w:iCs/>
          <w:sz w:val="28"/>
          <w:szCs w:val="28"/>
        </w:rPr>
        <w:t>Как подойти к внедрению МСФО (IFRS) 7</w:t>
      </w:r>
    </w:p>
    <w:p w:rsidR="00544A01" w:rsidRDefault="00544A01">
      <w:pPr>
        <w:pStyle w:val="a1"/>
      </w:pPr>
      <w:r>
        <w:t xml:space="preserve">Самой большой сложностью при переходе на новый стандарт будет сбор всей необходимой информации. Однако прежде, чем компания приступит к сбору, она должна точно определить, какую информацию и в каком виде будет представлять в своей финансовой отчетности. </w:t>
      </w:r>
    </w:p>
    <w:p w:rsidR="00544A01" w:rsidRDefault="00544A01">
      <w:pPr>
        <w:pStyle w:val="a1"/>
      </w:pPr>
      <w:r>
        <w:t xml:space="preserve">Начать лучше всего с последовательного рассмотрения каждого требования МСФО (IFRS) 7: имеется ли та или иная информация у компании; насколько может быть использована внутренняя управленческая отчетность; какие изменения должны быть внесены в учетную систему для получения всех необходимых данных. Предприятию нужно определить, каким образом «встроить» МСФО (IFRS) 7 в процедуру составления отчетности. </w:t>
      </w:r>
    </w:p>
    <w:p w:rsidR="00544A01" w:rsidRDefault="00544A01">
      <w:pPr>
        <w:pStyle w:val="a1"/>
      </w:pPr>
      <w:r>
        <w:t xml:space="preserve">Поскольку в финансовой отчетности за 2007 год предприятия должны представить сравнительную информацию, данные за 2006 год могут быть использованы в качестве «тренировочного плацдарма» для подготовки информации согласно МСФО (IFRS) 7. Так можно заранее выявить узкие места и лучше подготовиться к составлению финансовой отчетности по МСФО за 2007 год. </w:t>
      </w:r>
    </w:p>
    <w:p w:rsidR="00544A01" w:rsidRDefault="00544A01">
      <w:pPr>
        <w:pStyle w:val="a1"/>
      </w:pPr>
      <w:r>
        <w:t xml:space="preserve">Хотя может показаться, что составлять отчетность за 2007 год придется еще не скоро, времени на подготовку с учетом всех сложностей перехода на новый стандарт не так уж много. Компании, оставляющие работу над МСФО (IFRS) 7 «на потом», рискуют оказаться в ситуации цейтнота, когда придет время применять стандарт на практике. </w:t>
      </w:r>
    </w:p>
    <w:p w:rsidR="00544A01" w:rsidRDefault="00544A01">
      <w:pPr>
        <w:pStyle w:val="a1"/>
      </w:pPr>
      <w:r>
        <w:t xml:space="preserve">Чем раньше руководство начнет оценивать потенциальное влияние стандарта на финансовую отчетность, составит план внедрения и определит необходимые для этого ресурсы, тем больше шансов у предприятия успешно справиться с трудностями, подстерегающими на практике при использовании МСФО (IFRS) 7. </w:t>
      </w:r>
    </w:p>
    <w:p w:rsidR="00544A01" w:rsidRDefault="00544A01">
      <w:pPr>
        <w:tabs>
          <w:tab w:val="left" w:pos="0"/>
          <w:tab w:val="left" w:pos="720"/>
        </w:tabs>
      </w:pPr>
    </w:p>
    <w:p w:rsidR="00544A01" w:rsidRDefault="00544A01">
      <w:pPr>
        <w:tabs>
          <w:tab w:val="left" w:pos="0"/>
          <w:tab w:val="left" w:pos="720"/>
        </w:tabs>
        <w:rPr>
          <w:rStyle w:val="a5"/>
        </w:rPr>
      </w:pPr>
      <w:r>
        <w:rPr>
          <w:rStyle w:val="a5"/>
        </w:rPr>
        <w:t xml:space="preserve">Заключение </w:t>
      </w:r>
    </w:p>
    <w:p w:rsidR="00544A01" w:rsidRDefault="00544A01">
      <w:pPr>
        <w:pStyle w:val="a1"/>
      </w:pPr>
      <w:r>
        <w:t>В России, как и во многих других странах с развивающейся экономикой, большинство организаций, как правило, не заглядывают далеко вперед в вопросах применения МСФО, предпочитая уделять основное внимание стандартам, действующим в текущем отчетном периоде. Тем не менее изменения, касающиеся финансовых инструментов, будут поистине фундаментальными и потребуют от кредитных организаций значительных изменений как в учетной политике по МСФО, так и в учетных системах, а также в самом содержании финансовой отчетности.</w:t>
      </w:r>
    </w:p>
    <w:p w:rsidR="00544A01" w:rsidRDefault="00544A01">
      <w:pPr>
        <w:pStyle w:val="a1"/>
      </w:pPr>
      <w:r>
        <w:t>Реалии мирового финансового кризиса заставляют Совет по МСФО разрабатывать новые стандарты в стремительном темпе. Окончательная редакция большинства изменений в действующие стандарты станет известна уже в 2010 году. После этого останется не так уж много времени для их внедрения, даже для тех организаций, которые не собираются применять новые стандарты досрочно. Важно подготовиться заранее и заблаговременно оценить, какое влияние окажут грядущие изменения на финансовую отчетность кредитной организации.</w:t>
      </w:r>
    </w:p>
    <w:p w:rsidR="00544A01" w:rsidRDefault="00544A01">
      <w:pPr>
        <w:tabs>
          <w:tab w:val="left" w:pos="0"/>
          <w:tab w:val="left" w:pos="720"/>
        </w:tabs>
        <w:ind w:firstLine="540"/>
        <w:rPr>
          <w:iCs/>
        </w:rPr>
      </w:pPr>
      <w:bookmarkStart w:id="0" w:name="_GoBack"/>
      <w:bookmarkEnd w:id="0"/>
    </w:p>
    <w:sectPr w:rsidR="00544A01">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2160"/>
        </w:tabs>
        <w:ind w:left="2160" w:hanging="360"/>
      </w:pPr>
      <w:rPr>
        <w:rFonts w:ascii="Wingdings" w:hAnsi="Wingdings"/>
      </w:rPr>
    </w:lvl>
    <w:lvl w:ilvl="1">
      <w:start w:val="1"/>
      <w:numFmt w:val="decimal"/>
      <w:lvlText w:val="%2."/>
      <w:lvlJc w:val="left"/>
      <w:pPr>
        <w:tabs>
          <w:tab w:val="num" w:pos="1980"/>
        </w:tabs>
        <w:ind w:left="1980" w:hanging="360"/>
      </w:pPr>
    </w:lvl>
    <w:lvl w:ilvl="2">
      <w:start w:val="1"/>
      <w:numFmt w:val="lowerRoman"/>
      <w:lvlText w:val="(%3)"/>
      <w:lvlJc w:val="left"/>
      <w:pPr>
        <w:tabs>
          <w:tab w:val="num" w:pos="3060"/>
        </w:tabs>
        <w:ind w:left="3060" w:hanging="72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2160"/>
        </w:tabs>
        <w:ind w:left="2160" w:hanging="360"/>
      </w:pPr>
      <w:rPr>
        <w:rFonts w:ascii="Wingdings" w:hAnsi="Wingdings"/>
        <w:color w:val="000000"/>
        <w:sz w:val="18"/>
      </w:rPr>
    </w:lvl>
  </w:abstractNum>
  <w:abstractNum w:abstractNumId="4">
    <w:nsid w:val="00000005"/>
    <w:multiLevelType w:val="singleLevel"/>
    <w:tmpl w:val="00000005"/>
    <w:name w:val="WW8Num4"/>
    <w:lvl w:ilvl="0">
      <w:start w:val="1"/>
      <w:numFmt w:val="bullet"/>
      <w:pStyle w:val="Bullet"/>
      <w:lvlText w:val=""/>
      <w:lvlJc w:val="left"/>
      <w:pPr>
        <w:tabs>
          <w:tab w:val="num" w:pos="360"/>
        </w:tabs>
        <w:ind w:left="227" w:hanging="227"/>
      </w:pPr>
      <w:rPr>
        <w:rFonts w:ascii="Symbol" w:hAnsi="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01"/>
    <w:rsid w:val="00544A01"/>
    <w:rsid w:val="00C77431"/>
    <w:rsid w:val="00EB1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CBCF0AA-920B-4596-A7E7-862233A0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4">
    <w:name w:val="heading 4"/>
    <w:basedOn w:val="a0"/>
    <w:next w:val="a1"/>
    <w:qFormat/>
    <w:pPr>
      <w:outlineLvl w:val="3"/>
    </w:pPr>
    <w:rPr>
      <w:rFonts w:ascii="Times New Roman" w:eastAsia="Times New Roma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5z0">
    <w:name w:val="WW8Num5z0"/>
    <w:rPr>
      <w:rFonts w:ascii="Symbol" w:hAnsi="Symbol"/>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8z0">
    <w:name w:val="WW8Num8z0"/>
    <w:rPr>
      <w:rFonts w:ascii="Wingdings" w:hAnsi="Wingdings"/>
    </w:rPr>
  </w:style>
  <w:style w:type="character" w:customStyle="1" w:styleId="WW8Num6z0">
    <w:name w:val="WW8Num6z0"/>
    <w:rPr>
      <w:rFonts w:ascii="Symbol" w:hAnsi="Symbol"/>
      <w:color w:val="000000"/>
      <w:sz w:val="18"/>
    </w:rPr>
  </w:style>
  <w:style w:type="character" w:customStyle="1" w:styleId="WW8Num4z0">
    <w:name w:val="WW8Num4z0"/>
    <w:rPr>
      <w:rFonts w:ascii="Symbol" w:hAnsi="Symbol"/>
    </w:rPr>
  </w:style>
  <w:style w:type="character" w:styleId="a5">
    <w:name w:val="Strong"/>
    <w:qFormat/>
    <w:rPr>
      <w:b/>
      <w:bCs/>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8">
    <w:name w:val="Title"/>
    <w:basedOn w:val="a0"/>
    <w:next w:val="a9"/>
    <w:qFormat/>
  </w:style>
  <w:style w:type="paragraph" w:styleId="a9">
    <w:name w:val="Subtitle"/>
    <w:basedOn w:val="a0"/>
    <w:next w:val="a1"/>
    <w:qFormat/>
    <w:pPr>
      <w:jc w:val="center"/>
    </w:pPr>
    <w:rPr>
      <w:i/>
      <w:iCs/>
    </w:rPr>
  </w:style>
  <w:style w:type="paragraph" w:styleId="aa">
    <w:name w:val="List"/>
    <w:basedOn w:val="a1"/>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Bullet">
    <w:name w:val="Bullet"/>
    <w:basedOn w:val="a"/>
    <w:pPr>
      <w:numPr>
        <w:numId w:val="5"/>
      </w:numPr>
      <w:tabs>
        <w:tab w:val="left" w:pos="227"/>
        <w:tab w:val="left" w:pos="454"/>
      </w:tabs>
      <w:spacing w:after="120" w:line="240" w:lineRule="atLeast"/>
    </w:pPr>
    <w:rPr>
      <w:rFonts w:ascii="Times" w:eastAsia="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2014-04-14T10:45:00Z</dcterms:created>
  <dcterms:modified xsi:type="dcterms:W3CDTF">2014-04-14T10:45:00Z</dcterms:modified>
</cp:coreProperties>
</file>