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D9F" w:rsidRPr="00BC5CD6" w:rsidRDefault="00BC5CD6" w:rsidP="00BC5C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CD6">
        <w:rPr>
          <w:rFonts w:ascii="Times New Roman" w:hAnsi="Times New Roman" w:cs="Times New Roman"/>
          <w:b/>
          <w:sz w:val="28"/>
          <w:szCs w:val="28"/>
        </w:rPr>
        <w:t>Природно-ресурсный потенциал</w:t>
      </w:r>
    </w:p>
    <w:p w:rsidR="00BC5CD6" w:rsidRDefault="00BC5CD6" w:rsidP="00B50B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CD6">
        <w:rPr>
          <w:rFonts w:ascii="Times New Roman" w:hAnsi="Times New Roman" w:cs="Times New Roman"/>
          <w:b/>
          <w:bCs/>
          <w:sz w:val="28"/>
          <w:szCs w:val="28"/>
        </w:rPr>
        <w:t>Природно-ресурсный потенциал</w:t>
      </w:r>
      <w:r w:rsidRPr="00BC5CD6">
        <w:rPr>
          <w:rFonts w:ascii="Times New Roman" w:hAnsi="Times New Roman" w:cs="Times New Roman"/>
          <w:sz w:val="28"/>
          <w:szCs w:val="28"/>
        </w:rPr>
        <w:t xml:space="preserve"> − совокупность природных ресурсов данной территории, природных условий, явлений и процессов, которые используются или могут быть реально вовлечены в хозяйственную деятельность при данных технических и социально-экономических возможностях общества с условием сохранения среды обитания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5CD6" w:rsidRDefault="00BC5CD6" w:rsidP="00B50B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природно-ресурсного потенциала – это сумма потенциалов отдельных видов природных ресурсов – земельных, водных, лесных, минерально–сырьевых и др. Он зависит от ряда факторов, среди которых: количество имеющихся в стране природных ресурсов, их количественные и качественные характеристики (размер запасов, содержание полезного вещества, мощность пластов и т.д.), возможность комплексного использования.</w:t>
      </w:r>
    </w:p>
    <w:p w:rsidR="00B50B54" w:rsidRDefault="00B50B54" w:rsidP="008736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0B54">
        <w:rPr>
          <w:rFonts w:ascii="Times New Roman" w:hAnsi="Times New Roman" w:cs="Times New Roman"/>
          <w:b/>
          <w:sz w:val="28"/>
          <w:szCs w:val="28"/>
        </w:rPr>
        <w:t>Земельные ресурсы</w:t>
      </w:r>
      <w:r w:rsidRPr="00B50B5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Э</w:t>
      </w:r>
      <w:r w:rsidRPr="00B50B54">
        <w:rPr>
          <w:rFonts w:ascii="Times New Roman" w:hAnsi="Times New Roman" w:cs="Times New Roman"/>
          <w:sz w:val="28"/>
          <w:szCs w:val="28"/>
        </w:rPr>
        <w:t>то та часть мир</w:t>
      </w:r>
      <w:r>
        <w:rPr>
          <w:rFonts w:ascii="Times New Roman" w:hAnsi="Times New Roman" w:cs="Times New Roman"/>
          <w:sz w:val="28"/>
          <w:szCs w:val="28"/>
        </w:rPr>
        <w:t xml:space="preserve">ового земельного фонда, которая </w:t>
      </w:r>
      <w:r w:rsidRPr="00B50B54">
        <w:rPr>
          <w:rFonts w:ascii="Times New Roman" w:hAnsi="Times New Roman" w:cs="Times New Roman"/>
          <w:sz w:val="28"/>
          <w:szCs w:val="28"/>
        </w:rPr>
        <w:t>пригодна для хозяйственного использования.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0B54">
        <w:rPr>
          <w:rFonts w:ascii="Times New Roman" w:hAnsi="Times New Roman" w:cs="Times New Roman"/>
          <w:sz w:val="28"/>
          <w:szCs w:val="28"/>
        </w:rPr>
        <w:t xml:space="preserve">Земля выступает как компонент природной среды, материальная основа хозяйственной деятельности, средство производства в сельском и лесном хозяйстве, а также как объект земельно-имущественных отношений. Земли являются национальным богатством Беларуси и одним из основных природных ресурсов, эффективное </w:t>
      </w:r>
      <w:proofErr w:type="gramStart"/>
      <w:r w:rsidRPr="00B50B54">
        <w:rPr>
          <w:rFonts w:ascii="Times New Roman" w:hAnsi="Times New Roman" w:cs="Times New Roman"/>
          <w:sz w:val="28"/>
          <w:szCs w:val="28"/>
        </w:rPr>
        <w:t>использование</w:t>
      </w:r>
      <w:proofErr w:type="gramEnd"/>
      <w:r w:rsidRPr="00B50B54">
        <w:rPr>
          <w:rFonts w:ascii="Times New Roman" w:hAnsi="Times New Roman" w:cs="Times New Roman"/>
          <w:sz w:val="28"/>
          <w:szCs w:val="28"/>
        </w:rPr>
        <w:t xml:space="preserve"> и охрана </w:t>
      </w:r>
      <w:proofErr w:type="gramStart"/>
      <w:r w:rsidRPr="00B50B54">
        <w:rPr>
          <w:rFonts w:ascii="Times New Roman" w:hAnsi="Times New Roman" w:cs="Times New Roman"/>
          <w:sz w:val="28"/>
          <w:szCs w:val="28"/>
        </w:rPr>
        <w:t>которого</w:t>
      </w:r>
      <w:proofErr w:type="gramEnd"/>
      <w:r w:rsidRPr="00B50B54">
        <w:rPr>
          <w:rFonts w:ascii="Times New Roman" w:hAnsi="Times New Roman" w:cs="Times New Roman"/>
          <w:sz w:val="28"/>
          <w:szCs w:val="28"/>
        </w:rPr>
        <w:t xml:space="preserve"> обеспечивают устойчивое развитие нашей страны. По данным Государственного земельного кадастра Республики Беларусь, площадь земель страны по состоянию на 1 января 2009 г. составляла 20759,8 тыс.га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8407BF">
        <w:rPr>
          <w:rFonts w:ascii="Times New Roman" w:hAnsi="Times New Roman" w:cs="Times New Roman"/>
          <w:sz w:val="28"/>
          <w:szCs w:val="28"/>
        </w:rPr>
        <w:t xml:space="preserve"> Структуру земельного фонда РБ можно представить следующим образом:</w:t>
      </w:r>
    </w:p>
    <w:p w:rsidR="008407BF" w:rsidRDefault="008407BF" w:rsidP="008407B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Сельскохозяйственные земли – 43,1%</w:t>
      </w:r>
    </w:p>
    <w:p w:rsidR="008407BF" w:rsidRDefault="008407BF" w:rsidP="008407B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Лесные и другие лесопокрытые земли – 43,5%</w:t>
      </w:r>
    </w:p>
    <w:p w:rsidR="008407BF" w:rsidRDefault="008407BF" w:rsidP="008407B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Земли под болотами – 4,3%</w:t>
      </w:r>
    </w:p>
    <w:p w:rsidR="008407BF" w:rsidRDefault="008407BF" w:rsidP="008407B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Земли под водными объектами – 2,3%</w:t>
      </w:r>
    </w:p>
    <w:p w:rsidR="008407BF" w:rsidRDefault="008407BF" w:rsidP="008407B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Земли под дорогами и др. транспортными коммуникациями – 1,9%</w:t>
      </w:r>
    </w:p>
    <w:p w:rsidR="008407BF" w:rsidRDefault="008407BF" w:rsidP="008407B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Земли под улицами, площадями и др. – 0,7%</w:t>
      </w:r>
    </w:p>
    <w:p w:rsidR="008407BF" w:rsidRDefault="008407BF" w:rsidP="008407B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Земли под застройкой – 1,6%</w:t>
      </w:r>
    </w:p>
    <w:p w:rsidR="008407BF" w:rsidRDefault="008407BF" w:rsidP="008407B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Неиспользуемые и нарушенные земли – 2,6%</w:t>
      </w:r>
    </w:p>
    <w:p w:rsidR="00B50B54" w:rsidRDefault="00966ED2" w:rsidP="00966ED2">
      <w:pPr>
        <w:pStyle w:val="2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структуре земель </w:t>
      </w:r>
      <w:r w:rsidRPr="00966ED2">
        <w:rPr>
          <w:rFonts w:ascii="Times New Roman" w:hAnsi="Times New Roman" w:cs="Times New Roman"/>
          <w:color w:val="000000"/>
          <w:sz w:val="28"/>
          <w:szCs w:val="28"/>
        </w:rPr>
        <w:t>сущ</w:t>
      </w:r>
      <w:r>
        <w:rPr>
          <w:rFonts w:ascii="Times New Roman" w:hAnsi="Times New Roman" w:cs="Times New Roman"/>
          <w:color w:val="000000"/>
          <w:sz w:val="28"/>
          <w:szCs w:val="28"/>
        </w:rPr>
        <w:t>ественных изменений не происходит</w:t>
      </w:r>
      <w:r w:rsidRPr="00966ED2">
        <w:rPr>
          <w:rFonts w:ascii="Times New Roman" w:hAnsi="Times New Roman" w:cs="Times New Roman"/>
          <w:color w:val="000000"/>
          <w:sz w:val="28"/>
          <w:szCs w:val="28"/>
        </w:rPr>
        <w:t>. Наибольшую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площадь, как и ранее, составляют</w:t>
      </w:r>
      <w:r w:rsidRPr="00966ED2">
        <w:rPr>
          <w:rFonts w:ascii="Times New Roman" w:hAnsi="Times New Roman" w:cs="Times New Roman"/>
          <w:color w:val="000000"/>
          <w:sz w:val="28"/>
          <w:szCs w:val="28"/>
        </w:rPr>
        <w:t xml:space="preserve"> лесные и другие лесопокрытые земли, а также сельскохозяйственные земл</w:t>
      </w:r>
      <w:r>
        <w:rPr>
          <w:rFonts w:ascii="Times New Roman" w:hAnsi="Times New Roman" w:cs="Times New Roman"/>
          <w:color w:val="000000"/>
          <w:sz w:val="28"/>
          <w:szCs w:val="28"/>
        </w:rPr>
        <w:t>и. Сохраняется</w:t>
      </w:r>
      <w:r w:rsidRPr="00966ED2">
        <w:rPr>
          <w:rFonts w:ascii="Times New Roman" w:hAnsi="Times New Roman" w:cs="Times New Roman"/>
          <w:color w:val="000000"/>
          <w:sz w:val="28"/>
          <w:szCs w:val="28"/>
        </w:rPr>
        <w:t xml:space="preserve"> наметившаяся ранее тенденция к увеличению площади лесных земель и земель под древесно-кустарнико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вой растительностью. </w:t>
      </w:r>
      <w:proofErr w:type="gramStart"/>
      <w:r w:rsidRPr="00966ED2">
        <w:rPr>
          <w:rFonts w:ascii="Times New Roman" w:hAnsi="Times New Roman" w:cs="Times New Roman"/>
          <w:color w:val="000000"/>
          <w:sz w:val="28"/>
          <w:szCs w:val="28"/>
        </w:rPr>
        <w:t>Площадь сельскохозяйственных земель</w:t>
      </w:r>
      <w:r w:rsidR="00B50BB5">
        <w:rPr>
          <w:rFonts w:ascii="Times New Roman" w:hAnsi="Times New Roman" w:cs="Times New Roman"/>
          <w:color w:val="000000"/>
          <w:sz w:val="28"/>
          <w:szCs w:val="28"/>
        </w:rPr>
        <w:t xml:space="preserve"> (пашни, многолетние насаждения, залежи, сенокосы и пастбища)</w:t>
      </w:r>
      <w:r w:rsidRPr="00966ED2">
        <w:rPr>
          <w:rFonts w:ascii="Times New Roman" w:hAnsi="Times New Roman" w:cs="Times New Roman"/>
          <w:color w:val="000000"/>
          <w:sz w:val="28"/>
          <w:szCs w:val="28"/>
        </w:rPr>
        <w:t xml:space="preserve"> в последние годы постепенно снижалась и на начало 2009 г. составила 8944,7 тыс.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6ED2">
        <w:rPr>
          <w:rFonts w:ascii="Times New Roman" w:hAnsi="Times New Roman" w:cs="Times New Roman"/>
          <w:color w:val="000000"/>
          <w:sz w:val="28"/>
          <w:szCs w:val="28"/>
        </w:rPr>
        <w:t>га, что на 23,3 тыс.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6ED2">
        <w:rPr>
          <w:rFonts w:ascii="Times New Roman" w:hAnsi="Times New Roman" w:cs="Times New Roman"/>
          <w:color w:val="000000"/>
          <w:sz w:val="28"/>
          <w:szCs w:val="28"/>
        </w:rPr>
        <w:t xml:space="preserve">га меньше, чем в 2007 г. </w:t>
      </w:r>
      <w:r w:rsidR="00A56023">
        <w:rPr>
          <w:rFonts w:ascii="Times New Roman" w:hAnsi="Times New Roman" w:cs="Times New Roman"/>
          <w:color w:val="000000"/>
          <w:sz w:val="28"/>
          <w:szCs w:val="28"/>
        </w:rPr>
        <w:t>Это обусловлено исключением из оборота загрязненных земель, отводами земель под различные виды строительства, промышленные объекты, природоохранные цели.</w:t>
      </w:r>
      <w:proofErr w:type="gramEnd"/>
      <w:r w:rsidR="00A56023">
        <w:rPr>
          <w:rFonts w:ascii="Times New Roman" w:hAnsi="Times New Roman" w:cs="Times New Roman"/>
          <w:color w:val="000000"/>
          <w:sz w:val="28"/>
          <w:szCs w:val="28"/>
        </w:rPr>
        <w:t xml:space="preserve"> Сказывается также нерациональное использование земель.</w:t>
      </w:r>
      <w:r w:rsidRPr="00966ED2">
        <w:rPr>
          <w:rFonts w:ascii="Times New Roman" w:hAnsi="Times New Roman" w:cs="Times New Roman"/>
          <w:color w:val="000000"/>
          <w:sz w:val="28"/>
          <w:szCs w:val="28"/>
        </w:rPr>
        <w:t xml:space="preserve"> Произошло увеличение площади земель под улицами, площадями и </w:t>
      </w:r>
      <w:r w:rsidRPr="00966ED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иными местами общего пользования, а также земель, занятых дорогами </w:t>
      </w:r>
      <w:r>
        <w:rPr>
          <w:rFonts w:ascii="Times New Roman" w:hAnsi="Times New Roman" w:cs="Times New Roman"/>
          <w:color w:val="000000"/>
          <w:sz w:val="28"/>
          <w:szCs w:val="28"/>
        </w:rPr>
        <w:t>и другими транспортными путями. Наблюдается</w:t>
      </w:r>
      <w:r w:rsidRPr="00966ED2">
        <w:rPr>
          <w:rFonts w:ascii="Times New Roman" w:hAnsi="Times New Roman" w:cs="Times New Roman"/>
          <w:color w:val="000000"/>
          <w:sz w:val="28"/>
          <w:szCs w:val="28"/>
        </w:rPr>
        <w:t xml:space="preserve"> незначительное (менее чем на 2%) уменьшение площади нарушенных, неиспользуемых и иных земель. </w:t>
      </w:r>
    </w:p>
    <w:p w:rsidR="00B50BB5" w:rsidRPr="00B50BB5" w:rsidRDefault="00B50BB5" w:rsidP="00B50B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BB5">
        <w:rPr>
          <w:rFonts w:ascii="Times New Roman" w:hAnsi="Times New Roman" w:cs="Times New Roman"/>
          <w:b/>
          <w:sz w:val="28"/>
          <w:szCs w:val="28"/>
        </w:rPr>
        <w:t>Водные ресурсы.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0BB5">
        <w:rPr>
          <w:rFonts w:ascii="Times New Roman" w:hAnsi="Times New Roman" w:cs="Times New Roman"/>
          <w:sz w:val="28"/>
          <w:szCs w:val="28"/>
        </w:rPr>
        <w:t>Республики Беларусь представлены совокупностью рек, озер, водохранилищ, грунтовых и подземных вод.</w:t>
      </w:r>
    </w:p>
    <w:p w:rsidR="00B50BB5" w:rsidRPr="00B50BB5" w:rsidRDefault="00B50BB5" w:rsidP="00B50B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BB5">
        <w:rPr>
          <w:rFonts w:ascii="Times New Roman" w:hAnsi="Times New Roman" w:cs="Times New Roman"/>
          <w:sz w:val="28"/>
          <w:szCs w:val="28"/>
        </w:rPr>
        <w:t xml:space="preserve">         В республике зарегистрировано около </w:t>
      </w:r>
      <w:r w:rsidRPr="00B50BB5">
        <w:rPr>
          <w:rFonts w:ascii="Times New Roman" w:hAnsi="Times New Roman" w:cs="Times New Roman"/>
          <w:bCs/>
          <w:sz w:val="28"/>
          <w:szCs w:val="28"/>
        </w:rPr>
        <w:t xml:space="preserve">21 тыс. рек </w:t>
      </w:r>
      <w:r w:rsidRPr="00B50BB5">
        <w:rPr>
          <w:rFonts w:ascii="Times New Roman" w:hAnsi="Times New Roman" w:cs="Times New Roman"/>
          <w:sz w:val="28"/>
          <w:szCs w:val="28"/>
        </w:rPr>
        <w:t xml:space="preserve">и ручьев общей протяженностью </w:t>
      </w:r>
      <w:r w:rsidRPr="00B50BB5">
        <w:rPr>
          <w:rFonts w:ascii="Times New Roman" w:hAnsi="Times New Roman" w:cs="Times New Roman"/>
          <w:bCs/>
          <w:sz w:val="28"/>
          <w:szCs w:val="28"/>
        </w:rPr>
        <w:t>90,6 тыс. км</w:t>
      </w:r>
      <w:r w:rsidRPr="00B50BB5">
        <w:rPr>
          <w:rFonts w:ascii="Times New Roman" w:hAnsi="Times New Roman" w:cs="Times New Roman"/>
          <w:sz w:val="28"/>
          <w:szCs w:val="28"/>
        </w:rPr>
        <w:t>.</w:t>
      </w:r>
      <w:r w:rsidR="008736B5" w:rsidRPr="008736B5">
        <w:rPr>
          <w:rFonts w:ascii="Times New Roman" w:hAnsi="Times New Roman" w:cs="Times New Roman"/>
          <w:sz w:val="28"/>
          <w:szCs w:val="28"/>
        </w:rPr>
        <w:t xml:space="preserve"> </w:t>
      </w:r>
      <w:r w:rsidRPr="00B50BB5">
        <w:rPr>
          <w:rFonts w:ascii="Times New Roman" w:hAnsi="Times New Roman" w:cs="Times New Roman"/>
          <w:sz w:val="28"/>
          <w:szCs w:val="28"/>
        </w:rPr>
        <w:t xml:space="preserve">Озер на территории Беларуси зарегистрировано 11 тысяч.   На территории Беларуси имеется более </w:t>
      </w:r>
      <w:r w:rsidRPr="00B50BB5">
        <w:rPr>
          <w:rFonts w:ascii="Times New Roman" w:hAnsi="Times New Roman" w:cs="Times New Roman"/>
          <w:bCs/>
          <w:sz w:val="28"/>
          <w:szCs w:val="28"/>
        </w:rPr>
        <w:t>140 водохранилищ</w:t>
      </w:r>
      <w:r w:rsidRPr="00B50BB5">
        <w:rPr>
          <w:rFonts w:ascii="Times New Roman" w:hAnsi="Times New Roman" w:cs="Times New Roman"/>
          <w:sz w:val="28"/>
          <w:szCs w:val="28"/>
        </w:rPr>
        <w:t xml:space="preserve">, сооруженных для целей рекреации, водоснабжения, гидроэнергетики, рыбного хозяйства и комплексного использования. </w:t>
      </w:r>
      <w:r w:rsidRPr="00B50BB5">
        <w:rPr>
          <w:rFonts w:ascii="Times New Roman" w:hAnsi="Times New Roman" w:cs="Times New Roman"/>
          <w:bCs/>
          <w:iCs/>
          <w:sz w:val="28"/>
          <w:szCs w:val="28"/>
        </w:rPr>
        <w:t xml:space="preserve">Естественные ресурсы </w:t>
      </w:r>
      <w:r w:rsidRPr="00B50BB5">
        <w:rPr>
          <w:rFonts w:ascii="Times New Roman" w:hAnsi="Times New Roman" w:cs="Times New Roman"/>
          <w:sz w:val="28"/>
          <w:szCs w:val="28"/>
        </w:rPr>
        <w:t xml:space="preserve">пресных подземных вод оцениваются в </w:t>
      </w:r>
      <w:r w:rsidRPr="00B50BB5">
        <w:rPr>
          <w:rFonts w:ascii="Times New Roman" w:hAnsi="Times New Roman" w:cs="Times New Roman"/>
          <w:bCs/>
          <w:sz w:val="28"/>
          <w:szCs w:val="28"/>
        </w:rPr>
        <w:t>15,9 км</w:t>
      </w:r>
      <w:r w:rsidRPr="00B50BB5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Pr="00B50B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50BB5">
        <w:rPr>
          <w:rFonts w:ascii="Times New Roman" w:hAnsi="Times New Roman" w:cs="Times New Roman"/>
          <w:sz w:val="28"/>
          <w:szCs w:val="28"/>
        </w:rPr>
        <w:t xml:space="preserve">в год. Они распространены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50BB5">
        <w:rPr>
          <w:rFonts w:ascii="Times New Roman" w:hAnsi="Times New Roman" w:cs="Times New Roman"/>
          <w:sz w:val="28"/>
          <w:szCs w:val="28"/>
        </w:rPr>
        <w:t>о всей территории Беларуси на глубинах от 100 до 450 м.</w:t>
      </w:r>
    </w:p>
    <w:p w:rsidR="00B50BB5" w:rsidRPr="00B50BB5" w:rsidRDefault="00B50BB5" w:rsidP="00B50B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 2009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 xml:space="preserve"> г., согласно данным водного кадастра, общий забор воды из поверхностных и подземных источников страны составил 1638 млн. м</w:t>
      </w:r>
      <w:r w:rsidRPr="00B50BB5">
        <w:rPr>
          <w:rFonts w:ascii="Times New Roman" w:hAnsi="Times New Roman" w:cs="Times New Roman"/>
          <w:color w:val="000000"/>
          <w:position w:val="8"/>
          <w:sz w:val="28"/>
          <w:szCs w:val="28"/>
          <w:vertAlign w:val="superscript"/>
        </w:rPr>
        <w:t xml:space="preserve">3 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и по сравнению с предыдущим годом уменьшился на 60,2 млн. м</w:t>
      </w:r>
      <w:r w:rsidRPr="00B50BB5">
        <w:rPr>
          <w:rFonts w:ascii="Times New Roman" w:hAnsi="Times New Roman" w:cs="Times New Roman"/>
          <w:color w:val="000000"/>
          <w:position w:val="8"/>
          <w:sz w:val="28"/>
          <w:szCs w:val="28"/>
          <w:vertAlign w:val="superscript"/>
        </w:rPr>
        <w:t>3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, что было вызвано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снижением объемов забранной во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ды такими крупными водопользователями, как Светлогорская ТЭЦ филиала РУП «Гомельэнерго»</w:t>
      </w:r>
      <w:r>
        <w:rPr>
          <w:rFonts w:ascii="Times New Roman" w:hAnsi="Times New Roman" w:cs="Times New Roman"/>
          <w:color w:val="000000"/>
          <w:sz w:val="28"/>
          <w:szCs w:val="28"/>
        </w:rPr>
        <w:t>, УП «Минскводоканал»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 xml:space="preserve">, Могилевское </w:t>
      </w:r>
      <w:r>
        <w:rPr>
          <w:rFonts w:ascii="Times New Roman" w:hAnsi="Times New Roman" w:cs="Times New Roman"/>
          <w:color w:val="000000"/>
          <w:sz w:val="28"/>
          <w:szCs w:val="28"/>
        </w:rPr>
        <w:t>ГКУП «Горводоканал», УП «Витебскводоканал» и др.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B50BB5" w:rsidRPr="00B50BB5" w:rsidRDefault="00B50BB5" w:rsidP="00B50B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0BB5">
        <w:rPr>
          <w:rFonts w:ascii="Times New Roman" w:hAnsi="Times New Roman" w:cs="Times New Roman"/>
          <w:color w:val="000000"/>
          <w:sz w:val="28"/>
          <w:szCs w:val="28"/>
        </w:rPr>
        <w:t>Из поверхностных водных объектов было забрано 719 млн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r w:rsidRPr="00B50BB5">
        <w:rPr>
          <w:rFonts w:ascii="Times New Roman" w:hAnsi="Times New Roman" w:cs="Times New Roman"/>
          <w:color w:val="000000"/>
          <w:position w:val="8"/>
          <w:sz w:val="28"/>
          <w:szCs w:val="28"/>
          <w:vertAlign w:val="superscript"/>
        </w:rPr>
        <w:t xml:space="preserve">3 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воды, из подземных источников – 919 млн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r w:rsidRPr="00B50BB5">
        <w:rPr>
          <w:rFonts w:ascii="Times New Roman" w:hAnsi="Times New Roman" w:cs="Times New Roman"/>
          <w:color w:val="000000"/>
          <w:position w:val="8"/>
          <w:sz w:val="28"/>
          <w:szCs w:val="28"/>
          <w:vertAlign w:val="superscript"/>
        </w:rPr>
        <w:t>3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, т.е. в структуре водозабора по-прежне</w:t>
      </w:r>
      <w:r>
        <w:rPr>
          <w:rFonts w:ascii="Times New Roman" w:hAnsi="Times New Roman" w:cs="Times New Roman"/>
          <w:color w:val="000000"/>
          <w:sz w:val="28"/>
          <w:szCs w:val="28"/>
        </w:rPr>
        <w:t>му доминирует подземная составл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яющая, что характерно не только для страны в целом, но и для отдельных областей, областных центров и г</w:t>
      </w:r>
      <w:proofErr w:type="gramStart"/>
      <w:r w:rsidRPr="00B50BB5">
        <w:rPr>
          <w:rFonts w:ascii="Times New Roman" w:hAnsi="Times New Roman" w:cs="Times New Roman"/>
          <w:color w:val="000000"/>
          <w:sz w:val="28"/>
          <w:szCs w:val="28"/>
        </w:rPr>
        <w:t>.М</w:t>
      </w:r>
      <w:proofErr w:type="gramEnd"/>
      <w:r w:rsidRPr="00B50BB5">
        <w:rPr>
          <w:rFonts w:ascii="Times New Roman" w:hAnsi="Times New Roman" w:cs="Times New Roman"/>
          <w:color w:val="000000"/>
          <w:sz w:val="28"/>
          <w:szCs w:val="28"/>
        </w:rPr>
        <w:t>инска</w:t>
      </w:r>
    </w:p>
    <w:p w:rsidR="00B50BB5" w:rsidRPr="00B50BB5" w:rsidRDefault="00B50BB5" w:rsidP="008736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50BB5">
        <w:rPr>
          <w:rFonts w:ascii="Times New Roman" w:hAnsi="Times New Roman" w:cs="Times New Roman"/>
          <w:color w:val="000000"/>
          <w:sz w:val="28"/>
          <w:szCs w:val="28"/>
        </w:rPr>
        <w:t>Следует отметить, что заб</w:t>
      </w:r>
      <w:r>
        <w:rPr>
          <w:rFonts w:ascii="Times New Roman" w:hAnsi="Times New Roman" w:cs="Times New Roman"/>
          <w:color w:val="000000"/>
          <w:sz w:val="28"/>
          <w:szCs w:val="28"/>
        </w:rPr>
        <w:t>ор воды для использования сократился в 2009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 xml:space="preserve"> г. на 75 млн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r w:rsidRPr="00B50BB5">
        <w:rPr>
          <w:rFonts w:ascii="Times New Roman" w:hAnsi="Times New Roman" w:cs="Times New Roman"/>
          <w:color w:val="000000"/>
          <w:position w:val="2"/>
          <w:sz w:val="28"/>
          <w:szCs w:val="28"/>
          <w:vertAlign w:val="superscript"/>
        </w:rPr>
        <w:t xml:space="preserve">3 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нужды отраслей экономики ис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пользовано всего 1410 млн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r w:rsidRPr="00B50BB5">
        <w:rPr>
          <w:rFonts w:ascii="Times New Roman" w:hAnsi="Times New Roman" w:cs="Times New Roman"/>
          <w:color w:val="000000"/>
          <w:position w:val="2"/>
          <w:sz w:val="28"/>
          <w:szCs w:val="28"/>
          <w:vertAlign w:val="superscript"/>
        </w:rPr>
        <w:t xml:space="preserve">3 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hAnsi="Times New Roman" w:cs="Times New Roman"/>
          <w:color w:val="000000"/>
          <w:sz w:val="28"/>
          <w:szCs w:val="28"/>
        </w:rPr>
        <w:t>ежей воды, в том числе на хозяй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ственно-питьевое водоснабжение – 573 млн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r w:rsidRPr="00B50BB5">
        <w:rPr>
          <w:rFonts w:ascii="Times New Roman" w:hAnsi="Times New Roman" w:cs="Times New Roman"/>
          <w:color w:val="000000"/>
          <w:position w:val="2"/>
          <w:sz w:val="28"/>
          <w:szCs w:val="28"/>
          <w:vertAlign w:val="superscript"/>
        </w:rPr>
        <w:t xml:space="preserve">3 </w:t>
      </w:r>
      <w:r>
        <w:rPr>
          <w:rFonts w:ascii="Times New Roman" w:hAnsi="Times New Roman" w:cs="Times New Roman"/>
          <w:color w:val="000000"/>
          <w:sz w:val="28"/>
          <w:szCs w:val="28"/>
        </w:rPr>
        <w:t>(41%), производст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венные нужды – 423 млн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r w:rsidRPr="00B50BB5">
        <w:rPr>
          <w:rFonts w:ascii="Times New Roman" w:hAnsi="Times New Roman" w:cs="Times New Roman"/>
          <w:color w:val="000000"/>
          <w:position w:val="2"/>
          <w:sz w:val="28"/>
          <w:szCs w:val="28"/>
          <w:vertAlign w:val="superscript"/>
        </w:rPr>
        <w:t xml:space="preserve">3 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(30%), прудовое рыбное хозяйство – 300 млн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r w:rsidRPr="00B50BB5">
        <w:rPr>
          <w:rFonts w:ascii="Times New Roman" w:hAnsi="Times New Roman" w:cs="Times New Roman"/>
          <w:color w:val="000000"/>
          <w:position w:val="2"/>
          <w:sz w:val="28"/>
          <w:szCs w:val="28"/>
          <w:vertAlign w:val="superscript"/>
        </w:rPr>
        <w:t xml:space="preserve">3 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(21%), сельскохозяйственное водоснабжение – 109 млн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r w:rsidRPr="00B50BB5">
        <w:rPr>
          <w:rFonts w:ascii="Times New Roman" w:hAnsi="Times New Roman" w:cs="Times New Roman"/>
          <w:color w:val="000000"/>
          <w:position w:val="2"/>
          <w:sz w:val="28"/>
          <w:szCs w:val="28"/>
          <w:vertAlign w:val="superscript"/>
        </w:rPr>
        <w:t xml:space="preserve">3 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(7,7%), орошение – 5 млн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r w:rsidRPr="00B50BB5">
        <w:rPr>
          <w:rFonts w:ascii="Times New Roman" w:hAnsi="Times New Roman" w:cs="Times New Roman"/>
          <w:color w:val="000000"/>
          <w:position w:val="2"/>
          <w:sz w:val="28"/>
          <w:szCs w:val="28"/>
          <w:vertAlign w:val="superscript"/>
        </w:rPr>
        <w:t>3</w:t>
      </w:r>
      <w:proofErr w:type="gramEnd"/>
      <w:r w:rsidRPr="00B50BB5">
        <w:rPr>
          <w:rFonts w:ascii="Times New Roman" w:hAnsi="Times New Roman" w:cs="Times New Roman"/>
          <w:color w:val="000000"/>
          <w:position w:val="2"/>
          <w:sz w:val="28"/>
          <w:szCs w:val="28"/>
          <w:vertAlign w:val="superscript"/>
        </w:rPr>
        <w:t xml:space="preserve"> 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(0,3%). Использование свежей во</w:t>
      </w:r>
      <w:r>
        <w:rPr>
          <w:rFonts w:ascii="Times New Roman" w:hAnsi="Times New Roman" w:cs="Times New Roman"/>
          <w:color w:val="000000"/>
          <w:sz w:val="28"/>
          <w:szCs w:val="28"/>
        </w:rPr>
        <w:t>ды на хозяйственно-питьевые нуж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ды по-прежнему является основ</w:t>
      </w:r>
      <w:r>
        <w:rPr>
          <w:rFonts w:ascii="Times New Roman" w:hAnsi="Times New Roman" w:cs="Times New Roman"/>
          <w:color w:val="000000"/>
          <w:sz w:val="28"/>
          <w:szCs w:val="28"/>
        </w:rPr>
        <w:t>ной составляющей в структуре во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допользования страны в целом.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В городах Беларуси удельное водопотребление по-прежнему остае</w:t>
      </w:r>
      <w:r>
        <w:rPr>
          <w:rFonts w:ascii="Times New Roman" w:hAnsi="Times New Roman" w:cs="Times New Roman"/>
          <w:color w:val="000000"/>
          <w:sz w:val="28"/>
          <w:szCs w:val="28"/>
        </w:rPr>
        <w:t>тся высо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ким, изменяясь от 170 (Новополоцк)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273 л/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сут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./чел. (Минск</w:t>
      </w:r>
      <w:r w:rsidR="008736B5" w:rsidRPr="008736B5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50BB5" w:rsidRDefault="00B50BB5" w:rsidP="00B50B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0BB5">
        <w:rPr>
          <w:rFonts w:ascii="Times New Roman" w:hAnsi="Times New Roman" w:cs="Times New Roman"/>
          <w:color w:val="000000"/>
          <w:sz w:val="28"/>
          <w:szCs w:val="28"/>
        </w:rPr>
        <w:t>Объем воды, использованной на производственные нужды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сократился на 1%, причем в промышленности уменьшение оказалось более значительным и составило 2,3% (8,2 млн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r w:rsidRPr="00B50BB5">
        <w:rPr>
          <w:rFonts w:ascii="Times New Roman" w:hAnsi="Times New Roman" w:cs="Times New Roman"/>
          <w:color w:val="000000"/>
          <w:position w:val="8"/>
          <w:sz w:val="28"/>
          <w:szCs w:val="28"/>
          <w:vertAlign w:val="superscript"/>
        </w:rPr>
        <w:t>3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). При этом зарегистрирован существенный рост (на 4,6 млн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r w:rsidRPr="00B50BB5">
        <w:rPr>
          <w:rFonts w:ascii="Times New Roman" w:hAnsi="Times New Roman" w:cs="Times New Roman"/>
          <w:color w:val="000000"/>
          <w:position w:val="8"/>
          <w:sz w:val="28"/>
          <w:szCs w:val="28"/>
          <w:vertAlign w:val="superscript"/>
        </w:rPr>
        <w:t>3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) п</w:t>
      </w:r>
      <w:r>
        <w:rPr>
          <w:rFonts w:ascii="Times New Roman" w:hAnsi="Times New Roman" w:cs="Times New Roman"/>
          <w:color w:val="000000"/>
          <w:sz w:val="28"/>
          <w:szCs w:val="28"/>
        </w:rPr>
        <w:t>отреб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ления воды питьевого качества и снижение потребления воды из коммунального водопровода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B50BB5" w:rsidRPr="00B50BB5" w:rsidRDefault="00B50BB5" w:rsidP="00B50B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0BB5">
        <w:rPr>
          <w:rFonts w:ascii="Times New Roman" w:hAnsi="Times New Roman" w:cs="Times New Roman"/>
          <w:color w:val="000000"/>
          <w:sz w:val="28"/>
          <w:szCs w:val="28"/>
        </w:rPr>
        <w:t>Использование воды на сельскохозяйственные нужды по сравнению с прошлым годом уменьшилось на 1,7 млн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r w:rsidRPr="00B50BB5">
        <w:rPr>
          <w:rFonts w:ascii="Times New Roman" w:hAnsi="Times New Roman" w:cs="Times New Roman"/>
          <w:color w:val="000000"/>
          <w:position w:val="8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, на оро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шение – на 1,0 млн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r w:rsidRPr="00B50BB5">
        <w:rPr>
          <w:rFonts w:ascii="Times New Roman" w:hAnsi="Times New Roman" w:cs="Times New Roman"/>
          <w:color w:val="000000"/>
          <w:position w:val="8"/>
          <w:sz w:val="28"/>
          <w:szCs w:val="28"/>
          <w:vertAlign w:val="superscript"/>
        </w:rPr>
        <w:t>3</w:t>
      </w:r>
      <w:r w:rsidRPr="00B50BB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36B5" w:rsidRDefault="008E0857" w:rsidP="008E08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857">
        <w:rPr>
          <w:rFonts w:ascii="Times New Roman" w:hAnsi="Times New Roman" w:cs="Times New Roman"/>
          <w:b/>
          <w:sz w:val="28"/>
          <w:szCs w:val="28"/>
        </w:rPr>
        <w:lastRenderedPageBreak/>
        <w:t>Лесные ресурсы.</w:t>
      </w:r>
      <w:r w:rsidRPr="008E0857">
        <w:rPr>
          <w:rFonts w:ascii="Times New Roman" w:hAnsi="Times New Roman" w:cs="Times New Roman"/>
          <w:sz w:val="24"/>
          <w:szCs w:val="24"/>
        </w:rPr>
        <w:t xml:space="preserve"> </w:t>
      </w:r>
      <w:r w:rsidRPr="008E0857">
        <w:rPr>
          <w:rFonts w:ascii="Times New Roman" w:hAnsi="Times New Roman" w:cs="Times New Roman"/>
          <w:sz w:val="28"/>
          <w:szCs w:val="28"/>
        </w:rPr>
        <w:t>Лесной фонд Беларуси, рассматриваемый как совокупность всех лесов страны натурального и искусственного происхождения, включает покрытые лесом земли, а также другие земли, предназначенные для нужд лесного хозяйства. По данным Государственного</w:t>
      </w:r>
      <w:r w:rsidR="008736B5">
        <w:rPr>
          <w:rFonts w:ascii="Times New Roman" w:hAnsi="Times New Roman" w:cs="Times New Roman"/>
          <w:sz w:val="28"/>
          <w:szCs w:val="28"/>
        </w:rPr>
        <w:t xml:space="preserve"> лесного кадастра на 01.01.2009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0857">
        <w:rPr>
          <w:rFonts w:ascii="Times New Roman" w:hAnsi="Times New Roman" w:cs="Times New Roman"/>
          <w:sz w:val="28"/>
          <w:szCs w:val="28"/>
        </w:rPr>
        <w:t>общая площадь земель лесного фонда Беларуси составляет 9404,7 тыс</w:t>
      </w:r>
      <w:proofErr w:type="gramStart"/>
      <w:r w:rsidRPr="008E0857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E0857">
        <w:rPr>
          <w:rFonts w:ascii="Times New Roman" w:hAnsi="Times New Roman" w:cs="Times New Roman"/>
          <w:sz w:val="28"/>
          <w:szCs w:val="28"/>
        </w:rPr>
        <w:t>а, в том числе лесопокрытая – 7955 тыс.га, или 38,3% ее территории. Общий запас древесины – 1534,8 млн. м3. Изменения показател</w:t>
      </w:r>
      <w:r>
        <w:rPr>
          <w:rFonts w:ascii="Times New Roman" w:hAnsi="Times New Roman" w:cs="Times New Roman"/>
          <w:sz w:val="28"/>
          <w:szCs w:val="28"/>
        </w:rPr>
        <w:t>ей лесного фонда в целом положи</w:t>
      </w:r>
      <w:r w:rsidRPr="008E0857">
        <w:rPr>
          <w:rFonts w:ascii="Times New Roman" w:hAnsi="Times New Roman" w:cs="Times New Roman"/>
          <w:sz w:val="28"/>
          <w:szCs w:val="28"/>
        </w:rPr>
        <w:t>тельны и обусловлены деятельностью организаций, ведущих лесное хозяйство и лесозаготовки,</w:t>
      </w:r>
      <w:r>
        <w:rPr>
          <w:rFonts w:ascii="Times New Roman" w:hAnsi="Times New Roman" w:cs="Times New Roman"/>
          <w:sz w:val="28"/>
          <w:szCs w:val="28"/>
        </w:rPr>
        <w:t xml:space="preserve"> а также естественными процесса</w:t>
      </w:r>
      <w:r w:rsidRPr="008E0857">
        <w:rPr>
          <w:rFonts w:ascii="Times New Roman" w:hAnsi="Times New Roman" w:cs="Times New Roman"/>
          <w:sz w:val="28"/>
          <w:szCs w:val="28"/>
        </w:rPr>
        <w:t>ми роста лесов. В результате естественно</w:t>
      </w:r>
      <w:r>
        <w:rPr>
          <w:rFonts w:ascii="Times New Roman" w:hAnsi="Times New Roman" w:cs="Times New Roman"/>
          <w:sz w:val="28"/>
          <w:szCs w:val="28"/>
        </w:rPr>
        <w:t>го роста и неполного использова</w:t>
      </w:r>
      <w:r w:rsidRPr="008E0857">
        <w:rPr>
          <w:rFonts w:ascii="Times New Roman" w:hAnsi="Times New Roman" w:cs="Times New Roman"/>
          <w:sz w:val="28"/>
          <w:szCs w:val="28"/>
        </w:rPr>
        <w:t>ния годи</w:t>
      </w:r>
      <w:r>
        <w:rPr>
          <w:rFonts w:ascii="Times New Roman" w:hAnsi="Times New Roman" w:cs="Times New Roman"/>
          <w:sz w:val="28"/>
          <w:szCs w:val="28"/>
        </w:rPr>
        <w:t>чного текущего прироста в 2009</w:t>
      </w:r>
      <w:r w:rsidRPr="008E0857">
        <w:rPr>
          <w:rFonts w:ascii="Times New Roman" w:hAnsi="Times New Roman" w:cs="Times New Roman"/>
          <w:sz w:val="28"/>
          <w:szCs w:val="28"/>
        </w:rPr>
        <w:t xml:space="preserve"> г. произошло увеличение общих древесных зап</w:t>
      </w:r>
      <w:r>
        <w:rPr>
          <w:rFonts w:ascii="Times New Roman" w:hAnsi="Times New Roman" w:cs="Times New Roman"/>
          <w:sz w:val="28"/>
          <w:szCs w:val="28"/>
        </w:rPr>
        <w:t xml:space="preserve">асов на 37,6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м3</w:t>
      </w:r>
      <w:r w:rsidRPr="008E0857">
        <w:rPr>
          <w:rFonts w:ascii="Times New Roman" w:hAnsi="Times New Roman" w:cs="Times New Roman"/>
          <w:sz w:val="28"/>
          <w:szCs w:val="28"/>
        </w:rPr>
        <w:t>. Увеличение запасов отмечено для всех групп пород, в том числе для спелых и перестойных насаждений</w:t>
      </w:r>
      <w:r w:rsidR="008736B5" w:rsidRPr="008736B5">
        <w:rPr>
          <w:rFonts w:ascii="Times New Roman" w:hAnsi="Times New Roman" w:cs="Times New Roman"/>
          <w:sz w:val="28"/>
          <w:szCs w:val="28"/>
        </w:rPr>
        <w:t>.</w:t>
      </w:r>
    </w:p>
    <w:p w:rsidR="008E0857" w:rsidRPr="008E0857" w:rsidRDefault="008E0857" w:rsidP="008736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857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8E0857">
        <w:rPr>
          <w:rFonts w:ascii="Times New Roman" w:hAnsi="Times New Roman" w:cs="Times New Roman"/>
          <w:sz w:val="28"/>
          <w:szCs w:val="28"/>
        </w:rPr>
        <w:t xml:space="preserve">На внутреннем рынке в заготовленном виде реализовано 2,3 млн. куб. м, на внешнем – 1,2 млн. куб. м, в цехах переработан 1 млн. куб. м древесины, 3,3 млн. куб. м реализовано дров. </w:t>
      </w:r>
      <w:proofErr w:type="gramEnd"/>
    </w:p>
    <w:p w:rsidR="008E0857" w:rsidRPr="008E0857" w:rsidRDefault="008E0857" w:rsidP="008E0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857">
        <w:rPr>
          <w:rFonts w:ascii="Times New Roman" w:hAnsi="Times New Roman" w:cs="Times New Roman"/>
          <w:sz w:val="28"/>
          <w:szCs w:val="28"/>
        </w:rPr>
        <w:t xml:space="preserve">   Наибольшим спросом пользовалась древесина хвойных пород, удельный вес которой в общем объеме поставки составил 81%, на древесину </w:t>
      </w:r>
      <w:proofErr w:type="spellStart"/>
      <w:r w:rsidRPr="008E0857">
        <w:rPr>
          <w:rFonts w:ascii="Times New Roman" w:hAnsi="Times New Roman" w:cs="Times New Roman"/>
          <w:sz w:val="28"/>
          <w:szCs w:val="28"/>
        </w:rPr>
        <w:t>мягколиственных</w:t>
      </w:r>
      <w:proofErr w:type="spellEnd"/>
      <w:r w:rsidRPr="008E0857">
        <w:rPr>
          <w:rFonts w:ascii="Times New Roman" w:hAnsi="Times New Roman" w:cs="Times New Roman"/>
          <w:sz w:val="28"/>
          <w:szCs w:val="28"/>
        </w:rPr>
        <w:t xml:space="preserve"> пород приходится 17%, твердолиственных – 2%.</w:t>
      </w:r>
    </w:p>
    <w:p w:rsidR="008E0857" w:rsidRPr="008E0857" w:rsidRDefault="008E0857" w:rsidP="008E0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857">
        <w:rPr>
          <w:rFonts w:ascii="Times New Roman" w:hAnsi="Times New Roman" w:cs="Times New Roman"/>
          <w:sz w:val="28"/>
          <w:szCs w:val="28"/>
        </w:rPr>
        <w:t xml:space="preserve">   Основными покупателями деловой древесины в заготовленном виде выступали организации, не имеющие ведомственной подчиненности. Они приобрели 1 млн. куб. м (43% всей реализованной лесхозами деловой древесины). </w:t>
      </w:r>
      <w:proofErr w:type="gramStart"/>
      <w:r w:rsidRPr="008E0857">
        <w:rPr>
          <w:rFonts w:ascii="Times New Roman" w:hAnsi="Times New Roman" w:cs="Times New Roman"/>
          <w:sz w:val="28"/>
          <w:szCs w:val="28"/>
        </w:rPr>
        <w:t>Предприятия концерна «</w:t>
      </w:r>
      <w:proofErr w:type="spellStart"/>
      <w:r w:rsidRPr="008E0857">
        <w:rPr>
          <w:rFonts w:ascii="Times New Roman" w:hAnsi="Times New Roman" w:cs="Times New Roman"/>
          <w:sz w:val="28"/>
          <w:szCs w:val="28"/>
        </w:rPr>
        <w:t>Беллесбумпром</w:t>
      </w:r>
      <w:proofErr w:type="spellEnd"/>
      <w:r w:rsidRPr="008E0857">
        <w:rPr>
          <w:rFonts w:ascii="Times New Roman" w:hAnsi="Times New Roman" w:cs="Times New Roman"/>
          <w:sz w:val="28"/>
          <w:szCs w:val="28"/>
        </w:rPr>
        <w:t xml:space="preserve">» купили 0,5 млн. куб. м (22%), </w:t>
      </w:r>
      <w:proofErr w:type="spellStart"/>
      <w:r w:rsidRPr="008E0857">
        <w:rPr>
          <w:rFonts w:ascii="Times New Roman" w:hAnsi="Times New Roman" w:cs="Times New Roman"/>
          <w:sz w:val="28"/>
          <w:szCs w:val="28"/>
        </w:rPr>
        <w:t>Минстройархитектуры</w:t>
      </w:r>
      <w:proofErr w:type="spellEnd"/>
      <w:r w:rsidRPr="008E0857">
        <w:rPr>
          <w:rFonts w:ascii="Times New Roman" w:hAnsi="Times New Roman" w:cs="Times New Roman"/>
          <w:sz w:val="28"/>
          <w:szCs w:val="28"/>
        </w:rPr>
        <w:t xml:space="preserve"> – 0,35 млн. куб. м (15%), Минсельхозпрода – 0,27 млн. куб. м (12%).</w:t>
      </w:r>
      <w:proofErr w:type="gramEnd"/>
    </w:p>
    <w:p w:rsidR="008E0857" w:rsidRPr="008E0857" w:rsidRDefault="008E0857" w:rsidP="008E0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857">
        <w:rPr>
          <w:rFonts w:ascii="Times New Roman" w:hAnsi="Times New Roman" w:cs="Times New Roman"/>
          <w:sz w:val="28"/>
          <w:szCs w:val="28"/>
        </w:rPr>
        <w:t xml:space="preserve">   В дополнение к реализованной деловой древесине в заготовленном виде на внутренний рынок реализовано 208 тыс. куб. м пиломатериалов, из них хвойных пород 197 тыс. куб. м. </w:t>
      </w:r>
    </w:p>
    <w:p w:rsidR="008E0857" w:rsidRPr="008E0857" w:rsidRDefault="008E0857" w:rsidP="008E0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857">
        <w:rPr>
          <w:rFonts w:ascii="Times New Roman" w:hAnsi="Times New Roman" w:cs="Times New Roman"/>
          <w:sz w:val="28"/>
          <w:szCs w:val="28"/>
        </w:rPr>
        <w:t xml:space="preserve">   В Республике Беларусь достигнута положительная динамика соотношения объемов вырубки лесов и их создания. Ежегодно работы по воспроизводству лесов проводятся на значительных площадях. </w:t>
      </w:r>
    </w:p>
    <w:p w:rsidR="008E0857" w:rsidRPr="008E0857" w:rsidRDefault="008E0857" w:rsidP="008E0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857">
        <w:rPr>
          <w:rFonts w:ascii="Times New Roman" w:hAnsi="Times New Roman" w:cs="Times New Roman"/>
          <w:sz w:val="28"/>
          <w:szCs w:val="28"/>
        </w:rPr>
        <w:t xml:space="preserve">   В 2009 году лесные культуры созданы на 32 тыс. га. На принятых в лесной фонд малопродуктивных </w:t>
      </w:r>
      <w:proofErr w:type="spellStart"/>
      <w:r w:rsidRPr="008E0857">
        <w:rPr>
          <w:rFonts w:ascii="Times New Roman" w:hAnsi="Times New Roman" w:cs="Times New Roman"/>
          <w:sz w:val="28"/>
          <w:szCs w:val="28"/>
        </w:rPr>
        <w:t>сельхозземлях</w:t>
      </w:r>
      <w:proofErr w:type="spellEnd"/>
      <w:r w:rsidRPr="008E0857">
        <w:rPr>
          <w:rFonts w:ascii="Times New Roman" w:hAnsi="Times New Roman" w:cs="Times New Roman"/>
          <w:sz w:val="28"/>
          <w:szCs w:val="28"/>
        </w:rPr>
        <w:t xml:space="preserve"> – свыше 5 тыс. га. В целом, за послевоенный период в лесном фонде </w:t>
      </w:r>
      <w:proofErr w:type="spellStart"/>
      <w:r w:rsidRPr="008E0857">
        <w:rPr>
          <w:rFonts w:ascii="Times New Roman" w:hAnsi="Times New Roman" w:cs="Times New Roman"/>
          <w:sz w:val="28"/>
          <w:szCs w:val="28"/>
        </w:rPr>
        <w:t>Минлесхоза</w:t>
      </w:r>
      <w:proofErr w:type="spellEnd"/>
      <w:r w:rsidRPr="008E0857">
        <w:rPr>
          <w:rFonts w:ascii="Times New Roman" w:hAnsi="Times New Roman" w:cs="Times New Roman"/>
          <w:sz w:val="28"/>
          <w:szCs w:val="28"/>
        </w:rPr>
        <w:t xml:space="preserve"> создано 2,4 млн. га лесных культур.</w:t>
      </w:r>
    </w:p>
    <w:p w:rsidR="008E0857" w:rsidRPr="008E0857" w:rsidRDefault="008E0857" w:rsidP="008736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857">
        <w:rPr>
          <w:rFonts w:ascii="Times New Roman" w:hAnsi="Times New Roman" w:cs="Times New Roman"/>
          <w:sz w:val="28"/>
          <w:szCs w:val="28"/>
        </w:rPr>
        <w:t xml:space="preserve">   Выполнен значительный объем работ по формированию и развити</w:t>
      </w:r>
      <w:r w:rsidR="008736B5">
        <w:rPr>
          <w:rFonts w:ascii="Times New Roman" w:hAnsi="Times New Roman" w:cs="Times New Roman"/>
          <w:sz w:val="28"/>
          <w:szCs w:val="28"/>
        </w:rPr>
        <w:t>ю постоянной лесосеменной базы</w:t>
      </w:r>
      <w:r w:rsidR="008736B5" w:rsidRPr="008736B5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8736B5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Pr="008E0857">
        <w:rPr>
          <w:rFonts w:ascii="Times New Roman" w:hAnsi="Times New Roman" w:cs="Times New Roman"/>
          <w:sz w:val="28"/>
          <w:szCs w:val="28"/>
        </w:rPr>
        <w:t>оздано</w:t>
      </w:r>
      <w:proofErr w:type="spellEnd"/>
      <w:r w:rsidRPr="008E0857">
        <w:rPr>
          <w:rFonts w:ascii="Times New Roman" w:hAnsi="Times New Roman" w:cs="Times New Roman"/>
          <w:sz w:val="28"/>
          <w:szCs w:val="28"/>
        </w:rPr>
        <w:t xml:space="preserve"> 59 га лесосеменных плантаций</w:t>
      </w:r>
      <w:r w:rsidR="008736B5">
        <w:rPr>
          <w:rFonts w:ascii="Times New Roman" w:hAnsi="Times New Roman" w:cs="Times New Roman"/>
          <w:sz w:val="28"/>
          <w:szCs w:val="28"/>
        </w:rPr>
        <w:t>, з</w:t>
      </w:r>
      <w:r w:rsidRPr="008E0857">
        <w:rPr>
          <w:rFonts w:ascii="Times New Roman" w:hAnsi="Times New Roman" w:cs="Times New Roman"/>
          <w:sz w:val="28"/>
          <w:szCs w:val="28"/>
        </w:rPr>
        <w:t>аготовлено около 75 тонн лесных семян</w:t>
      </w:r>
      <w:r w:rsidR="008736B5">
        <w:rPr>
          <w:rFonts w:ascii="Times New Roman" w:hAnsi="Times New Roman" w:cs="Times New Roman"/>
          <w:sz w:val="28"/>
          <w:szCs w:val="28"/>
        </w:rPr>
        <w:t xml:space="preserve">, </w:t>
      </w:r>
      <w:r w:rsidRPr="008E0857">
        <w:rPr>
          <w:rFonts w:ascii="Times New Roman" w:hAnsi="Times New Roman" w:cs="Times New Roman"/>
          <w:sz w:val="28"/>
          <w:szCs w:val="28"/>
        </w:rPr>
        <w:t xml:space="preserve">В холодильных камерах действующих лесосеменных цехов хранится около 20 тонн семян сосны, ели, </w:t>
      </w:r>
      <w:r w:rsidR="008736B5">
        <w:rPr>
          <w:rFonts w:ascii="Times New Roman" w:hAnsi="Times New Roman" w:cs="Times New Roman"/>
          <w:sz w:val="28"/>
          <w:szCs w:val="28"/>
        </w:rPr>
        <w:t xml:space="preserve">лиственницы, </w:t>
      </w:r>
      <w:r w:rsidRPr="008E0857">
        <w:rPr>
          <w:rFonts w:ascii="Times New Roman" w:hAnsi="Times New Roman" w:cs="Times New Roman"/>
          <w:sz w:val="28"/>
          <w:szCs w:val="28"/>
        </w:rPr>
        <w:t>выращено свыше 310 млн. штук стандартного посадочного материала более 200 ф</w:t>
      </w:r>
      <w:r w:rsidR="008736B5">
        <w:rPr>
          <w:rFonts w:ascii="Times New Roman" w:hAnsi="Times New Roman" w:cs="Times New Roman"/>
          <w:sz w:val="28"/>
          <w:szCs w:val="28"/>
        </w:rPr>
        <w:t>орм и видов древесных растений и т.д.</w:t>
      </w:r>
    </w:p>
    <w:sectPr w:rsidR="008E0857" w:rsidRPr="008E0857" w:rsidSect="00D76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F2442"/>
    <w:multiLevelType w:val="hybridMultilevel"/>
    <w:tmpl w:val="9BDCC21A"/>
    <w:lvl w:ilvl="0" w:tplc="6220CD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02A6948"/>
    <w:multiLevelType w:val="hybridMultilevel"/>
    <w:tmpl w:val="7B1EC1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4AA2E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F6FD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4C8D6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4CA87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46B1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64C84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0E7D3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8277A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863130"/>
    <w:multiLevelType w:val="hybridMultilevel"/>
    <w:tmpl w:val="92E6FF00"/>
    <w:lvl w:ilvl="0" w:tplc="71901266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54EC493A" w:tentative="1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8CB69C60" w:tentative="1">
      <w:start w:val="1"/>
      <w:numFmt w:val="bullet"/>
      <w:lvlText w:val="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7974F4BC" w:tentative="1">
      <w:start w:val="1"/>
      <w:numFmt w:val="bullet"/>
      <w:lvlText w:val="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4" w:tplc="98161FC8" w:tentative="1">
      <w:start w:val="1"/>
      <w:numFmt w:val="bullet"/>
      <w:lvlText w:val="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5" w:tplc="B22AA6C8" w:tentative="1">
      <w:start w:val="1"/>
      <w:numFmt w:val="bullet"/>
      <w:lvlText w:val="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E4C63C32" w:tentative="1">
      <w:start w:val="1"/>
      <w:numFmt w:val="bullet"/>
      <w:lvlText w:val="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7" w:tplc="D23284B4" w:tentative="1">
      <w:start w:val="1"/>
      <w:numFmt w:val="bullet"/>
      <w:lvlText w:val="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  <w:lvl w:ilvl="8" w:tplc="7602D062" w:tentative="1">
      <w:start w:val="1"/>
      <w:numFmt w:val="bullet"/>
      <w:lvlText w:val="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60894248"/>
    <w:multiLevelType w:val="hybridMultilevel"/>
    <w:tmpl w:val="06263114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54EC493A" w:tentative="1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8CB69C60" w:tentative="1">
      <w:start w:val="1"/>
      <w:numFmt w:val="bullet"/>
      <w:lvlText w:val="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7974F4BC" w:tentative="1">
      <w:start w:val="1"/>
      <w:numFmt w:val="bullet"/>
      <w:lvlText w:val="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4" w:tplc="98161FC8" w:tentative="1">
      <w:start w:val="1"/>
      <w:numFmt w:val="bullet"/>
      <w:lvlText w:val="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5" w:tplc="B22AA6C8" w:tentative="1">
      <w:start w:val="1"/>
      <w:numFmt w:val="bullet"/>
      <w:lvlText w:val="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E4C63C32" w:tentative="1">
      <w:start w:val="1"/>
      <w:numFmt w:val="bullet"/>
      <w:lvlText w:val="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7" w:tplc="D23284B4" w:tentative="1">
      <w:start w:val="1"/>
      <w:numFmt w:val="bullet"/>
      <w:lvlText w:val="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  <w:lvl w:ilvl="8" w:tplc="7602D062" w:tentative="1">
      <w:start w:val="1"/>
      <w:numFmt w:val="bullet"/>
      <w:lvlText w:val="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69B16D0C"/>
    <w:multiLevelType w:val="hybridMultilevel"/>
    <w:tmpl w:val="6AA0DA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30A0E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3A1A2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E4A3F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9C228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D4753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666EC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D06C9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B02D0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2E2E6E"/>
    <w:multiLevelType w:val="hybridMultilevel"/>
    <w:tmpl w:val="DB5CD288"/>
    <w:lvl w:ilvl="0" w:tplc="649E8DC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A2E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F6FD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4C8D6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4CA87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46B1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64C84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0E7D3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8277A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1B2EC7"/>
    <w:multiLevelType w:val="hybridMultilevel"/>
    <w:tmpl w:val="9850AC6C"/>
    <w:lvl w:ilvl="0" w:tplc="29E4621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30A0E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3A1A2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E4A3F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9C228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D4753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666EC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D06C9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B02D0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5CD6"/>
    <w:rsid w:val="008407BF"/>
    <w:rsid w:val="0086762B"/>
    <w:rsid w:val="008736B5"/>
    <w:rsid w:val="008E0857"/>
    <w:rsid w:val="00966ED2"/>
    <w:rsid w:val="00A56023"/>
    <w:rsid w:val="00AB4909"/>
    <w:rsid w:val="00B50B54"/>
    <w:rsid w:val="00B50BB5"/>
    <w:rsid w:val="00BC5CD6"/>
    <w:rsid w:val="00D76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9F"/>
  </w:style>
  <w:style w:type="paragraph" w:styleId="2">
    <w:name w:val="heading 2"/>
    <w:basedOn w:val="a"/>
    <w:next w:val="a"/>
    <w:link w:val="20"/>
    <w:uiPriority w:val="99"/>
    <w:qFormat/>
    <w:rsid w:val="00966ED2"/>
    <w:pPr>
      <w:autoSpaceDE w:val="0"/>
      <w:autoSpaceDN w:val="0"/>
      <w:adjustRightInd w:val="0"/>
      <w:spacing w:after="0" w:line="240" w:lineRule="auto"/>
      <w:outlineLvl w:val="1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0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407B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966ED2"/>
    <w:rPr>
      <w:rFonts w:ascii="Arial" w:hAnsi="Arial" w:cs="Arial"/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966ED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66ED2"/>
  </w:style>
  <w:style w:type="paragraph" w:customStyle="1" w:styleId="ConsPlusNormal">
    <w:name w:val="ConsPlusNormal"/>
    <w:basedOn w:val="a"/>
    <w:next w:val="a"/>
    <w:uiPriority w:val="99"/>
    <w:rsid w:val="008E085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2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8112D-9339-4A49-9E54-56BD55F0D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2</cp:revision>
  <dcterms:created xsi:type="dcterms:W3CDTF">2010-10-24T15:50:00Z</dcterms:created>
  <dcterms:modified xsi:type="dcterms:W3CDTF">2010-10-25T14:05:00Z</dcterms:modified>
</cp:coreProperties>
</file>