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8F" w:rsidRDefault="00AB4E48">
      <w:pPr>
        <w:pStyle w:val="1"/>
        <w:jc w:val="center"/>
      </w:pPr>
      <w:r>
        <w:t>Пространственный прогноз возникновения пожаров на юге дальнего востока россии по погодным и лесорастительным условиям</w:t>
      </w:r>
    </w:p>
    <w:p w:rsidR="0093098F" w:rsidRPr="00AB4E48" w:rsidRDefault="00AB4E48">
      <w:pPr>
        <w:pStyle w:val="a3"/>
      </w:pPr>
      <w:r>
        <w:t> </w:t>
      </w:r>
    </w:p>
    <w:p w:rsidR="0093098F" w:rsidRDefault="00AB4E48">
      <w:pPr>
        <w:pStyle w:val="a3"/>
      </w:pPr>
      <w:r>
        <w:t>Р. М. Коган, В. А. Глаголев, 2014</w:t>
      </w:r>
    </w:p>
    <w:p w:rsidR="0093098F" w:rsidRDefault="00AB4E48">
      <w:pPr>
        <w:pStyle w:val="a3"/>
      </w:pPr>
      <w:r>
        <w:t>Охрана и воспроизводство растительных ресурсов особенно важна для районов со значительной лесистостью, в которых леса являются значительным экономическим потенциалом, служат главным резервом биологического разнообразия, фактором оздоровления воздушной и водной сред, регулирования климата и гидрологических параметров. Так, на Дальнем Востоке России (ДВР) они составляют основную часть (81,1%) земельного фонда региона; запас древесины - примерно 20,7 млрд. м3, из которых на спелые и перестойные насаждения, пригодные к промысленной заготовке, приходится 10,1 млрд. м3., поэтому задача их сохранения и приумножения является одной из важнейших. Борьба с лесными пожарами занимает особое место в лесопользовании на территории всего ДВ региона, при этом следует выделить территорию Среднего Приамурья, например, Еврейскую автономную область (ЕАО), в связи со значительным вкладом лесопромышленного комплекса в экономику данной территории, и увеличения спроса на древесину всех видов пород (хвойных, твердолиственных, мягколиственных) со стороны лесопользователей Российской Федерации и КНР. Лесной фонд отличается высокой пожарной опасностью, наблюдается самая большая на Дальнем Востоке плотность пожаров и значительные площади горельников [1]. Пирологиче- ские характеристики климата [2] определяют большую продолжительность пожароопасного сезона (апрель-октябрь, иногда начало ноября), наличие трех периодов различной горимости растительности (весеннего - летнего - осеннего) и неравномерность распределения пожаров по территории [3].</w:t>
      </w:r>
    </w:p>
    <w:p w:rsidR="0093098F" w:rsidRDefault="00AB4E48">
      <w:pPr>
        <w:pStyle w:val="a3"/>
      </w:pPr>
      <w:r>
        <w:t>Известные методики прогноза вероятности возникновения пожаров разработаны на основе эмпирических (статистических), полуэмпирических (фи- зико - статистических) и вероятностных методов, которые отличаются набором исходных данных; принципами, схемами и моделями расчета; заблаговременностью, эффективностью и оправдываемостью [4]. Некоторые из них реализованы в Европе, Америке и Австралии, например: канадская CFFDRS, американская NFDRS, французская Numerical Risk, австралийская FDRS, испанская DER, итальянские IMPI и IREPI INDEX, португальская PORT, финская FFMI и др. [5]. В России разрабатываются детерминированно- вероятностные методы, в которых рассчитываются три составляющих: вероятность возникновения пожаров по метеоусловиям, по природным (молнии) и антропогенным источникам различного происхождения [6, 7]. Вероятностные члены оцениваются через частоту событий по статистическим данным за базовый период, детерминированные основаны на физических моделях низкотемпературной сушки [8]. Основная проблема состоит в расчете второй составляющей, поскольку для этого требуется использование переменных во времени данных о физическом состоянии слоев растительных горючих материалов (РГМ), например, плотности, теплоемкости, объемной доли сухого органического вещества, которые трудно определить и прогнозировать даже на небольших территориях вследствие их сложного состава и неоднородности пирологических свойств, поэтому примеры применения данной методики приведены для гипотетических лесных участков [7], или для реальных территорий, но при выделении одного типа проводника горения [6]. Интересный подход к устранению этой проблемы предпринят в [9] путем определения среднего значения метеорологического показателя пожарной опасности, при котором возникали пожары, однако при этом не учтено изменение пирологических свойств растительности в течение пожароопасного сезона, что значительно уменьшило достоверность прогноза. Поэтому целью работы является создание системы пространственного прогноза возникновения пожаров по погодным условиям и внутрисезонным изменениям пирологических характеристик растительности, и прогноз на ее основе вероятности возникновения пожаров растительности на юге ДВР.</w:t>
      </w:r>
    </w:p>
    <w:p w:rsidR="0093098F" w:rsidRDefault="00AB4E48">
      <w:pPr>
        <w:pStyle w:val="a3"/>
      </w:pPr>
      <w:r>
        <w:t>Материалы и методики</w:t>
      </w:r>
    </w:p>
    <w:p w:rsidR="0093098F" w:rsidRDefault="00AB4E48">
      <w:pPr>
        <w:pStyle w:val="a3"/>
      </w:pPr>
      <w:r>
        <w:t>Сформированы две базы ежедневных данных (1970-2012 гг.). Первая содержит фактические метеоданные 10 гидрометеостанций (ГМС), расположенных на юге ДВР («Облучье», «Биробиджан», «Екатерино - Никольское»,  «Смидович», «Ленинское», «Сутур», «Кукан», «Победа», «Хабаровск», «Хорское», «Троицкое») и прогнозные - с сайтов ГУ Гидрометцентра России[1]и ИКИ РАН[2]: дневную температуру воздуха и точки росы в 13-15 часов местного времени, суточный объем осадков с 9 часов утра предыдущего дня до 9 часов утра текущего дня.</w:t>
      </w:r>
    </w:p>
    <w:p w:rsidR="0093098F" w:rsidRDefault="00AB4E48">
      <w:pPr>
        <w:pStyle w:val="a3"/>
      </w:pPr>
      <w:r>
        <w:t>В территорию репрезентативности ГМС включены 30 километровые зоны [10], зоны ответственности определены по полигонам Тиссена [11].</w:t>
      </w:r>
    </w:p>
    <w:p w:rsidR="0093098F" w:rsidRDefault="00AB4E48">
      <w:pPr>
        <w:pStyle w:val="a3"/>
      </w:pPr>
      <w:r>
        <w:t>Во второй представлены сведения о пожарах растительности по материалам КГУ «ДВ авиабаза», ОГБУ «Лесничество ЕАО» и космоснимкам с сайтов NASA[3]и ФАЛХ «Авиалесоохрана»[4], которые включают даты обнаружения и ликвидации пожара, номера кварталов лесничеств или координаты операционных территориальных единиц (ОТЕ), тип пожара (лесной /не лесной).</w:t>
      </w:r>
    </w:p>
    <w:p w:rsidR="0093098F" w:rsidRDefault="00AB4E48">
      <w:pPr>
        <w:pStyle w:val="a3"/>
      </w:pPr>
      <w:r>
        <w:t>Расчет ежедневных показателей фактической пожарной опасности производился по методу В. Нестерова [12], который применяется системе «ИСДМ - Рослесхоз» [20], (уравнения 1-3):</w:t>
      </w:r>
    </w:p>
    <w:p w:rsidR="0093098F" w:rsidRDefault="00AB4E48">
      <w:pPr>
        <w:pStyle w:val="a3"/>
      </w:pPr>
      <w:r>
        <w:t>Lt = f (t,T, d, Et, ET, Kv) (1)</w:t>
      </w:r>
    </w:p>
    <w:p w:rsidR="0093098F" w:rsidRDefault="00AB4E48">
      <w:pPr>
        <w:pStyle w:val="a3"/>
      </w:pPr>
      <w:r>
        <w:t>P = L, при x &gt; 3,00 мм / сут. (2)</w:t>
      </w:r>
    </w:p>
    <w:p w:rsidR="0093098F" w:rsidRDefault="00AB4E48">
      <w:pPr>
        <w:pStyle w:val="a3"/>
      </w:pPr>
      <w:r>
        <w:t>P = Lt + p_ при x &lt; 3,00 мм / сут. (3)</w:t>
      </w:r>
    </w:p>
    <w:p w:rsidR="0093098F" w:rsidRDefault="00AB4E48">
      <w:pPr>
        <w:pStyle w:val="a3"/>
      </w:pPr>
      <w:r>
        <w:t>где: Li, P, -лесопожарный и комплексный показатели, ti - дневная температура воздуха, т - дневная температура точки росы, d - дефицит влажности, Et, ET упругость насыщенных паров при разных температурах, Kv коэффициент, зависящий от скорости ветра,</w:t>
      </w:r>
    </w:p>
    <w:p w:rsidR="0093098F" w:rsidRDefault="00AB4E48">
      <w:pPr>
        <w:pStyle w:val="a3"/>
      </w:pPr>
      <w:r>
        <w:t>Расчет прогнозного значения лесопожарного показателя L’i+n на i+n- ный день проводится авторской методике по корреляционным уравнениям между значениями Li в особо опасные «сухие» дни и дневной температурой воздуха t С для каждого месяца пожароопасного сезона на основании ежедневных метеоданных за базовый период в 30-50 лет [13]. К «сухим» отнесены дни, в которых не отмечался дождь, или количество осадков (x) не превышало 3 мм/сут., и которым предшествовали и следовали сутки без дождя или с осадками в этом же объеме: xi-1 &lt;3 мм/сут.; x, &lt;3 мм/сут.; x+i &lt;3 мм/сут; где i-1, i, i+1 - индексы предыдущего, текущего и следующего дней. Выбор уравнений основан на статистических критериях: коэффициенте корреляции (r), стандартной ошибке коэффициента парной корреляции (ar), остаточной дисперсии парной корреляции (D), аппроксимации ошибки парной корреляции, при выполнении условий, обязательных для гидрометеорологических прогнозов: фактический критерий Фишера больше критического значения r&gt;0,7 и l^/a^.</w:t>
      </w:r>
    </w:p>
    <w:p w:rsidR="0093098F" w:rsidRDefault="00AB4E48">
      <w:pPr>
        <w:pStyle w:val="a3"/>
      </w:pPr>
      <w:r>
        <w:t>Комплексный показатель P’i+n на i+n - ный день прогнозируется на основе разработанных нами кодов синоптических терминов интенсивности осадков (INT) и системе уравнений, аналогичных уравнению В. Нестерова для расчета фактических значений Pi, принцип использования которых показан в табл. 1 на примере трехдневного прогноза. Класс пожарной опасности (КПО) определяется по региональной шкале.</w:t>
      </w:r>
    </w:p>
    <w:p w:rsidR="0093098F" w:rsidRDefault="00AB4E48">
      <w:pPr>
        <w:pStyle w:val="a3"/>
      </w:pPr>
      <w:r>
        <w:t>Расчет вероятности возникновения пожаров растительности на каждый i- ый день пожароопасного сезона производится по детерминированно- вероятностной методике [8], в которую нами введена дифференциация антропогенных источников возгорания в зависимости их расстояния от j-ой ОТЕ, учтена степень пирологической опасности участков растительности по лесорастительным условиям, введено понятие критическое расстояние, которое характеризует максимальное расстояние от источников, после которого резко уменьшается количество пожаров (уравнения 4а, в).</w:t>
      </w:r>
    </w:p>
    <w:p w:rsidR="0093098F" w:rsidRDefault="00AB4E48">
      <w:pPr>
        <w:pStyle w:val="a3"/>
      </w:pPr>
      <w:r>
        <w:t>F J F,j (C)[ (Fj (N)Fij. (B /N)+Fj (M)Fj (B /M) ] при RN &lt; Rcr. (4a) hJ ) [F,. (C)[(Fj (D[ (B / D) + Fj (M)F,. (B/M) ] при Rn &gt; Rcr. (4e)</w:t>
      </w:r>
    </w:p>
    <w:p w:rsidR="0093098F" w:rsidRDefault="00AB4E48">
      <w:pPr>
        <w:pStyle w:val="a3"/>
      </w:pPr>
      <w:r>
        <w:t>где: Fij(B) - вероятность возникновения пожаров растительности (событие B); Fi?j (C) - вероятность возгорания растительности при определенном значении комплексного показателя (событие C), которая определяется степенью пиро- логической опасности участков растительности по лесорастительным условиям; Fj(N), Fj(D) - вероятность появления антропогенного источника огня в ОТЕ от ближайших населенных пунктов (событие N) или железных и автомобильных дорог (событие D); FjB/N), Fi,j(B/D) - вероятность возгорания вследствие появления антропогенного источника огня; Fj(M) - вероятность появления природного источника (молний) (событие M); FjB/M) - вероятность возгорания вследствие появления природного источника огня, молний; Rn - расстояние от j-ой ОТЕ до населенного пункта; Rcr. - минимальное расстояние от населенного пункта до ОТЕ, после которого значительно уменьшается количество пожаров. События N, D и M образуют полную группу несовместных событий, которые пересчитываются после наступления события B по частотным характристикам.</w:t>
      </w:r>
    </w:p>
    <w:p w:rsidR="0093098F" w:rsidRDefault="00AB4E48">
      <w:pPr>
        <w:pStyle w:val="a3"/>
      </w:pPr>
      <w:r>
        <w:t>Таблица 1</w:t>
      </w:r>
    </w:p>
    <w:p w:rsidR="0093098F" w:rsidRDefault="00AB4E48">
      <w:pPr>
        <w:pStyle w:val="a3"/>
      </w:pPr>
      <w:r>
        <w:t>Уравнения для трехдневного прогноза комплексного показателя P’i+n и его изменение в зависимости от интенсивности и продолжительности выпадения осадков</w:t>
      </w:r>
    </w:p>
    <w:p w:rsidR="0093098F" w:rsidRDefault="00AB4E4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160"/>
        <w:gridCol w:w="160"/>
        <w:gridCol w:w="160"/>
        <w:gridCol w:w="96"/>
        <w:gridCol w:w="96"/>
        <w:gridCol w:w="480"/>
      </w:tblGrid>
      <w:tr w:rsidR="0093098F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Термин</w:t>
            </w:r>
          </w:p>
        </w:tc>
        <w:tc>
          <w:tcPr>
            <w:tcW w:w="0" w:type="auto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Код</w:t>
            </w:r>
          </w:p>
          <w:p w:rsidR="0093098F" w:rsidRPr="00AB4E48" w:rsidRDefault="00AB4E48">
            <w:pPr>
              <w:pStyle w:val="a3"/>
            </w:pPr>
            <w:r w:rsidRPr="00AB4E48">
              <w:t>(INT)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3098F" w:rsidRDefault="00AB4E48">
            <w:r>
              <w:t>Уравнения для расчета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Без осадков, сухая погода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  <w:tr w:rsidR="0093098F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Небольшой дождь, слабый дождь, небольшие осадки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P+n = L'(ti+n)+P+n_1 (№1)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  <w:tr w:rsidR="0093098F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Морось, моросящие осадки, моросящий</w:t>
            </w:r>
          </w:p>
          <w:p w:rsidR="0093098F" w:rsidRPr="00AB4E48" w:rsidRDefault="00AB4E48">
            <w:pPr>
              <w:pStyle w:val="a3"/>
            </w:pPr>
            <w:r w:rsidRPr="00AB4E48">
              <w:t>дождь, дождливая погода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P+1 = L'(ti+1)+P (№1)</w:t>
            </w:r>
          </w:p>
          <w:p w:rsidR="0093098F" w:rsidRPr="00AB4E48" w:rsidRDefault="00AB4E48">
            <w:pPr>
              <w:pStyle w:val="a3"/>
            </w:pPr>
            <w:r w:rsidRPr="00AB4E48">
              <w:t>P+n = ((L'(ti+n ) + P+n-г) + L\tl+n ))/2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2)</w:t>
            </w:r>
          </w:p>
          <w:p w:rsidR="0093098F" w:rsidRPr="00AB4E48" w:rsidRDefault="00AB4E48">
            <w:pPr>
              <w:pStyle w:val="a3"/>
            </w:pPr>
            <w:r w:rsidRPr="00AB4E48">
              <w:t>(№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  <w:tr w:rsidR="0093098F">
        <w:trPr>
          <w:trHeight w:val="5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Дождь, осадки, дождливая погода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P+n = i(L(tI+n)+P+n-1)+L(tI+n ))/2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2)</w:t>
            </w:r>
          </w:p>
          <w:p w:rsidR="0093098F" w:rsidRPr="00AB4E48" w:rsidRDefault="00AB4E48">
            <w:pPr>
              <w:pStyle w:val="a3"/>
            </w:pPr>
            <w:r w:rsidRPr="00AB4E48">
              <w:t>(№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  <w:tr w:rsidR="0093098F">
        <w:trPr>
          <w:trHeight w:val="181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Местами дождь, кратковременный</w:t>
            </w:r>
          </w:p>
          <w:p w:rsidR="0093098F" w:rsidRPr="00AB4E48" w:rsidRDefault="00AB4E48">
            <w:pPr>
              <w:pStyle w:val="a3"/>
            </w:pPr>
            <w:r w:rsidRPr="00AB4E48">
              <w:t>дождь, кратковременные дожди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p+n = L (ti+n ) + p+n-1</w:t>
            </w:r>
          </w:p>
          <w:p w:rsidR="0093098F" w:rsidRPr="00AB4E48" w:rsidRDefault="00AB4E48">
            <w:pPr>
              <w:pStyle w:val="a3"/>
            </w:pPr>
            <w:r w:rsidRPr="00AB4E48">
              <w:t>P+2 = ДО + Рм P+2 = L(tM)</w:t>
            </w:r>
          </w:p>
          <w:p w:rsidR="0093098F" w:rsidRPr="00AB4E48" w:rsidRDefault="00AB4E48">
            <w:pPr>
              <w:pStyle w:val="a3"/>
            </w:pPr>
            <w:r w:rsidRPr="00AB4E48">
              <w:t>P+3 = L(ti+3) + P+2</w:t>
            </w:r>
          </w:p>
          <w:p w:rsidR="0093098F" w:rsidRPr="00AB4E48" w:rsidRDefault="00AB4E48">
            <w:pPr>
              <w:pStyle w:val="a3"/>
            </w:pPr>
            <w:r w:rsidRPr="00AB4E48">
              <w:t>P+3 = АО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(№1) (№1) (№ 3) (№ 1) (№ 3)</w:t>
            </w:r>
          </w:p>
        </w:tc>
      </w:tr>
      <w:tr w:rsidR="0093098F">
        <w:trPr>
          <w:trHeight w:val="93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Значительный дождь, сильный дождь, очень сильный дождь (осадки), ливневый дождь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P+n = L(tl+n 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(№4)</w:t>
            </w:r>
          </w:p>
        </w:tc>
      </w:tr>
      <w:tr w:rsidR="0093098F">
        <w:trPr>
          <w:trHeight w:val="43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Без осадков, сухая погода Дождь, осадки, дождливая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P+n = L (ti+n ) + Pi+n-1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(№1)</w:t>
            </w:r>
          </w:p>
        </w:tc>
      </w:tr>
      <w:tr w:rsidR="0093098F">
        <w:trPr>
          <w:trHeight w:val="42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Погода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3098F" w:rsidRDefault="00AB4E48">
            <w:r>
              <w:t>P+n = ((L (ti+n)+P+-)+L(t1+n ))/2 (№ 2)</w:t>
            </w:r>
          </w:p>
        </w:tc>
      </w:tr>
      <w:tr w:rsidR="0093098F">
        <w:trPr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</w:tbl>
    <w:p w:rsidR="0093098F" w:rsidRPr="00AB4E48" w:rsidRDefault="00AB4E48">
      <w:pPr>
        <w:pStyle w:val="a3"/>
      </w:pPr>
      <w:r>
        <w:t>Примечания: п = 1..3- день прогноза; L (ti+n), Pi+n- лесопожарный и комплексный показатель на i+n день прогноза, INT - код формализованного синоптического термина прогноза осадков, xi+n и t +п прогнозируемые объем осадков и температуры воздуха на i+n -ый день.</w:t>
      </w:r>
    </w:p>
    <w:p w:rsidR="0093098F" w:rsidRDefault="00AB4E48">
      <w:pPr>
        <w:pStyle w:val="a3"/>
      </w:pPr>
      <w:r>
        <w:t>В качестве ОТЕ использована нерегулярная сеть кварталов ОГБУ «Лесничество ЕАО» с однозначно идентифицируемыми параметрами: порядковый номер, номер филиала, участкового лесничества или квартала; и регулярная сеть не лесного фонда, которые характеризуются координатами центра.</w:t>
      </w:r>
    </w:p>
    <w:p w:rsidR="0093098F" w:rsidRDefault="00AB4E48">
      <w:pPr>
        <w:pStyle w:val="a3"/>
      </w:pPr>
      <w:r>
        <w:t>Результаты и их обсуждение</w:t>
      </w:r>
    </w:p>
    <w:p w:rsidR="0093098F" w:rsidRDefault="00AB4E48">
      <w:pPr>
        <w:pStyle w:val="a3"/>
      </w:pPr>
      <w:r>
        <w:t>Возможность возникновения пожаров зависит от процессов высыхания- увлажнения растительности, которые определяют переход ее в состояние «пожарной зрелости», зависящее, в первую очередь, от свойства самой растительности и от погодных условий [10].</w:t>
      </w:r>
    </w:p>
    <w:p w:rsidR="0093098F" w:rsidRDefault="00AB4E48">
      <w:pPr>
        <w:pStyle w:val="a3"/>
      </w:pPr>
      <w:r>
        <w:t>Для расчета вероятности возникновения пожаров растительности в зависимости от погодных условий Fi,j(C) в уравнениях (4а, в) нами предложена формула:</w:t>
      </w:r>
    </w:p>
    <w:p w:rsidR="0093098F" w:rsidRDefault="00AB4E48">
      <w:pPr>
        <w:pStyle w:val="a3"/>
      </w:pPr>
      <w:r>
        <w:t>F,, (С) = -P-, (5)</w:t>
      </w:r>
    </w:p>
    <w:p w:rsidR="0093098F" w:rsidRDefault="00AB4E48">
      <w:pPr>
        <w:pStyle w:val="a3"/>
      </w:pPr>
      <w:r>
        <w:t>Pcr</w:t>
      </w:r>
    </w:p>
    <w:p w:rsidR="0093098F" w:rsidRDefault="00AB4E48">
      <w:pPr>
        <w:pStyle w:val="a3"/>
      </w:pPr>
      <w:r>
        <w:t>где: Р\ прогнозное значение комплексного показателя в i-день, Pcr. -значение комплексного показателя, при котором возможно горение определенного типа растительности в зависимости от периода пожароопасного сезона.</w:t>
      </w:r>
    </w:p>
    <w:p w:rsidR="0093098F" w:rsidRDefault="00AB4E48">
      <w:pPr>
        <w:pStyle w:val="a3"/>
      </w:pPr>
      <w:r>
        <w:t>Для расчета комплексного показателя Pi в i-ый день и его прогноза на следующие п суток P’i+i, ... P’i+n. в каждом ОТЕ использовано два метода:</w:t>
      </w:r>
    </w:p>
    <w:p w:rsidR="0093098F" w:rsidRDefault="00AB4E48">
      <w:pPr>
        <w:pStyle w:val="a3"/>
      </w:pPr>
      <w:r>
        <w:t>В зоне репрезентативности ГМС сначала рассчитываются прогнозные значения лесопожарного показателя L’1+n по корреляционным уравнениям вида L1 = C0eClt + C2 (R &gt;0,7), где: С - коэффициенты, t- прогнозируемая температура воздуха на 13-15 ч. местного времени, а затем проводят прогноз комплексных показателей P’i+n по уравнениям табл.1., что позволяет определять классы пожарной опасности с достоверностью 0,77-0,96 (табл. 2).</w:t>
      </w:r>
    </w:p>
    <w:p w:rsidR="0093098F" w:rsidRDefault="00AB4E48">
      <w:pPr>
        <w:pStyle w:val="a3"/>
      </w:pPr>
      <w:r>
        <w:t>Таблица 2</w:t>
      </w:r>
    </w:p>
    <w:p w:rsidR="0093098F" w:rsidRDefault="00AB4E48">
      <w:pPr>
        <w:pStyle w:val="a3"/>
      </w:pPr>
      <w:r>
        <w:t>Достоверность прогноза классов пожарной опасности на территории Среднего</w:t>
      </w:r>
    </w:p>
    <w:p w:rsidR="0093098F" w:rsidRDefault="00AB4E4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92"/>
        <w:gridCol w:w="192"/>
        <w:gridCol w:w="192"/>
        <w:gridCol w:w="192"/>
        <w:gridCol w:w="480"/>
        <w:gridCol w:w="480"/>
        <w:gridCol w:w="480"/>
      </w:tblGrid>
      <w:tr w:rsidR="0093098F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93098F" w:rsidRDefault="00AB4E48">
            <w:r>
              <w:t>Приамурья в зоне репрезентативности ГМС (ГМС «Би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робиджан», 2010 г.) (фрагмент)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93098F" w:rsidRDefault="00AB4E48">
            <w:r>
              <w:t>Месяц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День прогноза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098F" w:rsidRDefault="00AB4E48">
            <w:r>
              <w:t>Месяц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День прогноза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098F" w:rsidRDefault="0093098F"/>
        </w:tc>
        <w:tc>
          <w:tcPr>
            <w:tcW w:w="0" w:type="auto"/>
            <w:vAlign w:val="center"/>
            <w:hideMark/>
          </w:tcPr>
          <w:p w:rsidR="0093098F" w:rsidRDefault="00AB4E4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93098F" w:rsidRDefault="0093098F"/>
        </w:tc>
        <w:tc>
          <w:tcPr>
            <w:tcW w:w="0" w:type="auto"/>
            <w:vAlign w:val="center"/>
            <w:hideMark/>
          </w:tcPr>
          <w:p w:rsidR="0093098F" w:rsidRDefault="00AB4E48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3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3098F" w:rsidRDefault="0093098F"/>
        </w:tc>
        <w:tc>
          <w:tcPr>
            <w:tcW w:w="0" w:type="auto"/>
            <w:gridSpan w:val="7"/>
            <w:vAlign w:val="center"/>
            <w:hideMark/>
          </w:tcPr>
          <w:p w:rsidR="0093098F" w:rsidRDefault="00AB4E48">
            <w:r>
              <w:t>Достоверность (р (КПО))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0,90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Май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0,77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0,77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0,93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0,90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Июнь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0,92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0,89</w:t>
            </w:r>
          </w:p>
        </w:tc>
      </w:tr>
      <w:tr w:rsidR="0093098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Июль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0,79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0,80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</w:tbl>
    <w:p w:rsidR="0093098F" w:rsidRPr="00AB4E48" w:rsidRDefault="00AB4E48">
      <w:pPr>
        <w:pStyle w:val="a3"/>
      </w:pPr>
      <w:r>
        <w:t>Примечание достоверность прогноза (р (КПО)) рассчитана по [12]</w:t>
      </w:r>
    </w:p>
    <w:p w:rsidR="0093098F" w:rsidRDefault="00AB4E48">
      <w:pPr>
        <w:pStyle w:val="a3"/>
      </w:pPr>
      <w:r>
        <w:t>Вне зон репрезентативности ГМС использованы восстановленные значения L i. Метод интерполяции выбран из группы детерминистических или гео- статистических с географической привязкой по минимальному значению среднеквадратической ошибки RMSEm [14] и наибольшей величине коэффициента эффективности Em, при выполнении условия 0,5&lt; Em&lt;1 [15]. Проведен анализ 9 интерполяционных методов, построен ансамбль из 26964 карт с изолиниями восстановленных значений L. При последовательном использованием каждой ГМС в качестве контрольной точки рассчитана среднеквадратическая ошибка и количество пожароопасных сезонов с эффективностью прогноза Em &gt; 0,5; показано, что приемлемыми являются локальная полиномиальная интерполяция, обратно взвешенные расстояния и базовые радиальные функции (фрагмент приведен в табл. 3).</w:t>
      </w:r>
    </w:p>
    <w:p w:rsidR="0093098F" w:rsidRDefault="00AB4E48">
      <w:pPr>
        <w:pStyle w:val="a3"/>
      </w:pPr>
      <w:r>
        <w:t>Таблица 3</w:t>
      </w:r>
    </w:p>
    <w:p w:rsidR="0093098F" w:rsidRDefault="00AB4E48">
      <w:pPr>
        <w:pStyle w:val="a3"/>
      </w:pPr>
      <w:r>
        <w:t>Характеристики методов интерполяции значений лесопожарного показателя L i в контрольных точках (1999 -2012 гг.)</w:t>
      </w:r>
    </w:p>
    <w:p w:rsidR="0093098F" w:rsidRDefault="00AB4E4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240"/>
        <w:gridCol w:w="240"/>
        <w:gridCol w:w="160"/>
        <w:gridCol w:w="480"/>
        <w:gridCol w:w="480"/>
      </w:tblGrid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Метод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3098F" w:rsidRDefault="00AB4E48">
            <w:r>
              <w:t>интерполяции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  <w:tr w:rsidR="0093098F">
        <w:trPr>
          <w:trHeight w:val="1695"/>
          <w:tblCellSpacing w:w="0" w:type="dxa"/>
        </w:trPr>
        <w:tc>
          <w:tcPr>
            <w:tcW w:w="0" w:type="auto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Контрольные</w:t>
            </w:r>
          </w:p>
          <w:p w:rsidR="0093098F" w:rsidRPr="00AB4E48" w:rsidRDefault="00AB4E48">
            <w:pPr>
              <w:pStyle w:val="a3"/>
            </w:pPr>
            <w:r w:rsidRPr="00AB4E48">
              <w:t>точки</w:t>
            </w:r>
          </w:p>
          <w:p w:rsidR="0093098F" w:rsidRPr="00AB4E48" w:rsidRDefault="00AB4E48">
            <w:pPr>
              <w:pStyle w:val="a3"/>
            </w:pPr>
            <w:r w:rsidRPr="00AB4E48">
              <w:t>(ГМС)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Обратно - взвешенные расстояния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Кригинг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Минимизация кривизны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Шепарда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Естественные соседи</w:t>
            </w:r>
          </w:p>
        </w:tc>
        <w:tc>
          <w:tcPr>
            <w:tcW w:w="0" w:type="auto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Полиномиальная</w:t>
            </w:r>
          </w:p>
          <w:p w:rsidR="0093098F" w:rsidRPr="00AB4E48" w:rsidRDefault="00AB4E48">
            <w:pPr>
              <w:pStyle w:val="a3"/>
            </w:pPr>
            <w:r w:rsidRPr="00AB4E48">
              <w:t>регрессия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Базисные радиальные функции</w:t>
            </w:r>
          </w:p>
        </w:tc>
      </w:tr>
      <w:tr w:rsidR="0093098F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93098F" w:rsidRDefault="00AB4E48">
            <w:r>
              <w:t>Среднеквадратическая ошибка интерполяции</w:t>
            </w:r>
          </w:p>
        </w:tc>
      </w:tr>
      <w:tr w:rsidR="0093098F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«Биробиджан»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61,1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63,2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70,3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66,3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63,3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69,7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60,6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 «Победа»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87,2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87,0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93,7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93,4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84,9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98,2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84,9</w:t>
            </w:r>
          </w:p>
        </w:tc>
      </w:tr>
      <w:tr w:rsidR="0093098F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«Кукан»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82,8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83,4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86,6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86,1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83,4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86,6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83,0</w:t>
            </w:r>
          </w:p>
        </w:tc>
      </w:tr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«Хабаровск»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66,5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70,2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81,8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72,7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70,0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96,0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67,3</w:t>
            </w:r>
          </w:p>
        </w:tc>
      </w:tr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«Сутур»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109,3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106,5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111,9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117,4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109,5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128,2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106,4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«Троицкое»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113,3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136,1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179,3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199,8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120,5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125,9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132,4</w:t>
            </w:r>
          </w:p>
        </w:tc>
      </w:tr>
      <w:tr w:rsidR="0093098F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«Ленинское»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73,7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69,4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146,4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127,7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76,8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84,1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67,1</w:t>
            </w:r>
          </w:p>
        </w:tc>
      </w:tr>
      <w:tr w:rsidR="0093098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«Смидовичи»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73,5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75,2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80,6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72,1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69,5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85,0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70,1</w:t>
            </w:r>
          </w:p>
        </w:tc>
      </w:tr>
      <w:tr w:rsidR="0093098F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«Екатерино-</w:t>
            </w:r>
          </w:p>
          <w:p w:rsidR="0093098F" w:rsidRPr="00AB4E48" w:rsidRDefault="00AB4E48">
            <w:pPr>
              <w:pStyle w:val="a3"/>
            </w:pPr>
            <w:r w:rsidRPr="00AB4E48">
              <w:t>Никольское»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93,2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98,2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504,3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142,6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112,8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94,9</w:t>
            </w:r>
          </w:p>
        </w:tc>
      </w:tr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«Облучье»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85,4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96,7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180,8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137,0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107,6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95,4</w:t>
            </w:r>
          </w:p>
        </w:tc>
      </w:tr>
      <w:tr w:rsidR="0093098F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Среднее значение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84,6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88,6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153,6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111,5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84,7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99,4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86,2</w:t>
            </w:r>
          </w:p>
        </w:tc>
      </w:tr>
      <w:tr w:rsidR="0093098F">
        <w:trPr>
          <w:trHeight w:val="735"/>
          <w:tblCellSpacing w:w="0" w:type="dxa"/>
        </w:trPr>
        <w:tc>
          <w:tcPr>
            <w:tcW w:w="0" w:type="auto"/>
            <w:vAlign w:val="center"/>
            <w:hideMark/>
          </w:tcPr>
          <w:p w:rsidR="0093098F" w:rsidRPr="00AB4E48" w:rsidRDefault="00AB4E48">
            <w:pPr>
              <w:pStyle w:val="a3"/>
            </w:pPr>
            <w:r w:rsidRPr="00AB4E48">
              <w:t>Количество сезонов с</w:t>
            </w:r>
          </w:p>
          <w:p w:rsidR="0093098F" w:rsidRPr="00AB4E48" w:rsidRDefault="00AB4E48">
            <w:pPr>
              <w:pStyle w:val="a3"/>
            </w:pPr>
            <w:r w:rsidRPr="00AB4E48">
              <w:t>Em &gt; 0,5; %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85,0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81,4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48,6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52,1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098F" w:rsidRDefault="00AB4E48">
            <w:r>
              <w:t>68,6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76,4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82,1</w:t>
            </w:r>
          </w:p>
        </w:tc>
      </w:tr>
      <w:tr w:rsidR="0093098F">
        <w:trPr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 </w:t>
            </w:r>
          </w:p>
        </w:tc>
      </w:tr>
    </w:tbl>
    <w:p w:rsidR="0093098F" w:rsidRPr="00AB4E48" w:rsidRDefault="00AB4E48">
      <w:pPr>
        <w:pStyle w:val="a3"/>
      </w:pPr>
      <w:r>
        <w:t>Значение комплексного показателя Pcr. , при котором возможно горение, зависит от пирологической устойчивости («пожарной зрелости») растительности [16]. Степень пирологической устойчивости преобладающей в каждом ОТЕ растительности, определена в соответствии со шкалой, разработанной А. М. Стародумовым [18] (рис. 1).</w:t>
      </w:r>
    </w:p>
    <w:p w:rsidR="0093098F" w:rsidRDefault="005429AF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4pt;height:189pt">
            <v:imagedata r:id="rId4" o:title=""/>
          </v:shape>
        </w:pict>
      </w:r>
    </w:p>
    <w:p w:rsidR="0093098F" w:rsidRDefault="00AB4E48">
      <w:pPr>
        <w:pStyle w:val="a3"/>
      </w:pPr>
      <w:r>
        <w:t>Рис. 1. Степень пирологической пожарной опасности основных растительных формаций на территории Еврейской автономной области</w:t>
      </w:r>
    </w:p>
    <w:p w:rsidR="0093098F" w:rsidRDefault="00AB4E48">
      <w:pPr>
        <w:pStyle w:val="a3"/>
      </w:pPr>
      <w:r>
        <w:t>К I классу отнесены леса и редколесья из дуба монгольского, а так же заросли кедрового стланика, багульника, рододендрона золотистого, расположенные в долине р. Амур между с. Пашково и с. Екатерино - Никольское, в верховьях рек Каменушка, Осенняя, Самара, Малая Самара, в нижнем течении р. Большая Бира и на небольших участках в южной части области, а так же в южной части Буреинского хребта. Во II класс выделены темнохвойные пихтово-еловые леса из ели аянской и пихты белокурой, лиственничноеловые и елово-лиственничные горные леса, пихтово-еловые и еловопихтовые леса с кедром, широколиственными породами, хорошо развитым подлеском и покровом; широколиственно - елово-кедровые леса или северные кедровники; широколиственные леса, расположенные южнее железнодорожного полотна ДВЖД на отрезке п. Известковый - г. Биробиджан, севернее отрезка г. Облучье - п. Известковый, в верховьях рек Биджан, Бира, Дитур, Большой Таймень, в районе хребтов Сутарский, Помпеевский. Формации IV класса - это мелколиственные леса и редколесья на равнинах и долинах рек, лиственничные леса и редколесья межгорных долин вдоль ДВЖД между станциями Биракан и Ин, а так же в среднем течении рек Би- джан, Унгун, Малая Бира. К V классу отнесены лиственничники кустарнич- ково - голубично - моховые с ерником и редкостойные лиственничники с березой маньчжурской; березовые и осино - белоберезовые с хвойными и широколиственными породами производные леса на горных склонах, а так же луговая и болотная растительность, распространенная в южной части ЕАО в долине реки Амур и нижнем течении р. Остаповка, Каменушка, Биджан, Самара, Малая Бира, Урми [3].</w:t>
      </w:r>
    </w:p>
    <w:p w:rsidR="0093098F" w:rsidRDefault="00AB4E48">
      <w:pPr>
        <w:pStyle w:val="a3"/>
      </w:pPr>
      <w:r>
        <w:t>Для исследования выбран пожароопасный сезон 2010 г., когда в лесном фонде было зарегистрировано 116 пожаров, огнем пройдено 16,2 тыс. га, в том числе 3,2 тыс. га - на лесных землях. Анализ фактической горимости показал, что значительная часть пожаров возникла в ОТЕ, в которых преобладает растительность I-III степени опасности -33,4 и 38,0 % соответственно, а наименьшее - с растительностью V степени (0,4%). Определен период нахождения каждого ОТЕ в пожароопасном состоянии в зависимости от погодных условий весеннего, летнего и осеннего периодов и степени пирологи- ческой пожарной опасности растительности: I степень - 170, II степень - 122, III степень - 65, IV степень - 40 дней при общей продолжительности сезона 214 дней.</w:t>
      </w:r>
    </w:p>
    <w:p w:rsidR="0093098F" w:rsidRDefault="00AB4E48">
      <w:pPr>
        <w:pStyle w:val="a3"/>
      </w:pPr>
      <w:r>
        <w:t>Составлено 214 ежедневных пространственных прогнозов возникновения пожаров. Показано, что при вероятности 0,95 их достоверность, рассчитанная по фактическим значениям комплексного показателя (Pi) на текущий день, составляет в среднем 84± 14%, а по прогнозным (Рг) - 77±16 % (табл. 4)., причем она незначительно снижается с изменением заблаговременности прогноза и примерно на 20-25% выше, чем в последних разработках ИСДМ - Рослесхоз [9].</w:t>
      </w:r>
    </w:p>
    <w:p w:rsidR="0093098F" w:rsidRDefault="00AB4E48">
      <w:pPr>
        <w:pStyle w:val="a3"/>
      </w:pPr>
      <w:r>
        <w:t>Таблица 4</w:t>
      </w:r>
    </w:p>
    <w:p w:rsidR="0093098F" w:rsidRDefault="00AB4E48">
      <w:pPr>
        <w:pStyle w:val="a3"/>
      </w:pPr>
      <w:r>
        <w:t>Достоверность прогноза пожаров растительности по метеоусловиям 2010 г. (фрагмент)</w:t>
      </w:r>
    </w:p>
    <w:p w:rsidR="0093098F" w:rsidRDefault="00AB4E48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</w:tblGrid>
      <w:tr w:rsidR="0093098F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Степень пирологической пожароопасности растительности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I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II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III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IV</w:t>
            </w:r>
          </w:p>
        </w:tc>
      </w:tr>
      <w:tr w:rsidR="0093098F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День прогноза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3098F" w:rsidRDefault="00AB4E48">
            <w:r>
              <w:t>Достоверность прогноза ( вероятность 0,95)</w:t>
            </w:r>
          </w:p>
        </w:tc>
      </w:tr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Текущий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88±14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83±12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94±7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71±26</w:t>
            </w:r>
          </w:p>
        </w:tc>
      </w:tr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Первый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88±14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85±11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85±10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57±29</w:t>
            </w:r>
          </w:p>
        </w:tc>
      </w:tr>
      <w:tr w:rsidR="0093098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Второй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88±14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88±11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77±12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57±29</w:t>
            </w:r>
          </w:p>
        </w:tc>
      </w:tr>
      <w:tr w:rsidR="0093098F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3098F" w:rsidRDefault="00AB4E48">
            <w:r>
              <w:t>Третий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88±14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85±11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77±12</w:t>
            </w:r>
          </w:p>
        </w:tc>
        <w:tc>
          <w:tcPr>
            <w:tcW w:w="0" w:type="auto"/>
            <w:vAlign w:val="center"/>
            <w:hideMark/>
          </w:tcPr>
          <w:p w:rsidR="0093098F" w:rsidRDefault="00AB4E48">
            <w:r>
              <w:t>50±29</w:t>
            </w:r>
          </w:p>
        </w:tc>
      </w:tr>
    </w:tbl>
    <w:p w:rsidR="0093098F" w:rsidRPr="00AB4E48" w:rsidRDefault="00AB4E48">
      <w:pPr>
        <w:pStyle w:val="a3"/>
      </w:pPr>
      <w:r>
        <w:t>Заключение</w:t>
      </w:r>
    </w:p>
    <w:p w:rsidR="0093098F" w:rsidRDefault="00AB4E48">
      <w:pPr>
        <w:pStyle w:val="a3"/>
      </w:pPr>
      <w:r>
        <w:t>Таким образом, пространственный прогноз возникновения пожаров на юге Дальнего Востока России позволил выявить наиболее опасные участки, в которых возможно возгорание растительности по погодным и пирологиче- ским характеристикам в весенний, летний и осенний периоды, что может быть использовано для дифференцированного проведения противопожарного наземного и авиационного мониторинга.</w:t>
      </w:r>
    </w:p>
    <w:p w:rsidR="0093098F" w:rsidRDefault="00AB4E48">
      <w:pPr>
        <w:pStyle w:val="a3"/>
      </w:pPr>
      <w:r>
        <w:t>Список литературы</w:t>
      </w:r>
    </w:p>
    <w:p w:rsidR="0093098F" w:rsidRDefault="00AB4E48">
      <w:pPr>
        <w:pStyle w:val="a3"/>
      </w:pPr>
      <w:r>
        <w:t>Современное состояние лесов российского Дальнего Востока и перспективы их использования / под ред. А.П. Ковалева. Хабаровск: ДальНИИЛХ, 2009. 470 с.</w:t>
      </w:r>
    </w:p>
    <w:p w:rsidR="0093098F" w:rsidRDefault="00AB4E48">
      <w:pPr>
        <w:pStyle w:val="a3"/>
      </w:pPr>
      <w:r>
        <w:t>Григорьева ЕА., Коган Р.М. Пирологические характеристики климата на юге Дальнего Востока России // Региональные проблемы. 2010. Т.13, №2. С. 78-82.</w:t>
      </w:r>
    </w:p>
    <w:p w:rsidR="0093098F" w:rsidRDefault="00AB4E48">
      <w:pPr>
        <w:pStyle w:val="a3"/>
      </w:pPr>
      <w:r>
        <w:t>Дорошенко А.М., Коган Р.М. Оценка пирологических характеристик Среднего Приамурья (на примере Еврейской автономной области) // Региональные проблемы. 2005. № 6-7. С. 63-67.</w:t>
      </w:r>
    </w:p>
    <w:p w:rsidR="0093098F" w:rsidRDefault="00AB4E48">
      <w:pPr>
        <w:pStyle w:val="a3"/>
      </w:pPr>
      <w:r>
        <w:t>Гришин А.М., Фильков А.И. Прогноз возникновения и распространения пожаров растительности. Кемерово: Практика, 2005. 202 с.</w:t>
      </w:r>
    </w:p>
    <w:p w:rsidR="0093098F" w:rsidRDefault="00AB4E48">
      <w:pPr>
        <w:pStyle w:val="a3"/>
      </w:pPr>
      <w:r>
        <w:t>Кузнецов Г.В., Барановский Н.В Прогноз возникновения лесных пожаров и их экологические последствия. Новосибирск: СОРАН, 2009. 301 с.</w:t>
      </w:r>
    </w:p>
    <w:p w:rsidR="0093098F" w:rsidRDefault="00AB4E48">
      <w:pPr>
        <w:pStyle w:val="a3"/>
      </w:pPr>
      <w:r>
        <w:t>Фильков А.И. Детерминированно-вероятностная система прогноза лесной пожарной опасности: дис. на соиск. учен. степ. канд. физ.-мат. наук. Томск: ТГУ, 2005. 163 с.</w:t>
      </w:r>
    </w:p>
    <w:p w:rsidR="0093098F" w:rsidRDefault="00AB4E48">
      <w:pPr>
        <w:pStyle w:val="a3"/>
      </w:pPr>
      <w:r>
        <w:t>Барановский Н.В., Гришин А.М., Локутникова Т.П. Информационнопрогностическая система определения вероятности возникновения лесных пожаров // Вычислительные технологии. 2003. Т.8, №2. С. 16-26.</w:t>
      </w:r>
    </w:p>
    <w:p w:rsidR="0093098F" w:rsidRDefault="00AB4E48">
      <w:pPr>
        <w:pStyle w:val="a3"/>
      </w:pPr>
      <w:r>
        <w:t>Кузнецов Г.В., Барановский Н.В. Детерминировано - вероятностный прогноз лесопожарных возгораний // Пожаровзрывобезопасность. 2006. Т. 15, №5. C. 56-59.</w:t>
      </w:r>
    </w:p>
    <w:p w:rsidR="0093098F" w:rsidRDefault="00AB4E48">
      <w:pPr>
        <w:pStyle w:val="a3"/>
      </w:pPr>
      <w:r>
        <w:t>Подольская А.С., ЕршовД.В., ШулякП.П. Применение метода оценки вероятности возникновения лесных пожаров в ИСДМ - Рослесхоз // Современные проблемы дистанционного зондирования Земли из космоса. 2011. Т. 8, №1. С. 118-126.</w:t>
      </w:r>
    </w:p>
    <w:p w:rsidR="0093098F" w:rsidRDefault="00AB4E48">
      <w:pPr>
        <w:pStyle w:val="a3"/>
      </w:pPr>
      <w:r>
        <w:t>Софронов МА., Волокитина А.В. Пирологическое районирование в таежной зоне. Новосибирск: Наука, 1990. 204 с.</w:t>
      </w:r>
    </w:p>
    <w:p w:rsidR="0093098F" w:rsidRDefault="00AB4E48">
      <w:pPr>
        <w:pStyle w:val="a3"/>
      </w:pPr>
      <w:r>
        <w:t>ДеМерс М.Н. Географические информационные системы. Основы. М.: Дата+, 1999. 490 с.</w:t>
      </w:r>
    </w:p>
    <w:p w:rsidR="0093098F" w:rsidRDefault="00AB4E48">
      <w:pPr>
        <w:pStyle w:val="a3"/>
      </w:pPr>
      <w:r>
        <w:t>Кац А.Л., Гусев В.Л., Шабунина ТА. Методические указания по прогнозированию пожарной опасности в лесах по условиям погоды. М.: Гидрометеоиздат, 1975. 16 с.</w:t>
      </w:r>
    </w:p>
    <w:p w:rsidR="0093098F" w:rsidRDefault="00AB4E48">
      <w:pPr>
        <w:pStyle w:val="a3"/>
      </w:pPr>
      <w:r>
        <w:t>Коган Р.М. Глаголев ВА., Соколова Г.В. Методика автоматизированного прогноза пожарной опасности Приамурья и оценка ее эффективности // Гидрология и метеорология. 2006. №12. С.45-53.</w:t>
      </w:r>
    </w:p>
    <w:p w:rsidR="0093098F" w:rsidRDefault="00AB4E48">
      <w:pPr>
        <w:pStyle w:val="a3"/>
      </w:pPr>
      <w:r>
        <w:t>Flannigan M.D., Wotton B.M. A study of the interpolation methods for forest fiie danger rating in Canada // Canadian Journal of Forest Research. 1989. 19(8). P. 1059-1066.</w:t>
      </w:r>
    </w:p>
    <w:p w:rsidR="0093098F" w:rsidRDefault="00AB4E48">
      <w:pPr>
        <w:pStyle w:val="a3"/>
      </w:pPr>
      <w:r>
        <w:t>Nash J.E., Sutcliffe J.V. River flow forecasting through conceptual models: 1 A discussion of principles // Jornal of Hydrology. 1970. V. 10, №3. P. 282-290.</w:t>
      </w:r>
    </w:p>
    <w:p w:rsidR="0093098F" w:rsidRDefault="00AB4E48">
      <w:pPr>
        <w:pStyle w:val="a3"/>
      </w:pPr>
      <w:r>
        <w:t>Костырина Т.В. Прогнозирование пожарной опасности в лесах юга Хабаровского края: автореф. дис. на соиск. учен. степ. канд. с.-х. наук: 06.03.03. Красноярск, 1978. 23 с.</w:t>
      </w:r>
    </w:p>
    <w:p w:rsidR="0093098F" w:rsidRDefault="00AB4E48">
      <w:pPr>
        <w:pStyle w:val="a3"/>
      </w:pPr>
      <w:r>
        <w:t>Куренцова Г.Э. Очерк растительности Еврейской автономной области. Владивосток: Дальневост. кн изд-во, 1967. 61 с.</w:t>
      </w:r>
    </w:p>
    <w:p w:rsidR="0093098F" w:rsidRDefault="00AB4E48">
      <w:pPr>
        <w:pStyle w:val="a3"/>
      </w:pPr>
      <w:r>
        <w:t>Стародумов А.М. Шкала пожарной опасности насаждений и других категорий площадей для условий Дальнего Востока. Хабаровск: ДальНИИЛХ,1965. 1 с.</w:t>
      </w:r>
    </w:p>
    <w:p w:rsidR="0093098F" w:rsidRDefault="00AB4E48">
      <w:pPr>
        <w:pStyle w:val="a3"/>
      </w:pPr>
      <w:r>
        <w:br w:type="textWrapping" w:clear="all"/>
        <w:t>[1]http://meteoinfo.ru</w:t>
      </w:r>
    </w:p>
    <w:p w:rsidR="0093098F" w:rsidRDefault="00AB4E48">
      <w:pPr>
        <w:pStyle w:val="a3"/>
      </w:pPr>
      <w:r>
        <w:t>[2]http: //meteo.infospace.ru</w:t>
      </w:r>
    </w:p>
    <w:p w:rsidR="0093098F" w:rsidRDefault="00AB4E48">
      <w:pPr>
        <w:pStyle w:val="a3"/>
      </w:pPr>
      <w:r>
        <w:t>[3]http://rapidfire.sci.gsfc.nasa.gov</w:t>
      </w:r>
    </w:p>
    <w:p w:rsidR="0093098F" w:rsidRDefault="00AB4E48">
      <w:pPr>
        <w:pStyle w:val="a3"/>
      </w:pPr>
      <w:r>
        <w:t>[4]http://aviales.ru</w:t>
      </w:r>
    </w:p>
    <w:p w:rsidR="0093098F" w:rsidRDefault="00AB4E48">
      <w:r>
        <w:t xml:space="preserve">  </w:t>
      </w:r>
      <w:bookmarkStart w:id="0" w:name="_GoBack"/>
      <w:bookmarkEnd w:id="0"/>
    </w:p>
    <w:sectPr w:rsidR="009309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E48"/>
    <w:rsid w:val="005429AF"/>
    <w:rsid w:val="0093098F"/>
    <w:rsid w:val="00A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FFAEC9-C1CC-4842-998A-57AFC52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3042</Words>
  <Characters>17345</Characters>
  <Application>Microsoft Office Word</Application>
  <DocSecurity>0</DocSecurity>
  <Lines>144</Lines>
  <Paragraphs>40</Paragraphs>
  <ScaleCrop>false</ScaleCrop>
  <Company>diakov.net</Company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Пространственный прогноз возникновения пожаров на юге дальнего востока россии по погодным и лесорастительным условиям</dc:title>
  <dc:subject/>
  <dc:creator>Irina</dc:creator>
  <cp:keywords/>
  <dc:description/>
  <cp:lastModifiedBy>Irina</cp:lastModifiedBy>
  <cp:revision>2</cp:revision>
  <dcterms:created xsi:type="dcterms:W3CDTF">2014-08-02T19:48:00Z</dcterms:created>
  <dcterms:modified xsi:type="dcterms:W3CDTF">2014-08-02T19:48:00Z</dcterms:modified>
</cp:coreProperties>
</file>