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095" w:rsidRDefault="00D03B7A" w:rsidP="006A1095">
      <w:pPr>
        <w:ind w:firstLine="709"/>
      </w:pPr>
      <w:r>
        <w:t>Я проходила</w:t>
      </w:r>
      <w:r w:rsidR="006A1095">
        <w:t xml:space="preserve"> </w:t>
      </w:r>
      <w:r>
        <w:t>производственную практику</w:t>
      </w:r>
      <w:r w:rsidR="006A1095">
        <w:t xml:space="preserve"> </w:t>
      </w:r>
      <w:r>
        <w:t>в кредитно-финансовом учреждении</w:t>
      </w:r>
      <w:r w:rsidR="006A1095">
        <w:t xml:space="preserve"> ОАО «Банк УралСиб». </w:t>
      </w:r>
    </w:p>
    <w:p w:rsidR="006A1095" w:rsidRDefault="006A1095" w:rsidP="006A1095">
      <w:pPr>
        <w:ind w:firstLine="709"/>
      </w:pPr>
      <w:r>
        <w:t xml:space="preserve">Учреждение зарегистрировано 20 сентября </w:t>
      </w:r>
      <w:smartTag w:uri="urn:schemas-microsoft-com:office:smarttags" w:element="metricconverter">
        <w:smartTagPr>
          <w:attr w:name="ProductID" w:val="2005 г"/>
        </w:smartTagPr>
        <w:r>
          <w:t>2005 г</w:t>
        </w:r>
      </w:smartTag>
      <w:r>
        <w:t>. как открытое акционерное общество</w:t>
      </w:r>
      <w:r w:rsidRPr="000772CD">
        <w:t xml:space="preserve"> </w:t>
      </w:r>
      <w:r>
        <w:t xml:space="preserve">(форма объединения капитала, рассчитанная на крупное предпринимательство), т.е. уставной капитал финансовой корпорации составляют акции. Банк «УралСиб», как открытое акционерное общество, ежегодно публикует для всеобщего сведения годовой отчет, бухгалтерский баланс, счет прибылей и убытков. </w:t>
      </w:r>
    </w:p>
    <w:p w:rsidR="006A1095" w:rsidRDefault="006A1095" w:rsidP="006A1095">
      <w:pPr>
        <w:ind w:firstLine="709"/>
      </w:pPr>
      <w:r>
        <w:t xml:space="preserve"> Основным назначением банка «УралСиб», как и любого другого коммерческого банка является функционирование оборота товаров и услуг; комплексное, кредитное и расчетное обслуживание клиентов, выполнение роли финансового посредника; основными принципами функционирования -  работа в пределах имеющихся ресурсов, экономическая независимость, юридическая самостоятельность, регулирование его деятельности со стороны государства только косвенными методами. Основными функциями «УралСиба»,  как коммерческого </w:t>
      </w:r>
      <w:r w:rsidRPr="00A467FA">
        <w:t>банка являются аккумулирование денежных средств государства, организаций и граждан, перераспределение средств в экономике, организация взаиморасчетов, выдача кредитов, создание кредитных денег.</w:t>
      </w:r>
    </w:p>
    <w:p w:rsidR="00D03B7A" w:rsidRDefault="006A1095" w:rsidP="006A1095">
      <w:pPr>
        <w:ind w:firstLine="709"/>
      </w:pPr>
      <w:r>
        <w:t>В сферу деятельности компании входит оказание широкого спектра финансовых услуг как физическим, так и юридическим лицам: для частных лиц этот перечень включает открытие и обслуживание депозитных вкладов, осуществление розничного кредитования, оформление и выдачу кредитных и операционное обслуживание заработных карт, инвестиционные услуги, денежные переводы, платежи, векселя, агентское сотрудничество, страховые продукты; для малого бизнеса - кредитование, рассчетно-кассовое обслуживание, размещение денежных средств, банковские карты, валютный контроль, лизинг, инвестиционные операции, агентское сотрудничество,</w:t>
      </w:r>
      <w:r w:rsidRPr="00612D06">
        <w:t xml:space="preserve"> </w:t>
      </w:r>
      <w:r>
        <w:t>страховые продукты</w:t>
      </w:r>
      <w:r w:rsidR="00D03B7A">
        <w:t>.</w:t>
      </w:r>
    </w:p>
    <w:p w:rsidR="006A1095" w:rsidRDefault="006A1095" w:rsidP="006A1095">
      <w:pPr>
        <w:ind w:firstLine="709"/>
      </w:pPr>
      <w:r>
        <w:t xml:space="preserve">Органом управления открытого акционерного общества является собрание акционеров, а непосредственным органом управления, принимающим оперативные решения – совет директоров. </w:t>
      </w:r>
    </w:p>
    <w:p w:rsidR="00D03B7A" w:rsidRDefault="006A1095" w:rsidP="006A1095">
      <w:pPr>
        <w:ind w:firstLine="709"/>
      </w:pPr>
      <w:r>
        <w:t xml:space="preserve">Финансовая корпорация ОАО «Банк УралСиб» была образована в результате интеграции 5 банков ОАО «УралСиб», ОАО АКБ «АВТОБАНК-НИКОЙЛ», КБ «Брянский народный банк» (ОАО), АБ «ИБГ НИКойл» (ОАО), ОАО АКБ «Кузбассугольбанк». </w:t>
      </w:r>
    </w:p>
    <w:p w:rsidR="006A1095" w:rsidRDefault="006A1095" w:rsidP="006A1095">
      <w:pPr>
        <w:ind w:firstLine="709"/>
      </w:pPr>
      <w:r>
        <w:t xml:space="preserve">Центральные офисы выполняют, в основном,  управленческие (работа с персоналом, отдел кадров, обработка и анализ  информации, контроль за </w:t>
      </w:r>
      <w:r w:rsidRPr="001D533A">
        <w:t>деятельностью корпорации ее отдельных подразделений) и представительские функции. В подчинении у центрального офиса  находятся фронт- и бэк-офисы, которые ведут работу непосредственно с клиентами. Они осуществляет функции кредитования, формирования оптимальных инвестиционных портфелей, выплату заработных плат в рамках зарплатного проекта при помощи кредитных карт, оплату коммунальных услуг и т.д. Следующей ступенью в иерархии организационной структуры банка «УралСиб» являются дополнительные офисы – филиалы банка в городах и селах республики. Каждый из них осуществляет</w:t>
      </w:r>
      <w:r>
        <w:t xml:space="preserve"> </w:t>
      </w:r>
      <w:r w:rsidRPr="001D533A">
        <w:t>свою</w:t>
      </w:r>
      <w:r>
        <w:t xml:space="preserve"> деятельность в рамках отпущенных ему полномочий, которые ограничены не только территориально, но и финансово – размерами выдаваемых кредитов.</w:t>
      </w:r>
    </w:p>
    <w:p w:rsidR="00D03B7A" w:rsidRDefault="006A1095" w:rsidP="006A1095">
      <w:pPr>
        <w:ind w:firstLine="709"/>
      </w:pPr>
      <w:r>
        <w:t xml:space="preserve">Организационная структура банка «УралСиб» базируется на сочетании линейных, функциональных и межфункциональных управленческих связей, имеющих как горизонтальное, так и вертикальное направление. </w:t>
      </w:r>
    </w:p>
    <w:p w:rsidR="006A1095" w:rsidRDefault="006A1095" w:rsidP="006A1095">
      <w:pPr>
        <w:ind w:firstLine="709"/>
      </w:pPr>
      <w:r>
        <w:t xml:space="preserve">Характер этих связей определяет тип организационной структуры  -  матричная – возникает при реализации нескольких инвестиционных и инновационных проектов. Особенностью этого типа организационной структуры является то, что общие указания даются линейными руководителями, а особые инструкции – функциональными руководителями, руководителями проектов, функциональных подразделений, отделов, офисов, которые принимают решения, наделены особыми полномочиями, касающимися проекта, осуществляет непосредственный контроль. Преимуществами матричного типа организационной структуры является специализация и компетентность, гибкость и динамизм, быстрота реакции функционального руководства и оперативность принятия решений как простых, так и сложных проблем, личная заинтересованность руководителя в успехе. Однако, данный тип организационной структуры имеет довольно существенный недостаток, а именно каждый подчиненный имеет несколько руководителей, распоряжение которых могут оказаться противоречивыми, что может привести к медленному и несвоевременному их исполнению и снижению эффективности принятых решений.   </w:t>
      </w:r>
    </w:p>
    <w:p w:rsidR="006A1095" w:rsidRDefault="006A1095" w:rsidP="006A1095">
      <w:pPr>
        <w:ind w:firstLine="709"/>
      </w:pPr>
      <w:r>
        <w:t>Процент по операциям на рынке банковских кредитов (ссуд) дифференцируется в зависимости от вида и размера кредита, величины капитала заемщика (это гарантирует его способность погасить кредит), его связей с банком. По каждой категории ссуд норма процента, как правило, выше, чем по предыдущей: необеспеченные ссуды первоклассным заемщикам (первичная ставка), под биржевые ценные бумаги, под товары и оборудование, под дебиторскую задолженность (долговые обязательства клиента), сельскохозяйственные ссуды (без обеспечения), потребительский кредит.</w:t>
      </w:r>
    </w:p>
    <w:p w:rsidR="006A1095" w:rsidRDefault="006A1095" w:rsidP="006A1095">
      <w:pPr>
        <w:ind w:firstLine="709"/>
      </w:pPr>
      <w:r>
        <w:t>Я проходила  практику во фронт-офисе, который непосредственно осуществляет работу с клиентами: как физическими, так и с юридическими лицами. Фронт-офис охватывает сразу несколько отделений банка «УралСиб» - дополнительных офисов, каждому из которых присвоен индивидуальный код: «Чернышевское» - 0008, «Южное» - 0085, «Гостиный двор» - 0033, «Зеленая Роща» - 0055.</w:t>
      </w:r>
    </w:p>
    <w:p w:rsidR="006A1095" w:rsidRDefault="006A1095" w:rsidP="006A1095">
      <w:pPr>
        <w:ind w:firstLine="709"/>
      </w:pPr>
      <w:r>
        <w:t>Наше подразделение занимается  осуществлением следующих финансовых услуг: открытием депозитных вкладов, их ведением и операционным обслуживан</w:t>
      </w:r>
      <w:r w:rsidR="00D03B7A">
        <w:t xml:space="preserve">ием, </w:t>
      </w:r>
      <w:r>
        <w:t>кассовым обслуживанием, приемом коммунальных платежей, оплатой налогов, осуществлением денежных переводов</w:t>
      </w:r>
      <w:r w:rsidRPr="00456D01">
        <w:t>,</w:t>
      </w:r>
      <w:r>
        <w:t xml:space="preserve"> а также безналичных переводов в другие банки, за границу, с открытием и без открытия счета, предоставлением кредитов различного вида: потребительских, автокредитов, ипотекой; продажей карточных продуктов, Интернет-карт, оформлением и выдачей дебитовых и кредитных карт  всех достоинств – от мгновенных до международных и операционным обслуживанием заработных карт (выдача расчетных банковских карт). </w:t>
      </w:r>
    </w:p>
    <w:p w:rsidR="006A1095" w:rsidRDefault="006A1095" w:rsidP="006A1095">
      <w:pPr>
        <w:ind w:firstLine="709"/>
      </w:pPr>
      <w:r>
        <w:t xml:space="preserve">В ходе практики производилось ознакомление с  основами оформления банковской документации, составляемой для предоставления кредитов. Банковские документы, сопровождающие процесс кредитования: заключение андеррайтера на выдачу кредита, кредитный договор, заявление на выдачу кредита, график возврата кредита и уплаты процентов, распоряжение на выдачу кредита, заявление о безналичном перечислении со счета  за страховку, в случае существования заявления на страхование и полиса страхования жизни и здоровья, платежное  поручение об оплате страховой премии, банковский ордер, а также бизнес-процесс - документация, отражающая весь процесс кредитования, содержащая информацию о процессе обработке данных заемщика. </w:t>
      </w:r>
    </w:p>
    <w:p w:rsidR="006A1095" w:rsidRDefault="006A1095" w:rsidP="006A1095">
      <w:pPr>
        <w:ind w:firstLine="709"/>
      </w:pPr>
      <w:r>
        <w:t>Са</w:t>
      </w:r>
      <w:r w:rsidRPr="00033694">
        <w:t>м</w:t>
      </w:r>
      <w:r>
        <w:t xml:space="preserve"> процесс кредитования состоит из нескольких этапов:</w:t>
      </w:r>
    </w:p>
    <w:p w:rsidR="006A1095" w:rsidRDefault="006A1095" w:rsidP="006A1095">
      <w:pPr>
        <w:ind w:firstLine="709"/>
      </w:pPr>
      <w:r w:rsidRPr="00033694">
        <w:t xml:space="preserve">1.Клиент заполняет заявление-анкету заемщика </w:t>
      </w:r>
      <w:r w:rsidRPr="003846B6">
        <w:t>(см. Приложение 1)</w:t>
      </w:r>
      <w:r w:rsidRPr="00033694">
        <w:t>, в которой указывает первичные данные о себе, является ли он заемщиком или созаемщиком, с какой целью будут потрачены ссуженные деньги.  Также в состав обязательного пакета документов, необходимого при выдаче кредита, входят копия паспорта (возможен и второй документ, удостоверяющий личность: в случае с автокредитованием – водительские права, а с некоторыми потребительскими кредитами – военный билет), копия трудовой книжки, справка о доходах</w:t>
      </w:r>
      <w:r>
        <w:t xml:space="preserve"> (</w:t>
      </w:r>
      <w:r w:rsidRPr="00723CE5">
        <w:t>см. Приложение 2</w:t>
      </w:r>
      <w:r>
        <w:t>)</w:t>
      </w:r>
      <w:r w:rsidRPr="00033694">
        <w:t>. В том случае, если доходов клиента недостаточно для выдачи кредита, он может привлечь созаемщика, от которого также требуется заявление-анкета созаемщика, копия паспорта, трудовой книжки, справка о доходах.</w:t>
      </w:r>
      <w:r>
        <w:t xml:space="preserve"> Если погашение кредита производится через кредитную карту, то клиентом заполняется заявление-анкета заемщика несколько иного образца (</w:t>
      </w:r>
      <w:r w:rsidRPr="00723CE5">
        <w:t>см. Приложение 3).</w:t>
      </w:r>
    </w:p>
    <w:p w:rsidR="006A1095" w:rsidRPr="00033694" w:rsidRDefault="006A1095" w:rsidP="006A1095">
      <w:pPr>
        <w:ind w:firstLine="709"/>
      </w:pPr>
      <w:r>
        <w:t xml:space="preserve"> Для выдачи кредитной карты необходимы следующие документы: кредитный договор по кредитной карте, копия заключения андеррайтера на выдачу кредита, заявление-анкета заемщика, копия паспорта заемщика.</w:t>
      </w:r>
    </w:p>
    <w:p w:rsidR="006A1095" w:rsidRPr="00033694" w:rsidRDefault="006A1095" w:rsidP="006A1095">
      <w:pPr>
        <w:ind w:firstLine="709"/>
      </w:pPr>
      <w:r w:rsidRPr="00033694">
        <w:t xml:space="preserve">2. Производится проверка кредитной истории потенциального клиента: отсутствие или наличие у него существующих на данный момент кредитов, просроченной задолженности, погашение ее в установленный срок либо по решению суда.  </w:t>
      </w:r>
    </w:p>
    <w:p w:rsidR="006A1095" w:rsidRDefault="006A1095" w:rsidP="006A1095">
      <w:pPr>
        <w:ind w:firstLine="709"/>
      </w:pPr>
      <w:r w:rsidRPr="00033694">
        <w:t xml:space="preserve">3. На основании собранной информации </w:t>
      </w:r>
      <w:r>
        <w:t xml:space="preserve">уполномоченным лицом (руководителем подразделения, руководителем дирекции и </w:t>
      </w:r>
      <w:r w:rsidRPr="00456D01">
        <w:t>т.д.</w:t>
      </w:r>
      <w:r>
        <w:t xml:space="preserve">) </w:t>
      </w:r>
      <w:r w:rsidRPr="00033694">
        <w:t>принимается решение о предоставлении кредита, разрабатывается кредитный план, определяется вид кредита, рассчитывается оптимальная сумма кредитования для данного клиента, процентная ставка, срок кредита (период, в течение которого кредит должен быть выплачен)</w:t>
      </w:r>
      <w:r>
        <w:t xml:space="preserve"> – открывается кредитная линия клиента. Выпускается заключение андеррайтера на выдачу кредита. Клиент оповещается кредитным менеджером о выдаче ему кредита. При этом клиент банка вправе отказаться от предоставленного ему кредита, тогда его кредитная линия закрывается, кредитное досье не составляется.</w:t>
      </w:r>
    </w:p>
    <w:p w:rsidR="006A1095" w:rsidRDefault="006A1095" w:rsidP="006A1095">
      <w:pPr>
        <w:ind w:firstLine="709"/>
      </w:pPr>
      <w:r>
        <w:t>В том случае, если заемщиком было подписано заявление о страховании, составляется полис страхования: для потребительских кредитов и ипотеки – полис страхования жизни и здоровья, а для автокредитования – страховой полис КАСКО, ОСАГО, возможно дополнительное соглашение о страховании, страхователем производится уплата страховой премии. При этом процентная ставка по кредиту со страховкой ниже, чем по кредиту без страховки. В большей степени это касается потребительских и автокредитов, в то время как страхование жизни и здоровья заемщика при ипотеке обязательно входит в программу кредитования. Таким образом, клиент обеспечивают своевременное погашение кредита при наступлении форс-мажорных обстоятельств, а банк – возвратность временно свободных ссудных средств.</w:t>
      </w:r>
    </w:p>
    <w:p w:rsidR="006A1095" w:rsidRDefault="006A1095" w:rsidP="006A1095">
      <w:pPr>
        <w:ind w:firstLine="709"/>
      </w:pPr>
      <w:r>
        <w:t>4. Составляется график возврата кредита и уплаты процентов, заявление на выдачу кредита (</w:t>
      </w:r>
      <w:r w:rsidRPr="00723CE5">
        <w:t>см. Приложение 4</w:t>
      </w:r>
      <w:r>
        <w:t xml:space="preserve">), кредитный договор, в котором оговариваются предмет договора, сумма кредита, срок кредита, размер процентов, начисляемых на сумму кредита, цель кредита, порядок его предоставления, возврата и уплаты процентов, права и обязанности сторон его заключивших, а именно кредитора в лице банка и заемщика, порядок изменения условий договора, обеспечение исполнения обязанностей заемщика, его заявления и заверения, прочие условия, адреса и реквизиты сторон, также оговариваются форс-мажорные ситуации и поведение обеих сторон при их наступлении. </w:t>
      </w:r>
    </w:p>
    <w:p w:rsidR="006A1095" w:rsidRDefault="006A1095" w:rsidP="006A1095">
      <w:pPr>
        <w:ind w:firstLine="709"/>
        <w:jc w:val="center"/>
      </w:pPr>
      <w:r>
        <w:t>Организация кредитного процесса в банке «УралСиб»</w:t>
      </w:r>
    </w:p>
    <w:p w:rsidR="006A1095" w:rsidRDefault="006A1095" w:rsidP="006A1095">
      <w:pPr>
        <w:numPr>
          <w:ilvl w:val="1"/>
          <w:numId w:val="3"/>
        </w:numPr>
      </w:pPr>
      <w:r>
        <w:t>Организация процесса кредитования физических лиц осуществляется по двум основным направлениям:</w:t>
      </w:r>
    </w:p>
    <w:p w:rsidR="006A1095" w:rsidRDefault="006A1095" w:rsidP="006A1095">
      <w:r>
        <w:t xml:space="preserve"> –привлечение потенциальных заемщиков;</w:t>
      </w:r>
    </w:p>
    <w:p w:rsidR="006A1095" w:rsidRDefault="006A1095" w:rsidP="006A1095">
      <w:r>
        <w:t xml:space="preserve"> - оценка заемщиков, принятие решения о возможности выдачи кредита, выдача кредита  и последующая работа с выданным кредитом.</w:t>
      </w:r>
    </w:p>
    <w:p w:rsidR="006A1095" w:rsidRDefault="006A1095" w:rsidP="006A1095">
      <w:r>
        <w:t>1.2 Привлечение потенциальных заемщиков относится к компетенции подразделений организации продаж и осуществляется в соответствии Положением и Регламентом организации продаж продуктов розничного бизнеса Финансовой Корпорации «УралСиб». Основная задача – формирование постоянного потока потенциальных заемщиков банка «УралСиб».</w:t>
      </w:r>
    </w:p>
    <w:p w:rsidR="006A1095" w:rsidRDefault="006A1095" w:rsidP="006A1095">
      <w:r>
        <w:t>1.3 Оценка заемщиков, принятие решения о возможности выдачи кредита, выдача кредита и последующая работа с выданным кредитом относится к компетенции подразделений кредитования и Бэк-офиса. Основная задача – выдача кредитов и последующее их обслуживание в соответствии с требованиями Положения об организации продаж продуктов розничного бизнеса Финансовой Корпорации «УралСиб» и Отдельных Порядков кредитования.</w:t>
      </w:r>
    </w:p>
    <w:p w:rsidR="006A1095" w:rsidRDefault="006A1095" w:rsidP="006A1095">
      <w:r>
        <w:t xml:space="preserve">1.4 Кредитный процесс в банке «УралСиб» организован по принципу «кредитного конвейера». Данный принцип предполагает прохождение кредитной заявкой нескольких этапов, осуществляемых различными участниками кредитного конвейера, к которым относятся: </w:t>
      </w:r>
    </w:p>
    <w:p w:rsidR="006A1095" w:rsidRDefault="006A1095" w:rsidP="006A1095">
      <w:r>
        <w:t>-менеджер-консультант (ранее существовали мобильные и стационарные менеджеры-консультанты, однако, с недавнего времени остались только мобильные);</w:t>
      </w:r>
    </w:p>
    <w:p w:rsidR="006A1095" w:rsidRDefault="006A1095" w:rsidP="006A1095">
      <w:r>
        <w:t>-кредитный менеджер;</w:t>
      </w:r>
    </w:p>
    <w:p w:rsidR="006A1095" w:rsidRDefault="006A1095" w:rsidP="006A1095">
      <w:r>
        <w:t>-андеррайтер;</w:t>
      </w:r>
    </w:p>
    <w:p w:rsidR="006A1095" w:rsidRDefault="006A1095" w:rsidP="006A1095">
      <w:r>
        <w:t>-кредитный контролер.</w:t>
      </w:r>
    </w:p>
    <w:p w:rsidR="006A1095" w:rsidRDefault="006A1095" w:rsidP="006A1095">
      <w:r>
        <w:t>1.5 В рамках направления «привлечение потенциальных заемщиков» осуществляется:</w:t>
      </w:r>
    </w:p>
    <w:p w:rsidR="006A1095" w:rsidRDefault="006A1095" w:rsidP="006A1095">
      <w:r>
        <w:t xml:space="preserve">      1. привлечение и консультирование потенциальных заемщиков – осуществляет менеджер-консультант/агент банка «УралСиб»;</w:t>
      </w:r>
    </w:p>
    <w:p w:rsidR="006A1095" w:rsidRDefault="006A1095" w:rsidP="006A1095">
      <w:r>
        <w:t xml:space="preserve">      2. предварительная квалификация потенциального заемщика – осуществляет менеджер-консультант/кредитный менеджер.</w:t>
      </w:r>
    </w:p>
    <w:p w:rsidR="006A1095" w:rsidRDefault="006A1095" w:rsidP="006A1095">
      <w:r>
        <w:t>1.6 В рамках направления «оценка заемщиков, принятие решения о возможности выдачи кредита, выдача кредита и последующая работа с выданным кредитом» осуществляется:</w:t>
      </w:r>
    </w:p>
    <w:p w:rsidR="006A1095" w:rsidRDefault="006A1095" w:rsidP="006A1095">
      <w:r>
        <w:t xml:space="preserve">      1. Отражение анкетных данных о потенциальном заемщике в Программном модуле «Кредитные заявки» - осуществляется менеджером-консультантом/кредитным менеджером;</w:t>
      </w:r>
    </w:p>
    <w:p w:rsidR="006A1095" w:rsidRDefault="006A1095" w:rsidP="006A1095">
      <w:r>
        <w:t xml:space="preserve">       2. Оценка возможности кредитования потенциального заемщика – осуществляется андеррайтером;</w:t>
      </w:r>
    </w:p>
    <w:p w:rsidR="006A1095" w:rsidRDefault="006A1095" w:rsidP="006A1095">
      <w:r>
        <w:t xml:space="preserve">       3. Принятие решения о возможности кредитования потенциального заемщика – осуществляется уполномоченным лицом;</w:t>
      </w:r>
    </w:p>
    <w:p w:rsidR="006A1095" w:rsidRDefault="006A1095" w:rsidP="006A1095">
      <w:r>
        <w:t xml:space="preserve">       4. Оформление кредитных документов, выдача кредита, в том числе оформление выдачи в АБС осуществляется кредитным менеджером, бухгалтерское сопровождение кредита осуществляется Бэк-офисом на основании подготовленных кредитным менеджером кредитных документов.</w:t>
      </w:r>
    </w:p>
    <w:p w:rsidR="006A1095" w:rsidRDefault="006A1095" w:rsidP="006A1095">
      <w:r>
        <w:t xml:space="preserve">       5. Кредитный контроль выданного кредита – осуществляется кредитным контролером, в сферу деятельности которого входит контроль за своевременным погашением кредита, уплатой взносов строго  в соответствии с установленной в кредитном договоре суммой,  определение возникновения просроченных задолженностей у заемщика </w:t>
      </w:r>
      <w:r w:rsidRPr="00456D01">
        <w:t>и т.д.</w:t>
      </w:r>
      <w:r>
        <w:t xml:space="preserve">   </w:t>
      </w:r>
    </w:p>
    <w:p w:rsidR="006A1095" w:rsidRDefault="006A1095" w:rsidP="006A1095">
      <w:r>
        <w:t>1.7 Возможны два варианта организации кредитного процесса по форме кредитного конвейера:</w:t>
      </w:r>
    </w:p>
    <w:p w:rsidR="006A1095" w:rsidRDefault="006A1095" w:rsidP="006A1095">
      <w:r>
        <w:t xml:space="preserve">      1. с выделение централизованного кредитного контроля (функционал кредитного контролера). При данной организации точка кредитного контроля территориально удалена (не совпадает) от точки выдачи кредита;</w:t>
      </w:r>
    </w:p>
    <w:p w:rsidR="006A1095" w:rsidRDefault="006A1095" w:rsidP="006A1095">
      <w:r>
        <w:t xml:space="preserve">      2. без выделения централизованного кредитного контроля (функционал кредитного контролера). При данной организации точка кредитного контроля не удалена (совпадает) от точки выдачи кредита.  </w:t>
      </w:r>
    </w:p>
    <w:p w:rsidR="006A1095" w:rsidRDefault="006A1095" w:rsidP="006A1095">
      <w:r>
        <w:t>При этом точка кредитного контроля организуется на уровне не ниже уровня филиала банка «УралСиб» и  не может быть организована во внутренних структурных подразделениях, входящих в состав филиала. Во внутренних структурных подразделениях филиала могут территориально располагаться и работать сотрудники (кредитные контролеры), линейно подчиненные руководителю точки кредитного контроля в филиале банка «УралСиб».</w:t>
      </w:r>
    </w:p>
    <w:p w:rsidR="006A1095" w:rsidRDefault="006A1095" w:rsidP="006A1095">
      <w:r>
        <w:t>1.8 Функционал участников кредитного конвейера и остальных участников кредитного процесса определяется Положением организации продаж продуктов розничного бизнеса Финансовой Корпорации «УралСиб».</w:t>
      </w:r>
    </w:p>
    <w:p w:rsidR="006A1095" w:rsidRDefault="006A1095" w:rsidP="006A1095">
      <w:r>
        <w:t>1.9 В кредитном процессе помимо участников кредитного конвейера задействованы также сотрудники смежных подразделений – сотрудники Службы содействия бизнесу, сотрудник Юридического подразделения и иные сотрудники, именуемые участниками кредитного процесса.</w:t>
      </w:r>
    </w:p>
    <w:p w:rsidR="006A1095" w:rsidRDefault="006A1095" w:rsidP="006A1095">
      <w:r>
        <w:t xml:space="preserve">1.10 В рамках «кредитного конвейера» возможно совмещение только функционала менеджера-консультанта с функциями кредитного менеджера в случае если отсутствует достаточный поток заявок для выполнения норматива загрузки менеджера-консультанта (по количеству выданных кредитов на одного кредитного сотрудника точки продаж за определенный период времени). Остальные совмещения не допускаются.   </w:t>
      </w:r>
    </w:p>
    <w:p w:rsidR="00D03B7A" w:rsidRDefault="006A1095" w:rsidP="006A1095">
      <w:r>
        <w:t>Все участники кредитного конвейера должный быть обучены и аттестованы в соответствии с «Правилами обучения, аттестации и присвоения корпоративных профессиональных квалификаций персонала региональной сети Финансовой Корпорации «УралСиб», участвующего в продажах кредитных продуктов розничного банковского бизнеса».</w:t>
      </w:r>
    </w:p>
    <w:p w:rsidR="006A1095" w:rsidRDefault="00D03B7A" w:rsidP="00D03B7A">
      <w:pPr>
        <w:ind w:firstLine="709"/>
      </w:pPr>
      <w:r>
        <w:t>Э</w:t>
      </w:r>
      <w:r w:rsidR="006A1095">
        <w:t>ффективная процентная ставка позволяет рассчитывать общий объем доходов по кредиту через средний объем работающего актива:</w:t>
      </w:r>
    </w:p>
    <w:p w:rsidR="006A1095" w:rsidRDefault="006A1095" w:rsidP="006A1095">
      <w:pPr>
        <w:jc w:val="center"/>
      </w:pPr>
      <w:r w:rsidRPr="00112058">
        <w:rPr>
          <w:position w:val="-24"/>
        </w:rPr>
        <w:object w:dxaOrig="13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75pt;height:30.75pt" o:ole="">
            <v:imagedata r:id="rId5" o:title=""/>
          </v:shape>
          <o:OLEObject Type="Embed" ProgID="Equation.3" ShapeID="_x0000_i1025" DrawAspect="Content" ObjectID="_1459798498" r:id="rId6"/>
        </w:object>
      </w:r>
      <w:r>
        <w:t>.</w:t>
      </w:r>
    </w:p>
    <w:p w:rsidR="006A1095" w:rsidRDefault="006A1095" w:rsidP="006A1095">
      <w:pPr>
        <w:ind w:firstLine="709"/>
      </w:pPr>
      <w:r>
        <w:t xml:space="preserve">Выраженная таким образом эффективная процентная ставка по кредиту, методологически может считаться идентичной депозитной ставке и ставке фондирования, что позволяет производить сравнительный анализ стоимости формирования (привлечения) и размещения ресурсов. </w:t>
      </w:r>
    </w:p>
    <w:p w:rsidR="006A1095" w:rsidRDefault="006A1095" w:rsidP="006A1095">
      <w:pPr>
        <w:ind w:firstLine="709"/>
      </w:pPr>
      <w:r>
        <w:t>Также существует  особая методика расчета эффективной процентной ставки по кредитным продуктам для частных клиентов (физических лиц). В данном случае эффективная процентная ставка формируется за счет суммирования эффективных процентных ставок по процентным доходам, при этом сохраняется общий смысл определения эффективной процентной ставки как доходности:</w:t>
      </w:r>
    </w:p>
    <w:p w:rsidR="006A1095" w:rsidRDefault="006A1095" w:rsidP="006A1095">
      <w:pPr>
        <w:ind w:firstLine="709"/>
        <w:jc w:val="center"/>
      </w:pPr>
      <w:r w:rsidRPr="00112058">
        <w:rPr>
          <w:position w:val="-14"/>
        </w:rPr>
        <w:object w:dxaOrig="960" w:dyaOrig="380">
          <v:shape id="_x0000_i1026" type="#_x0000_t75" style="width:54.75pt;height:21.75pt" o:ole="">
            <v:imagedata r:id="rId7" o:title=""/>
          </v:shape>
          <o:OLEObject Type="Embed" ProgID="Equation.3" ShapeID="_x0000_i1026" DrawAspect="Content" ObjectID="_1459798499" r:id="rId8"/>
        </w:object>
      </w:r>
      <w:r>
        <w:t>,</w:t>
      </w:r>
    </w:p>
    <w:p w:rsidR="006A1095" w:rsidRDefault="006A1095" w:rsidP="006A1095">
      <w:pPr>
        <w:ind w:firstLine="709"/>
      </w:pPr>
      <w:r>
        <w:t xml:space="preserve">где </w:t>
      </w:r>
      <w:r w:rsidRPr="00112058">
        <w:rPr>
          <w:position w:val="-6"/>
        </w:rPr>
        <w:object w:dxaOrig="139" w:dyaOrig="260">
          <v:shape id="_x0000_i1027" type="#_x0000_t75" style="width:8.25pt;height:15pt" o:ole="">
            <v:imagedata r:id="rId9" o:title=""/>
          </v:shape>
          <o:OLEObject Type="Embed" ProgID="Equation.3" ShapeID="_x0000_i1027" DrawAspect="Content" ObjectID="_1459798500" r:id="rId10"/>
        </w:object>
      </w:r>
      <w:r>
        <w:rPr>
          <w:lang w:val="en-US"/>
        </w:rPr>
        <w:t xml:space="preserve"> – </w:t>
      </w:r>
      <w:r>
        <w:t>эффективная процентная ставка, в процентах годовых;</w:t>
      </w:r>
    </w:p>
    <w:p w:rsidR="006A1095" w:rsidRDefault="006A1095" w:rsidP="006A1095">
      <w:pPr>
        <w:ind w:firstLine="709"/>
      </w:pPr>
      <w:r>
        <w:t xml:space="preserve">      </w:t>
      </w:r>
      <w:r w:rsidRPr="00112058">
        <w:rPr>
          <w:position w:val="-14"/>
        </w:rPr>
        <w:object w:dxaOrig="220" w:dyaOrig="380">
          <v:shape id="_x0000_i1028" type="#_x0000_t75" style="width:12.75pt;height:21.75pt" o:ole="">
            <v:imagedata r:id="rId11" o:title=""/>
          </v:shape>
          <o:OLEObject Type="Embed" ProgID="Equation.3" ShapeID="_x0000_i1028" DrawAspect="Content" ObjectID="_1459798501" r:id="rId12"/>
        </w:object>
      </w:r>
      <w:r>
        <w:t xml:space="preserve"> - эффективная процентная ставка по процентным доходам, в процентах годовых;</w:t>
      </w:r>
    </w:p>
    <w:p w:rsidR="006A1095" w:rsidRDefault="006A1095" w:rsidP="006A1095">
      <w:pPr>
        <w:ind w:firstLine="709"/>
      </w:pPr>
      <w:r>
        <w:t xml:space="preserve">      </w:t>
      </w:r>
      <w:r w:rsidRPr="00C05466">
        <w:rPr>
          <w:position w:val="-12"/>
        </w:rPr>
        <w:object w:dxaOrig="200" w:dyaOrig="360">
          <v:shape id="_x0000_i1029" type="#_x0000_t75" style="width:11.25pt;height:21pt" o:ole="">
            <v:imagedata r:id="rId13" o:title=""/>
          </v:shape>
          <o:OLEObject Type="Embed" ProgID="Equation.3" ShapeID="_x0000_i1029" DrawAspect="Content" ObjectID="_1459798502" r:id="rId14"/>
        </w:object>
      </w:r>
      <w:r>
        <w:t xml:space="preserve"> - эффективная процентная ставка по комиссионным доходам, в процентах годовых.</w:t>
      </w:r>
    </w:p>
    <w:p w:rsidR="006A1095" w:rsidRPr="00112058" w:rsidRDefault="006A1095" w:rsidP="006A1095">
      <w:pPr>
        <w:ind w:firstLine="709"/>
      </w:pPr>
      <w:r>
        <w:t>Определение эффективной процентной ставки по процентным доходам производится на основании следующего соотношения:</w:t>
      </w:r>
    </w:p>
    <w:p w:rsidR="006A1095" w:rsidRDefault="006A1095" w:rsidP="006A1095">
      <w:pPr>
        <w:ind w:firstLine="709"/>
        <w:jc w:val="center"/>
      </w:pPr>
      <w:r w:rsidRPr="00C05466">
        <w:rPr>
          <w:position w:val="-58"/>
        </w:rPr>
        <w:object w:dxaOrig="1800" w:dyaOrig="980">
          <v:shape id="_x0000_i1030" type="#_x0000_t75" style="width:99.75pt;height:54pt" o:ole="">
            <v:imagedata r:id="rId15" o:title=""/>
          </v:shape>
          <o:OLEObject Type="Embed" ProgID="Equation.3" ShapeID="_x0000_i1030" DrawAspect="Content" ObjectID="_1459798503" r:id="rId16"/>
        </w:object>
      </w:r>
      <w:r>
        <w:t>,</w:t>
      </w:r>
    </w:p>
    <w:p w:rsidR="006A1095" w:rsidRDefault="006A1095" w:rsidP="006A1095">
      <w:pPr>
        <w:ind w:firstLine="709"/>
      </w:pPr>
      <w:r>
        <w:t xml:space="preserve">где </w:t>
      </w:r>
      <w:r w:rsidRPr="00C05466">
        <w:rPr>
          <w:position w:val="-6"/>
        </w:rPr>
        <w:object w:dxaOrig="420" w:dyaOrig="260">
          <v:shape id="_x0000_i1031" type="#_x0000_t75" style="width:23.25pt;height:14.25pt" o:ole="">
            <v:imagedata r:id="rId17" o:title=""/>
          </v:shape>
          <o:OLEObject Type="Embed" ProgID="Equation.3" ShapeID="_x0000_i1031" DrawAspect="Content" ObjectID="_1459798504" r:id="rId18"/>
        </w:object>
      </w:r>
      <w:r>
        <w:t xml:space="preserve"> - сумма кредита;</w:t>
      </w:r>
    </w:p>
    <w:p w:rsidR="006A1095" w:rsidRDefault="006A1095" w:rsidP="006A1095">
      <w:pPr>
        <w:ind w:firstLine="709"/>
      </w:pPr>
      <w:r>
        <w:t xml:space="preserve">       </w:t>
      </w:r>
      <w:r w:rsidRPr="00C05466">
        <w:rPr>
          <w:position w:val="-12"/>
        </w:rPr>
        <w:object w:dxaOrig="279" w:dyaOrig="360">
          <v:shape id="_x0000_i1032" type="#_x0000_t75" style="width:15.75pt;height:20.25pt" o:ole="">
            <v:imagedata r:id="rId19" o:title=""/>
          </v:shape>
          <o:OLEObject Type="Embed" ProgID="Equation.3" ShapeID="_x0000_i1032" DrawAspect="Content" ObjectID="_1459798505" r:id="rId20"/>
        </w:object>
      </w:r>
      <w:r>
        <w:t xml:space="preserve">  -  ежемесячный платеж по кредиту в период </w:t>
      </w:r>
      <w:r w:rsidRPr="00C05466">
        <w:rPr>
          <w:i/>
          <w:lang w:val="en-US"/>
        </w:rPr>
        <w:t>t</w:t>
      </w:r>
      <w:r>
        <w:t>;</w:t>
      </w:r>
    </w:p>
    <w:p w:rsidR="006A1095" w:rsidRDefault="006A1095" w:rsidP="006A1095">
      <w:pPr>
        <w:ind w:firstLine="709"/>
      </w:pPr>
      <w:r>
        <w:t xml:space="preserve">       </w:t>
      </w:r>
      <w:r w:rsidRPr="00C05466">
        <w:rPr>
          <w:position w:val="-6"/>
        </w:rPr>
        <w:object w:dxaOrig="139" w:dyaOrig="240">
          <v:shape id="_x0000_i1033" type="#_x0000_t75" style="width:7.5pt;height:13.5pt" o:ole="">
            <v:imagedata r:id="rId21" o:title=""/>
          </v:shape>
          <o:OLEObject Type="Embed" ProgID="Equation.3" ShapeID="_x0000_i1033" DrawAspect="Content" ObjectID="_1459798506" r:id="rId22"/>
        </w:object>
      </w:r>
      <w:r>
        <w:t xml:space="preserve">    -  номер очередного платежа или платежного периода.</w:t>
      </w:r>
    </w:p>
    <w:p w:rsidR="006A1095" w:rsidRDefault="006A1095" w:rsidP="006A1095">
      <w:pPr>
        <w:ind w:firstLine="709"/>
      </w:pPr>
      <w:r>
        <w:t>Экономический смысл данной формулы выражается в том, что первоначальная сумма кредита равна общей сумме полученных платежей от клиента за весь период кредитования (за исключением комиссионных платежей), дисконтированная посредством эффективной процентной ставки по процентным доходам.</w:t>
      </w:r>
    </w:p>
    <w:p w:rsidR="006A1095" w:rsidRDefault="006A1095" w:rsidP="006A1095">
      <w:pPr>
        <w:ind w:firstLine="709"/>
      </w:pPr>
      <w:r>
        <w:t>В рамках этой методики эффективная процентная ставка по процентным доходам будет совпадать с номинальной процентной ставкой по кредиту, характеризуя собой среднюю доходность работающего актива.</w:t>
      </w:r>
    </w:p>
    <w:p w:rsidR="006A1095" w:rsidRDefault="006A1095" w:rsidP="006A1095">
      <w:pPr>
        <w:ind w:firstLine="709"/>
      </w:pPr>
      <w:r>
        <w:t>Средний размер работающего актива в течение срока кредитования рассчитывается на основе динамики остатка ссудной задолженности по кредиту за срок кредитования и является средним арифметическим значением данного показателя:</w:t>
      </w:r>
    </w:p>
    <w:p w:rsidR="006A1095" w:rsidRDefault="006A1095" w:rsidP="006A1095">
      <w:pPr>
        <w:ind w:firstLine="709"/>
      </w:pPr>
      <w:r>
        <w:t xml:space="preserve">                                                </w:t>
      </w:r>
      <w:r w:rsidRPr="006B791B">
        <w:rPr>
          <w:position w:val="-24"/>
        </w:rPr>
        <w:object w:dxaOrig="1920" w:dyaOrig="960">
          <v:shape id="_x0000_i1034" type="#_x0000_t75" style="width:105.75pt;height:53.25pt" o:ole="">
            <v:imagedata r:id="rId23" o:title=""/>
          </v:shape>
          <o:OLEObject Type="Embed" ProgID="Equation.3" ShapeID="_x0000_i1034" DrawAspect="Content" ObjectID="_1459798507" r:id="rId24"/>
        </w:object>
      </w:r>
      <w:r>
        <w:t>,</w:t>
      </w:r>
    </w:p>
    <w:p w:rsidR="006A1095" w:rsidRPr="00C05466" w:rsidRDefault="006A1095" w:rsidP="006A1095">
      <w:pPr>
        <w:ind w:firstLine="709"/>
        <w:jc w:val="center"/>
      </w:pPr>
    </w:p>
    <w:p w:rsidR="006A1095" w:rsidRDefault="006A1095" w:rsidP="006A1095">
      <w:pPr>
        <w:jc w:val="center"/>
      </w:pPr>
      <w:r w:rsidRPr="006B791B">
        <w:rPr>
          <w:position w:val="-30"/>
        </w:rPr>
        <w:object w:dxaOrig="1820" w:dyaOrig="700">
          <v:shape id="_x0000_i1035" type="#_x0000_t75" style="width:100.5pt;height:39pt" o:ole="">
            <v:imagedata r:id="rId25" o:title=""/>
          </v:shape>
          <o:OLEObject Type="Embed" ProgID="Equation.3" ShapeID="_x0000_i1035" DrawAspect="Content" ObjectID="_1459798508" r:id="rId26"/>
        </w:object>
      </w:r>
      <w:r>
        <w:t>.</w:t>
      </w:r>
    </w:p>
    <w:p w:rsidR="006A1095" w:rsidRDefault="006A1095" w:rsidP="006A1095">
      <w:r>
        <w:t xml:space="preserve">где  </w:t>
      </w:r>
      <w:r w:rsidRPr="006B791B">
        <w:rPr>
          <w:position w:val="-12"/>
        </w:rPr>
        <w:object w:dxaOrig="420" w:dyaOrig="360">
          <v:shape id="_x0000_i1036" type="#_x0000_t75" style="width:23.25pt;height:20.25pt" o:ole="">
            <v:imagedata r:id="rId27" o:title=""/>
          </v:shape>
          <o:OLEObject Type="Embed" ProgID="Equation.3" ShapeID="_x0000_i1036" DrawAspect="Content" ObjectID="_1459798509" r:id="rId28"/>
        </w:object>
      </w:r>
      <w:r>
        <w:t xml:space="preserve"> - остаток ссудной задолженности в период </w:t>
      </w:r>
      <w:r w:rsidRPr="006B791B">
        <w:rPr>
          <w:i/>
          <w:lang w:val="en-US"/>
        </w:rPr>
        <w:t>t</w:t>
      </w:r>
      <w:r>
        <w:t xml:space="preserve">, </w:t>
      </w:r>
      <w:r w:rsidRPr="006B791B">
        <w:rPr>
          <w:position w:val="-12"/>
        </w:rPr>
        <w:object w:dxaOrig="1040" w:dyaOrig="360">
          <v:shape id="_x0000_i1037" type="#_x0000_t75" style="width:57.75pt;height:20.25pt" o:ole="">
            <v:imagedata r:id="rId29" o:title=""/>
          </v:shape>
          <o:OLEObject Type="Embed" ProgID="Equation.3" ShapeID="_x0000_i1037" DrawAspect="Content" ObjectID="_1459798510" r:id="rId30"/>
        </w:object>
      </w:r>
      <w:r>
        <w:t>;</w:t>
      </w:r>
    </w:p>
    <w:p w:rsidR="006A1095" w:rsidRDefault="006A1095" w:rsidP="006A1095">
      <w:r>
        <w:t xml:space="preserve">        </w:t>
      </w:r>
      <w:r w:rsidRPr="006B791B">
        <w:rPr>
          <w:position w:val="-12"/>
        </w:rPr>
        <w:object w:dxaOrig="360" w:dyaOrig="360">
          <v:shape id="_x0000_i1038" type="#_x0000_t75" style="width:20.25pt;height:20.25pt" o:ole="">
            <v:imagedata r:id="rId31" o:title=""/>
          </v:shape>
          <o:OLEObject Type="Embed" ProgID="Equation.3" ShapeID="_x0000_i1038" DrawAspect="Content" ObjectID="_1459798511" r:id="rId32"/>
        </w:object>
      </w:r>
      <w:r>
        <w:t xml:space="preserve">, </w:t>
      </w:r>
      <w:r w:rsidRPr="006B791B">
        <w:rPr>
          <w:position w:val="-14"/>
        </w:rPr>
        <w:object w:dxaOrig="360" w:dyaOrig="380">
          <v:shape id="_x0000_i1039" type="#_x0000_t75" style="width:20.25pt;height:21pt" o:ole="">
            <v:imagedata r:id="rId33" o:title=""/>
          </v:shape>
          <o:OLEObject Type="Embed" ProgID="Equation.3" ShapeID="_x0000_i1039" DrawAspect="Content" ObjectID="_1459798512" r:id="rId34"/>
        </w:object>
      </w:r>
      <w:r>
        <w:t>- ежемесячный платеж по погашению основного долга по кредиту.</w:t>
      </w:r>
    </w:p>
    <w:p w:rsidR="006A1095" w:rsidRDefault="006A1095" w:rsidP="006A1095">
      <w:pPr>
        <w:ind w:firstLine="709"/>
      </w:pPr>
      <w:r>
        <w:t>Определение эффективной процентной ставки по комиссионным доходам производится на основе следующей формулы:</w:t>
      </w:r>
    </w:p>
    <w:p w:rsidR="006A1095" w:rsidRDefault="006A1095" w:rsidP="006A1095">
      <w:pPr>
        <w:jc w:val="center"/>
      </w:pPr>
      <w:r w:rsidRPr="004543FA">
        <w:rPr>
          <w:position w:val="-54"/>
        </w:rPr>
        <w:object w:dxaOrig="1780" w:dyaOrig="920">
          <v:shape id="_x0000_i1040" type="#_x0000_t75" style="width:98.25pt;height:51pt" o:ole="">
            <v:imagedata r:id="rId35" o:title=""/>
          </v:shape>
          <o:OLEObject Type="Embed" ProgID="Equation.3" ShapeID="_x0000_i1040" DrawAspect="Content" ObjectID="_1459798513" r:id="rId36"/>
        </w:object>
      </w:r>
      <w:r>
        <w:t>,</w:t>
      </w:r>
    </w:p>
    <w:p w:rsidR="006A1095" w:rsidRDefault="006A1095" w:rsidP="006A1095">
      <w:r>
        <w:t xml:space="preserve">где </w:t>
      </w:r>
      <w:r w:rsidRPr="004543FA">
        <w:rPr>
          <w:position w:val="-12"/>
        </w:rPr>
        <w:object w:dxaOrig="340" w:dyaOrig="360">
          <v:shape id="_x0000_i1041" type="#_x0000_t75" style="width:18.75pt;height:20.25pt" o:ole="">
            <v:imagedata r:id="rId37" o:title=""/>
          </v:shape>
          <o:OLEObject Type="Embed" ProgID="Equation.3" ShapeID="_x0000_i1041" DrawAspect="Content" ObjectID="_1459798514" r:id="rId38"/>
        </w:object>
      </w:r>
      <w:r>
        <w:t>- сумма всех уплаченных комиссий за период действия кредита, предусмотренных по кредиту, в абсолютном денежном выражении. В данный показатель включаются все единовременные и периодические комиссии, выраженные как в относительном виде от остатка задолженности или от суммы кредита, так и в абсолютном виде.</w:t>
      </w:r>
    </w:p>
    <w:p w:rsidR="006A1095" w:rsidRDefault="006A1095" w:rsidP="006A1095"/>
    <w:p w:rsidR="006A1095" w:rsidRDefault="006A1095" w:rsidP="006A1095">
      <w:r>
        <w:t>Расчет совокупного чистого комиссионного дохода производится суммированием всех, выраженных в абсолютном денежном значении комиссий, определенных как доходообразующие  (комиссии, полученные банком официально и в аналитическом учете) за вычетом сопутствующих комиссионных (агентских) расходов по кредиту:</w:t>
      </w:r>
    </w:p>
    <w:p w:rsidR="006A1095" w:rsidRDefault="006A1095" w:rsidP="006A1095">
      <w:r>
        <w:t>- комиссия за выдачу кредита – может быть представлена в абсолютном денежном виде или выражаться относительно размера кредита, либо совмещать оба способа выражения; относительная комиссия путем прямого расчета приводится к денежному виду;</w:t>
      </w:r>
    </w:p>
    <w:p w:rsidR="006A1095" w:rsidRDefault="006A1095" w:rsidP="006A1095">
      <w:r>
        <w:t>- комиссия за ведение ссудного счета – может выражаться различными способами:</w:t>
      </w:r>
    </w:p>
    <w:p w:rsidR="006A1095" w:rsidRDefault="006A1095" w:rsidP="006A1095">
      <w:r>
        <w:t>1. в абсолютном выражении, в виде единовременного платежа;</w:t>
      </w:r>
    </w:p>
    <w:p w:rsidR="006A1095" w:rsidRDefault="006A1095" w:rsidP="006A1095">
      <w:r>
        <w:t>2. в абсолютном выражении, в виде периодических платежей (ежемесячных, годовых и т.д.);</w:t>
      </w:r>
    </w:p>
    <w:p w:rsidR="006A1095" w:rsidRDefault="006A1095" w:rsidP="006A1095">
      <w:r>
        <w:t>3. в относительном выражении от суммы кредита, в виде единовременного платежа – путем прямого расчета приводится к абсолютному денежному выражению;</w:t>
      </w:r>
    </w:p>
    <w:p w:rsidR="006A1095" w:rsidRDefault="006A1095" w:rsidP="006A1095">
      <w:r>
        <w:t>4. в относительном выражении от суммы кредита, в виде периодических платежей (обычно ежемесячных) – расчетным путем комиссия приводится к абсолютному денежному виду;</w:t>
      </w:r>
    </w:p>
    <w:p w:rsidR="006A1095" w:rsidRDefault="006A1095" w:rsidP="006A1095">
      <w:r>
        <w:t>5. в относительном выражении от остатка ссудной задолженности, в виде периодического платежа (обычно ежемесячного) – расчетным путем комиссия приводится к абсолютному денежному виду.</w:t>
      </w:r>
    </w:p>
    <w:p w:rsidR="006A1095" w:rsidRDefault="006A1095" w:rsidP="006A1095">
      <w:r>
        <w:t xml:space="preserve">- комиссия за рассмотрение кредитной заявки – обычно предоставлена в абсолютном денежном выражении, используется при продаже долгосрочных и крупных кредитов (ипотека); </w:t>
      </w:r>
    </w:p>
    <w:p w:rsidR="006A1095" w:rsidRDefault="006A1095" w:rsidP="006A1095">
      <w:r>
        <w:t xml:space="preserve">- комиссия за открытие кредитной карты (группы счетов); </w:t>
      </w:r>
    </w:p>
    <w:p w:rsidR="006A1095" w:rsidRDefault="006A1095" w:rsidP="006A1095">
      <w:r>
        <w:t>- комиссия за снятие наличных средств по кредитной карте через банкоматы или ПВН (за вычетом действующих размеров стандартной комиссии за снятие наличных по дебетовым картам);</w:t>
      </w:r>
    </w:p>
    <w:p w:rsidR="006A1095" w:rsidRDefault="006A1095" w:rsidP="006A1095">
      <w:r>
        <w:t>- комиссия за проведение расчетов в ТСП – как правило, данная комиссия с клиента не взимается;</w:t>
      </w:r>
    </w:p>
    <w:p w:rsidR="006A1095" w:rsidRDefault="006A1095" w:rsidP="006A1095">
      <w:r>
        <w:t>- комиссия по различным видам страхования, получаемые банком,  непосредственно влияющие на доходность по кредиту (например, агентское вознаграждение, выплачиваемое банку со стороны страховой группы «УралСиб» официально или в аналитическом учете, по страхованию заемщиками транспортных средств в рамках программы «Автомобили в кредит»);</w:t>
      </w:r>
    </w:p>
    <w:p w:rsidR="006A1095" w:rsidRDefault="006A1095" w:rsidP="006A1095">
      <w:r>
        <w:t>- другие возможные комиссии,</w:t>
      </w:r>
      <w:r w:rsidRPr="00E551D8">
        <w:t xml:space="preserve"> </w:t>
      </w:r>
      <w:r>
        <w:t>получаемые или уплачиваемые банком, непосредственно влияющие на доходность по кредиту, (например, комиссия (агентское вознаграждение), уплачиваемая банком организациям-партнерам при совместной реализации кредитных программ и т.д.).</w:t>
      </w:r>
    </w:p>
    <w:p w:rsidR="006A1095" w:rsidRDefault="006A1095" w:rsidP="006A1095">
      <w:pPr>
        <w:ind w:firstLine="709"/>
      </w:pPr>
      <w:r>
        <w:t>В качестве комиссий, не являющихся доходобразующими, выступают:</w:t>
      </w:r>
    </w:p>
    <w:p w:rsidR="006A1095" w:rsidRDefault="006A1095" w:rsidP="006A1095">
      <w:r>
        <w:t>-штрафы, пени и другие санкции за просрочку платежа, досрочное погашение кредита, превышение лимита кредитования и другие нестандартные действия заемщика;</w:t>
      </w:r>
    </w:p>
    <w:p w:rsidR="006A1095" w:rsidRDefault="006A1095" w:rsidP="006A1095">
      <w:r>
        <w:t>- комиссию за конвертацию валют;</w:t>
      </w:r>
    </w:p>
    <w:p w:rsidR="006A1095" w:rsidRDefault="006A1095" w:rsidP="006A1095">
      <w:r>
        <w:t>- другие возможные комиссии, не относящиеся непосредственно к кредитным продуктам.</w:t>
      </w:r>
    </w:p>
    <w:p w:rsidR="006A1095" w:rsidRDefault="006A1095" w:rsidP="006A1095">
      <w:pPr>
        <w:ind w:firstLine="709"/>
      </w:pPr>
      <w:r>
        <w:t xml:space="preserve">Указанные комиссии не учитываются при расчете эффективной процентной ставки по кредитным продуктам. </w:t>
      </w:r>
    </w:p>
    <w:p w:rsidR="006A1095" w:rsidRDefault="006A1095" w:rsidP="006A1095">
      <w:pPr>
        <w:ind w:firstLine="709"/>
      </w:pPr>
      <w:r>
        <w:t xml:space="preserve">При этом размер ежемесячного платежа по кредиту зависит от схемы начисления процентов по кредиту: аннуитетной или равномерно убывающей. </w:t>
      </w:r>
    </w:p>
    <w:p w:rsidR="006A1095" w:rsidRDefault="006A1095" w:rsidP="006A1095">
      <w:pPr>
        <w:ind w:firstLine="709"/>
      </w:pPr>
      <w:r>
        <w:t>В первом случае все периодические платежи равны между собой и вычисляются по формуле:</w:t>
      </w:r>
    </w:p>
    <w:p w:rsidR="006A1095" w:rsidRDefault="006A1095" w:rsidP="006A1095">
      <w:pPr>
        <w:jc w:val="center"/>
      </w:pPr>
      <w:r w:rsidRPr="00966127">
        <w:rPr>
          <w:position w:val="-28"/>
        </w:rPr>
        <w:object w:dxaOrig="2140" w:dyaOrig="660">
          <v:shape id="_x0000_i1042" type="#_x0000_t75" style="width:118.5pt;height:36.75pt" o:ole="">
            <v:imagedata r:id="rId39" o:title=""/>
          </v:shape>
          <o:OLEObject Type="Embed" ProgID="Equation.3" ShapeID="_x0000_i1042" DrawAspect="Content" ObjectID="_1459798515" r:id="rId40"/>
        </w:object>
      </w:r>
      <w:r>
        <w:t>,</w:t>
      </w:r>
    </w:p>
    <w:p w:rsidR="006A1095" w:rsidRDefault="006A1095" w:rsidP="006A1095">
      <w:r>
        <w:t xml:space="preserve">где </w:t>
      </w:r>
      <w:r w:rsidRPr="00966127">
        <w:rPr>
          <w:position w:val="-4"/>
        </w:rPr>
        <w:object w:dxaOrig="180" w:dyaOrig="200">
          <v:shape id="_x0000_i1043" type="#_x0000_t75" style="width:9.75pt;height:11.25pt" o:ole="">
            <v:imagedata r:id="rId41" o:title=""/>
          </v:shape>
          <o:OLEObject Type="Embed" ProgID="Equation.3" ShapeID="_x0000_i1043" DrawAspect="Content" ObjectID="_1459798516" r:id="rId42"/>
        </w:object>
      </w:r>
      <w:r>
        <w:t xml:space="preserve"> - декларируемая номинальная процентная ставка по кредиту, в процентах годовых.</w:t>
      </w:r>
    </w:p>
    <w:p w:rsidR="006A1095" w:rsidRDefault="006A1095" w:rsidP="006A1095">
      <w:pPr>
        <w:ind w:firstLine="709"/>
      </w:pPr>
      <w:r>
        <w:t>Для определения платежа в счет погашения основного долга используется формула приведения с эффективной процентной ставкой по процентным доходам:</w:t>
      </w:r>
    </w:p>
    <w:p w:rsidR="006A1095" w:rsidRDefault="006A1095" w:rsidP="006A1095"/>
    <w:p w:rsidR="006A1095" w:rsidRDefault="006A1095" w:rsidP="006A1095">
      <w:pPr>
        <w:jc w:val="center"/>
      </w:pPr>
      <w:r w:rsidRPr="00B37886">
        <w:rPr>
          <w:position w:val="-56"/>
        </w:rPr>
        <w:object w:dxaOrig="1740" w:dyaOrig="940">
          <v:shape id="_x0000_i1044" type="#_x0000_t75" style="width:96pt;height:51.75pt" o:ole="">
            <v:imagedata r:id="rId43" o:title=""/>
          </v:shape>
          <o:OLEObject Type="Embed" ProgID="Equation.3" ShapeID="_x0000_i1044" DrawAspect="Content" ObjectID="_1459798517" r:id="rId44"/>
        </w:object>
      </w:r>
      <w:r>
        <w:t>.</w:t>
      </w:r>
    </w:p>
    <w:p w:rsidR="006A1095" w:rsidRDefault="006A1095" w:rsidP="006A1095">
      <w:pPr>
        <w:ind w:firstLine="709"/>
      </w:pPr>
      <w:r>
        <w:t>Во втором случае, когда проценты по кредиту начисляются на равномерно убывающий остаток кредитной задолженности, периодический платеж по кредиту не постоянен, вследствие изменения процентных платежей по кредиту:</w:t>
      </w:r>
    </w:p>
    <w:p w:rsidR="006A1095" w:rsidRPr="006B5440" w:rsidRDefault="006A1095" w:rsidP="006A1095">
      <w:pPr>
        <w:jc w:val="center"/>
      </w:pPr>
      <w:r w:rsidRPr="006B5440">
        <w:rPr>
          <w:position w:val="-12"/>
        </w:rPr>
        <w:object w:dxaOrig="2500" w:dyaOrig="360">
          <v:shape id="_x0000_i1045" type="#_x0000_t75" style="width:138pt;height:20.25pt" o:ole="">
            <v:imagedata r:id="rId45" o:title=""/>
          </v:shape>
          <o:OLEObject Type="Embed" ProgID="Equation.3" ShapeID="_x0000_i1045" DrawAspect="Content" ObjectID="_1459798518" r:id="rId46"/>
        </w:object>
      </w:r>
      <w:r>
        <w:t xml:space="preserve">, </w:t>
      </w:r>
      <w:r>
        <w:rPr>
          <w:lang w:val="en-US"/>
        </w:rPr>
        <w:t xml:space="preserve"> </w:t>
      </w:r>
      <w:r w:rsidRPr="006B5440">
        <w:rPr>
          <w:i/>
          <w:lang w:val="en-US"/>
        </w:rPr>
        <w:t>t</w:t>
      </w:r>
      <w:r>
        <w:rPr>
          <w:lang w:val="en-US"/>
        </w:rPr>
        <w:t>=1…</w:t>
      </w:r>
      <w:r w:rsidRPr="006B5440">
        <w:rPr>
          <w:i/>
          <w:lang w:val="en-US"/>
        </w:rPr>
        <w:t>T</w:t>
      </w:r>
      <w:r w:rsidRPr="006B5440">
        <w:t>,</w:t>
      </w:r>
    </w:p>
    <w:p w:rsidR="006A1095" w:rsidRDefault="006A1095" w:rsidP="006A1095">
      <w:pPr>
        <w:jc w:val="center"/>
      </w:pPr>
      <w:r w:rsidRPr="006B5440">
        <w:rPr>
          <w:position w:val="-24"/>
        </w:rPr>
        <w:object w:dxaOrig="999" w:dyaOrig="620">
          <v:shape id="_x0000_i1046" type="#_x0000_t75" style="width:55.5pt;height:34.5pt" o:ole="">
            <v:imagedata r:id="rId47" o:title=""/>
          </v:shape>
          <o:OLEObject Type="Embed" ProgID="Equation.3" ShapeID="_x0000_i1046" DrawAspect="Content" ObjectID="_1459798519" r:id="rId48"/>
        </w:object>
      </w:r>
      <w:r>
        <w:t>.</w:t>
      </w:r>
    </w:p>
    <w:p w:rsidR="006A1095" w:rsidRDefault="006A1095" w:rsidP="006A1095">
      <w:pPr>
        <w:ind w:firstLine="709"/>
      </w:pPr>
      <w:r>
        <w:t>Существуют также некоторые особенности расчета эффективной процентной ставки для кредитных карт и кредитования в форме овердрафта. Комиссионный доход по данным продуктам помимо стандартных комиссий включает комиссию за снятие наличных денежных средств (за минусом комиссии за снятие наличных денежных средств по дебетовым банковским карта «УралСиба» - стандартная комиссия банка). При этом необходимо учитывать, что по кредитным картам часть заимствованных средств не снимается в наличном виде, а образуется за счет прямой оплаты услуг и товаров в ТСП, поэтому в расчетах используется коэффициент, определяющий долю обналичиваемых ссудных средств, которая определяет часть кредита, формирующую комиссионный доход от снятия наличных средств.</w:t>
      </w:r>
    </w:p>
    <w:p w:rsidR="006A1095" w:rsidRPr="006B791B" w:rsidRDefault="006A1095" w:rsidP="006A1095">
      <w:pPr>
        <w:ind w:firstLine="709"/>
      </w:pPr>
      <w:r>
        <w:t>Комиссия за снятие наличных денежных средств не учитывается при расчете и установлении КУАП минимальных эффективных ставок по кредитным продуктам розничного бизнеса, так как подразумевается, что данная комиссия устанавливается по продуктам «Кредитная карта» и «Овердрафт» на уровне комиссии за снятие наличных денежных средств по дебетовым банковским картам «УралСиба», т.е. на уровне стандартной комиссии банка.</w:t>
      </w:r>
    </w:p>
    <w:p w:rsidR="006A1095" w:rsidRDefault="006A1095" w:rsidP="006A1095">
      <w:pPr>
        <w:ind w:firstLine="709"/>
        <w:jc w:val="center"/>
      </w:pPr>
      <w:r w:rsidRPr="002B6A65">
        <w:rPr>
          <w:position w:val="-28"/>
        </w:rPr>
        <w:object w:dxaOrig="2060" w:dyaOrig="680">
          <v:shape id="_x0000_i1047" type="#_x0000_t75" style="width:114pt;height:37.5pt" o:ole="">
            <v:imagedata r:id="rId49" o:title=""/>
          </v:shape>
          <o:OLEObject Type="Embed" ProgID="Equation.3" ShapeID="_x0000_i1047" DrawAspect="Content" ObjectID="_1459798520" r:id="rId50"/>
        </w:object>
      </w:r>
      <w:r>
        <w:t>,</w:t>
      </w:r>
    </w:p>
    <w:p w:rsidR="006A1095" w:rsidRDefault="006A1095" w:rsidP="006A1095">
      <w:pPr>
        <w:ind w:firstLine="709"/>
      </w:pPr>
      <w:r>
        <w:t xml:space="preserve">где </w:t>
      </w:r>
      <w:r w:rsidRPr="002B6A65">
        <w:rPr>
          <w:position w:val="-12"/>
        </w:rPr>
        <w:object w:dxaOrig="340" w:dyaOrig="360">
          <v:shape id="_x0000_i1048" type="#_x0000_t75" style="width:18.75pt;height:20.25pt" o:ole="">
            <v:imagedata r:id="rId51" o:title=""/>
          </v:shape>
          <o:OLEObject Type="Embed" ProgID="Equation.3" ShapeID="_x0000_i1048" DrawAspect="Content" ObjectID="_1459798521" r:id="rId52"/>
        </w:object>
      </w:r>
      <w:r>
        <w:t>- размер комиссии в процентном выражении за получение ссудных средств, определяющий комиссионный доход;</w:t>
      </w:r>
    </w:p>
    <w:p w:rsidR="006A1095" w:rsidRDefault="006A1095" w:rsidP="006A1095">
      <w:pPr>
        <w:ind w:firstLine="709"/>
      </w:pPr>
      <w:r>
        <w:t xml:space="preserve">      </w:t>
      </w:r>
      <w:r w:rsidRPr="002B6A65">
        <w:rPr>
          <w:position w:val="-12"/>
        </w:rPr>
        <w:object w:dxaOrig="320" w:dyaOrig="360">
          <v:shape id="_x0000_i1049" type="#_x0000_t75" style="width:18pt;height:20.25pt" o:ole="">
            <v:imagedata r:id="rId53" o:title=""/>
          </v:shape>
          <o:OLEObject Type="Embed" ProgID="Equation.3" ShapeID="_x0000_i1049" DrawAspect="Content" ObjectID="_1459798522" r:id="rId54"/>
        </w:object>
      </w:r>
      <w:r>
        <w:t xml:space="preserve"> - коэффициент, определяющий долю полученных ссудных средств. Коэффициент </w:t>
      </w:r>
      <w:r w:rsidRPr="002B6A65">
        <w:rPr>
          <w:position w:val="-12"/>
        </w:rPr>
        <w:object w:dxaOrig="320" w:dyaOrig="360">
          <v:shape id="_x0000_i1050" type="#_x0000_t75" style="width:18pt;height:20.25pt" o:ole="">
            <v:imagedata r:id="rId55" o:title=""/>
          </v:shape>
          <o:OLEObject Type="Embed" ProgID="Equation.3" ShapeID="_x0000_i1050" DrawAspect="Content" ObjectID="_1459798523" r:id="rId56"/>
        </w:object>
      </w:r>
      <w:r>
        <w:t xml:space="preserve"> определяется на основе фактических статистических данных продаж по продукту за последние три месяца, предшествующие дате расчета;</w:t>
      </w:r>
    </w:p>
    <w:p w:rsidR="006A1095" w:rsidRDefault="006A1095" w:rsidP="006A1095">
      <w:pPr>
        <w:ind w:firstLine="709"/>
      </w:pPr>
      <w:r w:rsidRPr="00AC4B1A">
        <w:rPr>
          <w:i/>
        </w:rPr>
        <w:t xml:space="preserve">       </w:t>
      </w:r>
      <w:r w:rsidRPr="00AC4B1A">
        <w:rPr>
          <w:i/>
          <w:lang w:val="en-US"/>
        </w:rPr>
        <w:t>n</w:t>
      </w:r>
      <w:r>
        <w:rPr>
          <w:lang w:val="en-US"/>
        </w:rPr>
        <w:t xml:space="preserve"> – </w:t>
      </w:r>
      <w:r>
        <w:t>индекс, обозначающий способ получения заемных денежных средств: через банкомат, ПВН, в ТСП, организованных филиалом, эмитировавшим карту, другим филиалом «УралСиба», сторонним банком;</w:t>
      </w:r>
    </w:p>
    <w:p w:rsidR="006A1095" w:rsidRDefault="006A1095" w:rsidP="006A1095">
      <w:pPr>
        <w:ind w:firstLine="709"/>
      </w:pPr>
      <w:r>
        <w:t xml:space="preserve">       </w:t>
      </w:r>
      <w:r w:rsidRPr="00AC4B1A">
        <w:rPr>
          <w:i/>
          <w:lang w:val="en-US"/>
        </w:rPr>
        <w:t>N</w:t>
      </w:r>
      <w:r>
        <w:t xml:space="preserve"> – общее количество способов получения заемных средств.</w:t>
      </w:r>
    </w:p>
    <w:p w:rsidR="006A1095" w:rsidRDefault="006A1095" w:rsidP="006A1095">
      <w:pPr>
        <w:ind w:firstLine="709"/>
      </w:pPr>
    </w:p>
    <w:p w:rsidR="006A1095" w:rsidRDefault="006A1095" w:rsidP="006A1095">
      <w:pPr>
        <w:ind w:firstLine="709"/>
      </w:pPr>
      <w:r>
        <w:t>Под суммой кредита (</w:t>
      </w:r>
      <w:r>
        <w:rPr>
          <w:lang w:val="en-US"/>
        </w:rPr>
        <w:t>PV)</w:t>
      </w:r>
      <w:r>
        <w:t xml:space="preserve"> по продуктам «Кредитные карты» и «Овердрафт» понимается среднегодовой оборот (объем выданных кредитных средств за год) на оду кредитную карту. Данный показатель рассчитывается на основе фактической статистики продаж по продукту за последние три месяца, предшествующие месяцу расчета. В качестве расчетных данных используется оборот по продукту и среднее количество действующих карт за три месяца, которое определяется как среднее арифметическое количества карт за рассматриваемый период ( в целях упрощения расчета, среднее количество действующих карт определяется как среднее арифметическое по четырем контрольным значениям: на первое число каждого месяца и последнее число третьего месяца). Таким образом, расчет среднего оборота по карте за год рассчитывается по формуле: </w:t>
      </w:r>
    </w:p>
    <w:p w:rsidR="006A1095" w:rsidRDefault="006A1095" w:rsidP="006A1095">
      <w:pPr>
        <w:ind w:firstLine="709"/>
        <w:jc w:val="center"/>
      </w:pPr>
      <w:r w:rsidRPr="00F721CF">
        <w:rPr>
          <w:position w:val="-60"/>
        </w:rPr>
        <w:object w:dxaOrig="1540" w:dyaOrig="1020">
          <v:shape id="_x0000_i1051" type="#_x0000_t75" style="width:84.75pt;height:56.25pt" o:ole="">
            <v:imagedata r:id="rId57" o:title=""/>
          </v:shape>
          <o:OLEObject Type="Embed" ProgID="Equation.3" ShapeID="_x0000_i1051" DrawAspect="Content" ObjectID="_1459798524" r:id="rId58"/>
        </w:object>
      </w:r>
      <w:r>
        <w:t>,</w:t>
      </w:r>
    </w:p>
    <w:p w:rsidR="006A1095" w:rsidRDefault="006A1095" w:rsidP="006A1095">
      <w:pPr>
        <w:ind w:firstLine="709"/>
      </w:pPr>
      <w:r>
        <w:t xml:space="preserve">где  </w:t>
      </w:r>
      <w:r w:rsidRPr="00F721CF">
        <w:rPr>
          <w:position w:val="-14"/>
        </w:rPr>
        <w:object w:dxaOrig="460" w:dyaOrig="380">
          <v:shape id="_x0000_i1052" type="#_x0000_t75" style="width:25.5pt;height:21pt" o:ole="">
            <v:imagedata r:id="rId59" o:title=""/>
          </v:shape>
          <o:OLEObject Type="Embed" ProgID="Equation.3" ShapeID="_x0000_i1052" DrawAspect="Content" ObjectID="_1459798525" r:id="rId60"/>
        </w:object>
      </w:r>
      <w:r>
        <w:t>- оборот (объем выданных кредитных средств за год) по продукту за три месяца;</w:t>
      </w:r>
    </w:p>
    <w:p w:rsidR="006A1095" w:rsidRPr="00F721CF" w:rsidRDefault="006A1095" w:rsidP="006A1095">
      <w:pPr>
        <w:ind w:firstLine="709"/>
      </w:pPr>
      <w:r>
        <w:t xml:space="preserve">       </w:t>
      </w:r>
      <w:r w:rsidRPr="00F721CF">
        <w:rPr>
          <w:position w:val="-12"/>
        </w:rPr>
        <w:object w:dxaOrig="560" w:dyaOrig="360">
          <v:shape id="_x0000_i1053" type="#_x0000_t75" style="width:30.75pt;height:20.25pt" o:ole="">
            <v:imagedata r:id="rId61" o:title=""/>
          </v:shape>
          <o:OLEObject Type="Embed" ProgID="Equation.3" ShapeID="_x0000_i1053" DrawAspect="Content" ObjectID="_1459798526" r:id="rId62"/>
        </w:object>
      </w:r>
      <w:r>
        <w:t xml:space="preserve"> - количество кредитных карт на </w:t>
      </w:r>
      <w:r w:rsidRPr="00F721CF">
        <w:rPr>
          <w:i/>
          <w:lang w:val="en-US"/>
        </w:rPr>
        <w:t>k</w:t>
      </w:r>
      <w:r>
        <w:t>-ую контрольную дату;</w:t>
      </w:r>
    </w:p>
    <w:p w:rsidR="006A1095" w:rsidRDefault="006A1095" w:rsidP="006A1095">
      <w:pPr>
        <w:ind w:firstLine="709"/>
      </w:pPr>
      <w:r>
        <w:t xml:space="preserve">       </w:t>
      </w:r>
      <w:r w:rsidRPr="00F721CF">
        <w:rPr>
          <w:position w:val="-6"/>
        </w:rPr>
        <w:object w:dxaOrig="200" w:dyaOrig="220">
          <v:shape id="_x0000_i1054" type="#_x0000_t75" style="width:11.25pt;height:12pt" o:ole="">
            <v:imagedata r:id="rId63" o:title=""/>
          </v:shape>
          <o:OLEObject Type="Embed" ProgID="Equation.3" ShapeID="_x0000_i1054" DrawAspect="Content" ObjectID="_1459798527" r:id="rId64"/>
        </w:object>
      </w:r>
      <w:r>
        <w:t xml:space="preserve"> - количество принятых к расчету контрольных точек за период.</w:t>
      </w:r>
    </w:p>
    <w:p w:rsidR="006A1095" w:rsidRDefault="006A1095" w:rsidP="006A1095">
      <w:pPr>
        <w:ind w:firstLine="709"/>
      </w:pPr>
      <w:r>
        <w:t>В силу специфики кредитования по продуктам «Кредитные карты» и «Овердрафт», под средним рабочим активом (</w:t>
      </w:r>
      <w:r w:rsidRPr="00F721CF">
        <w:rPr>
          <w:position w:val="-12"/>
        </w:rPr>
        <w:object w:dxaOrig="300" w:dyaOrig="360">
          <v:shape id="_x0000_i1055" type="#_x0000_t75" style="width:16.5pt;height:20.25pt" o:ole="">
            <v:imagedata r:id="rId65" o:title=""/>
          </v:shape>
          <o:OLEObject Type="Embed" ProgID="Equation.3" ShapeID="_x0000_i1055" DrawAspect="Content" ObjectID="_1459798528" r:id="rId66"/>
        </w:object>
      </w:r>
      <w:r>
        <w:t>) понимается средний остаток ссудной задолженности по картам за год. Данный показатель рассчитывается на основе фактической статистики продаж по продукту за последние три месяца, предшествующие месяцу расчета, и определяется как среднеарифметическое значение остатков ссудной задолженности на одну карту за рассматриваемый период (в целях упрощения, расчет может производиться аналогично расчету среднего количества действующих карт за период, т.е. как среднеарифметическое четырех контрольных значений за три месяца):</w:t>
      </w:r>
    </w:p>
    <w:p w:rsidR="006A1095" w:rsidRDefault="006A1095" w:rsidP="006A1095">
      <w:pPr>
        <w:ind w:firstLine="709"/>
        <w:jc w:val="center"/>
      </w:pPr>
      <w:r w:rsidRPr="00B84E9F">
        <w:rPr>
          <w:position w:val="-30"/>
        </w:rPr>
        <w:object w:dxaOrig="1660" w:dyaOrig="700">
          <v:shape id="_x0000_i1056" type="#_x0000_t75" style="width:91.5pt;height:39pt" o:ole="">
            <v:imagedata r:id="rId67" o:title=""/>
          </v:shape>
          <o:OLEObject Type="Embed" ProgID="Equation.3" ShapeID="_x0000_i1056" DrawAspect="Content" ObjectID="_1459798529" r:id="rId68"/>
        </w:object>
      </w:r>
      <w:r>
        <w:t>,</w:t>
      </w:r>
    </w:p>
    <w:p w:rsidR="006A1095" w:rsidRDefault="006A1095" w:rsidP="006A1095">
      <w:pPr>
        <w:ind w:firstLine="709"/>
      </w:pPr>
      <w:r>
        <w:t xml:space="preserve">где </w:t>
      </w:r>
      <w:r w:rsidRPr="00B84E9F">
        <w:rPr>
          <w:position w:val="-12"/>
        </w:rPr>
        <w:object w:dxaOrig="380" w:dyaOrig="360">
          <v:shape id="_x0000_i1057" type="#_x0000_t75" style="width:21pt;height:20.25pt" o:ole="">
            <v:imagedata r:id="rId69" o:title=""/>
          </v:shape>
          <o:OLEObject Type="Embed" ProgID="Equation.3" ShapeID="_x0000_i1057" DrawAspect="Content" ObjectID="_1459798530" r:id="rId70"/>
        </w:object>
      </w:r>
      <w:r>
        <w:t xml:space="preserve"> - остаток ссудных средств по кредитным картам на </w:t>
      </w:r>
      <w:r w:rsidRPr="00B84E9F">
        <w:rPr>
          <w:i/>
          <w:lang w:val="en-US"/>
        </w:rPr>
        <w:t>k</w:t>
      </w:r>
      <w:r>
        <w:t>-ую контрольную дату.</w:t>
      </w:r>
    </w:p>
    <w:p w:rsidR="006A1095" w:rsidRDefault="006A1095" w:rsidP="006A1095">
      <w:pPr>
        <w:ind w:firstLine="709"/>
      </w:pPr>
      <w:r>
        <w:t>Также существует методика расчета эффективной процентной ставки по инструментам формирования ресурсов, которая непосредственно связана с фондированием и депозитными продуктами.</w:t>
      </w:r>
    </w:p>
    <w:p w:rsidR="006A1095" w:rsidRDefault="006A1095" w:rsidP="006A1095">
      <w:pPr>
        <w:ind w:firstLine="709"/>
      </w:pPr>
      <w:r>
        <w:t>Для сравнения эффективных процентных ставок по кредитным продуктам с эффективными процентными ставками фондирования используется аналогичная схема расчета, где в качестве номинальной процентной ставки принимается ставка по фондированию. Таким образом, формула для расчета эффективной процентной ставки по фондированию имеет следующий вид:</w:t>
      </w:r>
    </w:p>
    <w:p w:rsidR="006A1095" w:rsidRDefault="006A1095" w:rsidP="006A1095">
      <w:pPr>
        <w:ind w:firstLine="709"/>
        <w:jc w:val="center"/>
      </w:pPr>
      <w:r w:rsidRPr="00B84E9F">
        <w:rPr>
          <w:position w:val="-54"/>
        </w:rPr>
        <w:object w:dxaOrig="1820" w:dyaOrig="920">
          <v:shape id="_x0000_i1058" type="#_x0000_t75" style="width:100.5pt;height:51pt" o:ole="">
            <v:imagedata r:id="rId71" o:title=""/>
          </v:shape>
          <o:OLEObject Type="Embed" ProgID="Equation.3" ShapeID="_x0000_i1058" DrawAspect="Content" ObjectID="_1459798531" r:id="rId72"/>
        </w:object>
      </w:r>
      <w:r>
        <w:t>,</w:t>
      </w:r>
    </w:p>
    <w:p w:rsidR="006A1095" w:rsidRDefault="006A1095" w:rsidP="006A1095">
      <w:pPr>
        <w:ind w:firstLine="709"/>
        <w:jc w:val="center"/>
      </w:pPr>
      <w:r w:rsidRPr="00B84E9F">
        <w:rPr>
          <w:position w:val="-28"/>
        </w:rPr>
        <w:object w:dxaOrig="1219" w:dyaOrig="680">
          <v:shape id="_x0000_i1059" type="#_x0000_t75" style="width:67.5pt;height:37.5pt" o:ole="">
            <v:imagedata r:id="rId73" o:title=""/>
          </v:shape>
          <o:OLEObject Type="Embed" ProgID="Equation.3" ShapeID="_x0000_i1059" DrawAspect="Content" ObjectID="_1459798532" r:id="rId74"/>
        </w:object>
      </w:r>
      <w:r>
        <w:t>,</w:t>
      </w:r>
    </w:p>
    <w:p w:rsidR="006A1095" w:rsidRDefault="006A1095" w:rsidP="006A1095">
      <w:pPr>
        <w:ind w:firstLine="709"/>
        <w:jc w:val="center"/>
      </w:pPr>
      <w:r w:rsidRPr="00B84E9F">
        <w:rPr>
          <w:position w:val="-24"/>
        </w:rPr>
        <w:object w:dxaOrig="2439" w:dyaOrig="620">
          <v:shape id="_x0000_i1060" type="#_x0000_t75" style="width:135pt;height:34.5pt" o:ole="">
            <v:imagedata r:id="rId75" o:title=""/>
          </v:shape>
          <o:OLEObject Type="Embed" ProgID="Equation.3" ShapeID="_x0000_i1060" DrawAspect="Content" ObjectID="_1459798533" r:id="rId76"/>
        </w:object>
      </w:r>
      <w:r>
        <w:t>,</w:t>
      </w:r>
    </w:p>
    <w:p w:rsidR="006A1095" w:rsidRDefault="006A1095" w:rsidP="006A1095">
      <w:pPr>
        <w:ind w:firstLine="709"/>
      </w:pPr>
      <w:r>
        <w:t xml:space="preserve">где </w:t>
      </w:r>
      <w:r w:rsidRPr="007C6A40">
        <w:rPr>
          <w:position w:val="-10"/>
        </w:rPr>
        <w:object w:dxaOrig="240" w:dyaOrig="340">
          <v:shape id="_x0000_i1061" type="#_x0000_t75" style="width:13.5pt;height:18.75pt" o:ole="">
            <v:imagedata r:id="rId77" o:title=""/>
          </v:shape>
          <o:OLEObject Type="Embed" ProgID="Equation.3" ShapeID="_x0000_i1061" DrawAspect="Content" ObjectID="_1459798534" r:id="rId78"/>
        </w:object>
      </w:r>
      <w:r>
        <w:t xml:space="preserve"> - эффективная процентная ставка по фондированию, в процентах годовых;</w:t>
      </w:r>
    </w:p>
    <w:p w:rsidR="006A1095" w:rsidRDefault="006A1095" w:rsidP="006A1095">
      <w:pPr>
        <w:ind w:firstLine="709"/>
      </w:pPr>
      <w:r>
        <w:t xml:space="preserve">      </w:t>
      </w:r>
      <w:r w:rsidRPr="007C6A40">
        <w:rPr>
          <w:position w:val="-10"/>
        </w:rPr>
        <w:object w:dxaOrig="360" w:dyaOrig="340">
          <v:shape id="_x0000_i1062" type="#_x0000_t75" style="width:20.25pt;height:18.75pt" o:ole="">
            <v:imagedata r:id="rId79" o:title=""/>
          </v:shape>
          <o:OLEObject Type="Embed" ProgID="Equation.3" ShapeID="_x0000_i1062" DrawAspect="Content" ObjectID="_1459798535" r:id="rId80"/>
        </w:object>
      </w:r>
      <w:r>
        <w:t xml:space="preserve"> - расходы по фондированию;</w:t>
      </w:r>
    </w:p>
    <w:p w:rsidR="006A1095" w:rsidRDefault="006A1095" w:rsidP="006A1095">
      <w:pPr>
        <w:ind w:firstLine="709"/>
      </w:pPr>
      <w:r>
        <w:t xml:space="preserve">     </w:t>
      </w:r>
      <w:r w:rsidRPr="007C6A40">
        <w:rPr>
          <w:position w:val="-14"/>
        </w:rPr>
        <w:object w:dxaOrig="380" w:dyaOrig="380">
          <v:shape id="_x0000_i1063" type="#_x0000_t75" style="width:21pt;height:21pt" o:ole="">
            <v:imagedata r:id="rId81" o:title=""/>
          </v:shape>
          <o:OLEObject Type="Embed" ProgID="Equation.3" ShapeID="_x0000_i1063" DrawAspect="Content" ObjectID="_1459798536" r:id="rId82"/>
        </w:object>
      </w:r>
      <w:r>
        <w:t>- процентные платежи по фондированию;</w:t>
      </w:r>
    </w:p>
    <w:p w:rsidR="006A1095" w:rsidRDefault="006A1095" w:rsidP="006A1095">
      <w:pPr>
        <w:ind w:firstLine="709"/>
      </w:pPr>
      <w:r>
        <w:t xml:space="preserve">      </w:t>
      </w:r>
      <w:r w:rsidRPr="007C6A40">
        <w:rPr>
          <w:position w:val="-10"/>
        </w:rPr>
        <w:object w:dxaOrig="260" w:dyaOrig="340">
          <v:shape id="_x0000_i1064" type="#_x0000_t75" style="width:14.25pt;height:18.75pt" o:ole="">
            <v:imagedata r:id="rId83" o:title=""/>
          </v:shape>
          <o:OLEObject Type="Embed" ProgID="Equation.3" ShapeID="_x0000_i1064" DrawAspect="Content" ObjectID="_1459798537" r:id="rId84"/>
        </w:object>
      </w:r>
      <w:r>
        <w:t xml:space="preserve"> - ставка фондирования, в процентах годовых;</w:t>
      </w:r>
    </w:p>
    <w:p w:rsidR="006A1095" w:rsidRDefault="006A1095" w:rsidP="006A1095">
      <w:pPr>
        <w:ind w:firstLine="709"/>
      </w:pPr>
      <w:r>
        <w:t xml:space="preserve">     </w:t>
      </w:r>
      <w:r w:rsidRPr="007C6A40">
        <w:rPr>
          <w:position w:val="-10"/>
        </w:rPr>
        <w:object w:dxaOrig="480" w:dyaOrig="340">
          <v:shape id="_x0000_i1065" type="#_x0000_t75" style="width:26.25pt;height:18.75pt" o:ole="">
            <v:imagedata r:id="rId85" o:title=""/>
          </v:shape>
          <o:OLEObject Type="Embed" ProgID="Equation.3" ShapeID="_x0000_i1065" DrawAspect="Content" ObjectID="_1459798538" r:id="rId86"/>
        </w:object>
      </w:r>
      <w:r>
        <w:t xml:space="preserve"> - размер фондируемых ресурсов, при сравнении с кредитными продуктами, значение показателя принимается равным размеру заемных средств </w:t>
      </w:r>
      <w:r w:rsidRPr="007C6A40">
        <w:rPr>
          <w:position w:val="-10"/>
        </w:rPr>
        <w:object w:dxaOrig="1260" w:dyaOrig="340">
          <v:shape id="_x0000_i1066" type="#_x0000_t75" style="width:69.75pt;height:18.75pt" o:ole="">
            <v:imagedata r:id="rId87" o:title=""/>
          </v:shape>
          <o:OLEObject Type="Embed" ProgID="Equation.3" ShapeID="_x0000_i1066" DrawAspect="Content" ObjectID="_1459798539" r:id="rId88"/>
        </w:object>
      </w:r>
      <w:r>
        <w:t>.</w:t>
      </w:r>
    </w:p>
    <w:p w:rsidR="006A1095" w:rsidRDefault="006A1095" w:rsidP="006A1095">
      <w:pPr>
        <w:ind w:firstLine="709"/>
      </w:pPr>
      <w:r>
        <w:t>В рамках данной методики эффективная процентная ставка по трансфертным ресурсам будет совпадать с установленной процентной ставкой фондирования.</w:t>
      </w:r>
    </w:p>
    <w:p w:rsidR="006A1095" w:rsidRDefault="006A1095" w:rsidP="006A1095">
      <w:pPr>
        <w:ind w:firstLine="709"/>
      </w:pPr>
      <w:r>
        <w:t>Расчет эффективной процентной ставки по депозитным продуктам зависит от периодичности начисления и наличия капитализации процентов.</w:t>
      </w:r>
    </w:p>
    <w:p w:rsidR="006A1095" w:rsidRDefault="006A1095" w:rsidP="006A1095">
      <w:pPr>
        <w:ind w:firstLine="709"/>
        <w:jc w:val="center"/>
        <w:rPr>
          <w:b/>
        </w:rPr>
      </w:pPr>
    </w:p>
    <w:p w:rsidR="006A1095" w:rsidRDefault="006A1095" w:rsidP="006A1095">
      <w:pPr>
        <w:ind w:firstLine="709"/>
        <w:jc w:val="center"/>
        <w:rPr>
          <w:b/>
        </w:rPr>
      </w:pPr>
    </w:p>
    <w:p w:rsidR="006A1095" w:rsidRDefault="006A1095" w:rsidP="006A1095">
      <w:pPr>
        <w:ind w:firstLine="709"/>
      </w:pPr>
    </w:p>
    <w:p w:rsidR="006A1095" w:rsidRPr="00A20E31" w:rsidRDefault="006A1095" w:rsidP="006A1095">
      <w:pPr>
        <w:rPr>
          <w:lang w:val="en-US"/>
        </w:rPr>
      </w:pPr>
    </w:p>
    <w:p w:rsidR="00ED7A85" w:rsidRDefault="00ED7A85">
      <w:bookmarkStart w:id="0" w:name="_GoBack"/>
      <w:bookmarkEnd w:id="0"/>
    </w:p>
    <w:sectPr w:rsidR="00ED7A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255A1"/>
    <w:multiLevelType w:val="hybridMultilevel"/>
    <w:tmpl w:val="F7622A92"/>
    <w:lvl w:ilvl="0" w:tplc="D67AAB2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EF03725"/>
    <w:multiLevelType w:val="singleLevel"/>
    <w:tmpl w:val="D134415C"/>
    <w:lvl w:ilvl="0">
      <w:start w:val="4"/>
      <w:numFmt w:val="bullet"/>
      <w:lvlText w:val="-"/>
      <w:lvlJc w:val="left"/>
      <w:pPr>
        <w:tabs>
          <w:tab w:val="num" w:pos="1080"/>
        </w:tabs>
        <w:ind w:left="0" w:firstLine="720"/>
      </w:pPr>
      <w:rPr>
        <w:rFonts w:ascii="Times New Roman" w:hAnsi="Times New Roman" w:hint="default"/>
      </w:rPr>
    </w:lvl>
  </w:abstractNum>
  <w:abstractNum w:abstractNumId="2">
    <w:nsid w:val="12AA2F25"/>
    <w:multiLevelType w:val="hybridMultilevel"/>
    <w:tmpl w:val="61FC6820"/>
    <w:lvl w:ilvl="0" w:tplc="FFA8929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503839C8"/>
    <w:multiLevelType w:val="multilevel"/>
    <w:tmpl w:val="C1AC700C"/>
    <w:lvl w:ilvl="0">
      <w:start w:val="1"/>
      <w:numFmt w:val="decimal"/>
      <w:lvlText w:val="%1."/>
      <w:lvlJc w:val="left"/>
      <w:pPr>
        <w:tabs>
          <w:tab w:val="num" w:pos="1128"/>
        </w:tabs>
        <w:ind w:left="1128" w:hanging="1128"/>
      </w:pPr>
      <w:rPr>
        <w:rFonts w:hint="default"/>
      </w:rPr>
    </w:lvl>
    <w:lvl w:ilvl="1">
      <w:start w:val="1"/>
      <w:numFmt w:val="decimal"/>
      <w:lvlText w:val="%1.%2."/>
      <w:lvlJc w:val="left"/>
      <w:pPr>
        <w:tabs>
          <w:tab w:val="num" w:pos="1837"/>
        </w:tabs>
        <w:ind w:left="1837" w:hanging="1128"/>
      </w:pPr>
      <w:rPr>
        <w:rFonts w:hint="default"/>
      </w:rPr>
    </w:lvl>
    <w:lvl w:ilvl="2">
      <w:start w:val="1"/>
      <w:numFmt w:val="decimal"/>
      <w:lvlText w:val="%1.%2.%3."/>
      <w:lvlJc w:val="left"/>
      <w:pPr>
        <w:tabs>
          <w:tab w:val="num" w:pos="2546"/>
        </w:tabs>
        <w:ind w:left="2546" w:hanging="1128"/>
      </w:pPr>
      <w:rPr>
        <w:rFonts w:hint="default"/>
      </w:rPr>
    </w:lvl>
    <w:lvl w:ilvl="3">
      <w:start w:val="1"/>
      <w:numFmt w:val="decimal"/>
      <w:lvlText w:val="%1.%2.%3.%4."/>
      <w:lvlJc w:val="left"/>
      <w:pPr>
        <w:tabs>
          <w:tab w:val="num" w:pos="3255"/>
        </w:tabs>
        <w:ind w:left="3255" w:hanging="1128"/>
      </w:pPr>
      <w:rPr>
        <w:rFonts w:hint="default"/>
      </w:rPr>
    </w:lvl>
    <w:lvl w:ilvl="4">
      <w:start w:val="1"/>
      <w:numFmt w:val="decimal"/>
      <w:lvlText w:val="%1.%2.%3.%4.%5."/>
      <w:lvlJc w:val="left"/>
      <w:pPr>
        <w:tabs>
          <w:tab w:val="num" w:pos="3964"/>
        </w:tabs>
        <w:ind w:left="3964" w:hanging="1128"/>
      </w:pPr>
      <w:rPr>
        <w:rFonts w:hint="default"/>
      </w:rPr>
    </w:lvl>
    <w:lvl w:ilvl="5">
      <w:start w:val="1"/>
      <w:numFmt w:val="decimal"/>
      <w:lvlText w:val="%1.%2.%3.%4.%5.%6."/>
      <w:lvlJc w:val="left"/>
      <w:pPr>
        <w:tabs>
          <w:tab w:val="num" w:pos="4673"/>
        </w:tabs>
        <w:ind w:left="4673" w:hanging="1128"/>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4">
    <w:nsid w:val="5FF503E0"/>
    <w:multiLevelType w:val="singleLevel"/>
    <w:tmpl w:val="D134415C"/>
    <w:lvl w:ilvl="0">
      <w:start w:val="4"/>
      <w:numFmt w:val="bullet"/>
      <w:lvlText w:val="-"/>
      <w:lvlJc w:val="left"/>
      <w:pPr>
        <w:tabs>
          <w:tab w:val="num" w:pos="1080"/>
        </w:tabs>
        <w:ind w:left="0" w:firstLine="720"/>
      </w:pPr>
      <w:rPr>
        <w:rFonts w:ascii="Times New Roman" w:hAnsi="Times New Roman" w:hint="default"/>
      </w:rPr>
    </w:lvl>
  </w:abstractNum>
  <w:abstractNum w:abstractNumId="5">
    <w:nsid w:val="64E45661"/>
    <w:multiLevelType w:val="singleLevel"/>
    <w:tmpl w:val="D134415C"/>
    <w:lvl w:ilvl="0">
      <w:start w:val="4"/>
      <w:numFmt w:val="bullet"/>
      <w:lvlText w:val="-"/>
      <w:lvlJc w:val="left"/>
      <w:pPr>
        <w:tabs>
          <w:tab w:val="num" w:pos="1080"/>
        </w:tabs>
        <w:ind w:left="0" w:firstLine="720"/>
      </w:pPr>
      <w:rPr>
        <w:rFonts w:ascii="Times New Roman" w:hAnsi="Times New Roman" w:hint="default"/>
      </w:rPr>
    </w:lvl>
  </w:abstractNum>
  <w:abstractNum w:abstractNumId="6">
    <w:nsid w:val="73E13E2D"/>
    <w:multiLevelType w:val="multilevel"/>
    <w:tmpl w:val="30C667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3"/>
  </w:num>
  <w:num w:numId="3">
    <w:abstractNumId w:val="6"/>
  </w:num>
  <w:num w:numId="4">
    <w:abstractNumId w:val="4"/>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1095"/>
    <w:rsid w:val="004A691A"/>
    <w:rsid w:val="006A1095"/>
    <w:rsid w:val="00874C9B"/>
    <w:rsid w:val="00D03B7A"/>
    <w:rsid w:val="00E64AA7"/>
    <w:rsid w:val="00ED7A85"/>
    <w:rsid w:val="00FA51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68"/>
    <o:shapelayout v:ext="edit">
      <o:idmap v:ext="edit" data="1"/>
    </o:shapelayout>
  </w:shapeDefaults>
  <w:decimalSymbol w:val=","/>
  <w:listSeparator w:val=";"/>
  <w15:chartTrackingRefBased/>
  <w15:docId w15:val="{D7B9C6F2-35FA-4836-BC3D-B9FB90DB0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109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mesNewRoman">
    <w:name w:val="Times New Roman"/>
    <w:basedOn w:val="a"/>
    <w:rsid w:val="006A1095"/>
    <w:rPr>
      <w:rFonts w:ascii="Arial" w:hAnsi="Arial" w:cs="Arial"/>
      <w:b/>
      <w:bCs/>
      <w:sz w:val="20"/>
      <w:szCs w:val="20"/>
    </w:rPr>
  </w:style>
  <w:style w:type="table" w:styleId="a3">
    <w:name w:val="Table Grid"/>
    <w:basedOn w:val="a1"/>
    <w:rsid w:val="006A10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caption"/>
    <w:basedOn w:val="a"/>
    <w:next w:val="a"/>
    <w:qFormat/>
    <w:rsid w:val="006A1095"/>
    <w:pPr>
      <w:ind w:firstLine="720"/>
      <w:jc w:val="center"/>
    </w:pPr>
    <w:rPr>
      <w:sz w:val="32"/>
      <w:szCs w:val="32"/>
    </w:rPr>
  </w:style>
  <w:style w:type="paragraph" w:styleId="1">
    <w:name w:val="index 1"/>
    <w:basedOn w:val="a"/>
    <w:next w:val="a"/>
    <w:autoRedefine/>
    <w:semiHidden/>
    <w:rsid w:val="006A1095"/>
    <w:pPr>
      <w:ind w:firstLine="709"/>
      <w:jc w:val="both"/>
    </w:pPr>
    <w:rPr>
      <w:sz w:val="32"/>
      <w:szCs w:val="32"/>
    </w:rPr>
  </w:style>
  <w:style w:type="paragraph" w:styleId="a5">
    <w:name w:val="Body Text Indent"/>
    <w:basedOn w:val="a"/>
    <w:rsid w:val="006A1095"/>
    <w:pPr>
      <w:spacing w:line="360" w:lineRule="auto"/>
      <w:ind w:firstLine="720"/>
    </w:pPr>
    <w:rPr>
      <w:sz w:val="28"/>
      <w:szCs w:val="20"/>
    </w:rPr>
  </w:style>
  <w:style w:type="paragraph" w:styleId="a6">
    <w:name w:val="Title"/>
    <w:basedOn w:val="a"/>
    <w:qFormat/>
    <w:rsid w:val="006A1095"/>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image" Target="media/image18.wmf"/><Relationship Id="rId21" Type="http://schemas.openxmlformats.org/officeDocument/2006/relationships/image" Target="media/image9.wmf"/><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image" Target="media/image22.wmf"/><Relationship Id="rId50" Type="http://schemas.openxmlformats.org/officeDocument/2006/relationships/oleObject" Target="embeddings/oleObject23.bin"/><Relationship Id="rId55" Type="http://schemas.openxmlformats.org/officeDocument/2006/relationships/image" Target="media/image26.wmf"/><Relationship Id="rId63" Type="http://schemas.openxmlformats.org/officeDocument/2006/relationships/image" Target="media/image30.wmf"/><Relationship Id="rId68" Type="http://schemas.openxmlformats.org/officeDocument/2006/relationships/oleObject" Target="embeddings/oleObject32.bin"/><Relationship Id="rId76" Type="http://schemas.openxmlformats.org/officeDocument/2006/relationships/oleObject" Target="embeddings/oleObject36.bin"/><Relationship Id="rId84" Type="http://schemas.openxmlformats.org/officeDocument/2006/relationships/oleObject" Target="embeddings/oleObject40.bin"/><Relationship Id="rId89" Type="http://schemas.openxmlformats.org/officeDocument/2006/relationships/fontTable" Target="fontTable.xml"/><Relationship Id="rId7" Type="http://schemas.openxmlformats.org/officeDocument/2006/relationships/image" Target="media/image2.wmf"/><Relationship Id="rId71" Type="http://schemas.openxmlformats.org/officeDocument/2006/relationships/image" Target="media/image34.wmf"/><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3.wmf"/><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oleObject" Target="embeddings/oleObject18.bin"/><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oleObject" Target="embeddings/oleObject27.bin"/><Relationship Id="rId66" Type="http://schemas.openxmlformats.org/officeDocument/2006/relationships/oleObject" Target="embeddings/oleObject31.bin"/><Relationship Id="rId74" Type="http://schemas.openxmlformats.org/officeDocument/2006/relationships/oleObject" Target="embeddings/oleObject35.bin"/><Relationship Id="rId79" Type="http://schemas.openxmlformats.org/officeDocument/2006/relationships/image" Target="media/image38.wmf"/><Relationship Id="rId87" Type="http://schemas.openxmlformats.org/officeDocument/2006/relationships/image" Target="media/image42.wmf"/><Relationship Id="rId5" Type="http://schemas.openxmlformats.org/officeDocument/2006/relationships/image" Target="media/image1.wmf"/><Relationship Id="rId61" Type="http://schemas.openxmlformats.org/officeDocument/2006/relationships/image" Target="media/image29.wmf"/><Relationship Id="rId82" Type="http://schemas.openxmlformats.org/officeDocument/2006/relationships/oleObject" Target="embeddings/oleObject39.bin"/><Relationship Id="rId90" Type="http://schemas.openxmlformats.org/officeDocument/2006/relationships/theme" Target="theme/theme1.xml"/><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2.bin"/><Relationship Id="rId56" Type="http://schemas.openxmlformats.org/officeDocument/2006/relationships/oleObject" Target="embeddings/oleObject26.bin"/><Relationship Id="rId64" Type="http://schemas.openxmlformats.org/officeDocument/2006/relationships/oleObject" Target="embeddings/oleObject30.bin"/><Relationship Id="rId69" Type="http://schemas.openxmlformats.org/officeDocument/2006/relationships/image" Target="media/image33.wmf"/><Relationship Id="rId77" Type="http://schemas.openxmlformats.org/officeDocument/2006/relationships/image" Target="media/image37.wmf"/><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oleObject" Target="embeddings/oleObject34.bin"/><Relationship Id="rId80" Type="http://schemas.openxmlformats.org/officeDocument/2006/relationships/oleObject" Target="embeddings/oleObject38.bin"/><Relationship Id="rId85" Type="http://schemas.openxmlformats.org/officeDocument/2006/relationships/image" Target="media/image41.wmf"/><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59" Type="http://schemas.openxmlformats.org/officeDocument/2006/relationships/image" Target="media/image28.wmf"/><Relationship Id="rId67" Type="http://schemas.openxmlformats.org/officeDocument/2006/relationships/image" Target="media/image32.wmf"/><Relationship Id="rId20" Type="http://schemas.openxmlformats.org/officeDocument/2006/relationships/oleObject" Target="embeddings/oleObject8.bin"/><Relationship Id="rId41" Type="http://schemas.openxmlformats.org/officeDocument/2006/relationships/image" Target="media/image19.wmf"/><Relationship Id="rId54" Type="http://schemas.openxmlformats.org/officeDocument/2006/relationships/oleObject" Target="embeddings/oleObject25.bin"/><Relationship Id="rId62" Type="http://schemas.openxmlformats.org/officeDocument/2006/relationships/oleObject" Target="embeddings/oleObject29.bin"/><Relationship Id="rId70" Type="http://schemas.openxmlformats.org/officeDocument/2006/relationships/oleObject" Target="embeddings/oleObject33.bin"/><Relationship Id="rId75" Type="http://schemas.openxmlformats.org/officeDocument/2006/relationships/image" Target="media/image36.wmf"/><Relationship Id="rId83" Type="http://schemas.openxmlformats.org/officeDocument/2006/relationships/image" Target="media/image40.wmf"/><Relationship Id="rId88" Type="http://schemas.openxmlformats.org/officeDocument/2006/relationships/oleObject" Target="embeddings/oleObject42.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3.wmf"/><Relationship Id="rId57" Type="http://schemas.openxmlformats.org/officeDocument/2006/relationships/image" Target="media/image27.wmf"/><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8.bin"/><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oleObject" Target="embeddings/oleObject37.bin"/><Relationship Id="rId81" Type="http://schemas.openxmlformats.org/officeDocument/2006/relationships/image" Target="media/image39.wmf"/><Relationship Id="rId86" Type="http://schemas.openxmlformats.org/officeDocument/2006/relationships/oleObject" Target="embeddings/oleObject4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3974</Words>
  <Characters>22657</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Место прохождения производственной практики – кредитно-финансовое учреждение ОАО «Банк УралСиб»</vt:lpstr>
    </vt:vector>
  </TitlesOfParts>
  <Company>Башнефтегеофизика</Company>
  <LinksUpToDate>false</LinksUpToDate>
  <CharactersWithSpaces>26578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Место прохождения производственной практики – кредитно-финансовое учреждение ОАО «Банк УралСиб»</dc:title>
  <dc:subject/>
  <dc:creator>user</dc:creator>
  <cp:keywords/>
  <cp:lastModifiedBy>admin</cp:lastModifiedBy>
  <cp:revision>2</cp:revision>
  <dcterms:created xsi:type="dcterms:W3CDTF">2014-04-23T19:47:00Z</dcterms:created>
  <dcterms:modified xsi:type="dcterms:W3CDTF">2014-04-23T19:47:00Z</dcterms:modified>
</cp:coreProperties>
</file>