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CE" w:rsidRDefault="002807A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Університет “Львівська Політехніка”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ДОСЛІДЖЕННЯ РЕЗОНАТОРІВ НВЧ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ВСТУП.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Коливальні системи діапазону НВЧ конструктивно реалізуються у вигляді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областей простору, обмеженого зі всіх сторін металевою оболонкою. Такі коли-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вальні системи  дістали назву резонаторів НВЧ. Дана робота знайомить з основ-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ними типами резонаторів НВЧ і дозволяє встановити зв’язок між їх конструктив-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ними і електричними параметрами.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ТЕОРИТИЧНІ ОСНОВИ.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Коливальні системи низькочастотного діапазону будуються на основі елементів із зосередженими параметрами. В найпрстішому випадку, коли коливальна система складається з котушки і конденсатора, її резонансна частота визначається за формулою: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>
        <w:rPr>
          <w:sz w:val="28"/>
          <w:lang w:val="uk-UA"/>
        </w:rPr>
        <w:sym w:font="Symbol" w:char="F077"/>
      </w:r>
      <w:r>
        <w:rPr>
          <w:sz w:val="28"/>
          <w:lang w:val="uk-UA"/>
        </w:rPr>
        <w:t xml:space="preserve"> </w:t>
      </w:r>
      <w:r>
        <w:rPr>
          <w:position w:val="-28"/>
          <w:sz w:val="28"/>
          <w:lang w:val="uk-UA"/>
        </w:rPr>
        <w:object w:dxaOrig="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3pt" o:ole="" fillcolor="window">
            <v:imagedata r:id="rId5" o:title=""/>
          </v:shape>
          <o:OLEObject Type="Embed" ProgID="Equation.3" ShapeID="_x0000_i1025" DrawAspect="Content" ObjectID="_1459711991" r:id="rId6"/>
        </w:object>
      </w:r>
      <w:r>
        <w:rPr>
          <w:sz w:val="28"/>
          <w:lang w:val="uk-UA"/>
        </w:rPr>
        <w:t xml:space="preserve"> .                                         /4-1/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З цієї формули випливає, що для підвищення резонансної частоти необхідно зменшувати індуктивність і ємнність елементів. Але це можливо лише до діапа-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зону  надвисоких частот. В діапазоні НВЧ індуктивність і ємність провідників, які з’єднують елементи, стає співрозмірною з реактивностями самих елементів або навіть може перевищувати їх . Тому коливальні системии на основі елемен-тів із зосередженими  параметрами виявляються неприйнятними для діапазону НВЧ.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Неважко впевнитися в тому, що роль коливальних систем в діапазоні НВЧ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можуть відігравати відрізки ліній передач. дійсно, якщо на вхід корткозамкнутої лінії передач, довжиною </w:t>
      </w:r>
      <w:r>
        <w:rPr>
          <w:sz w:val="28"/>
          <w:lang w:val="uk-UA"/>
        </w:rPr>
        <w:sym w:font="Symbol" w:char="F06C"/>
      </w:r>
      <w:r>
        <w:rPr>
          <w:sz w:val="28"/>
          <w:lang w:val="uk-UA"/>
        </w:rPr>
        <w:t xml:space="preserve">/4, подати електромагнітну хвилю, то в лінії встановлюється  режим  стоячої хвилі з розподілом струму і напруги, який пока-заний на рис.1: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B472CE" w:rsidRDefault="00B05D94">
      <w:pPr>
        <w:rPr>
          <w:sz w:val="28"/>
          <w:lang w:val="uk-UA"/>
        </w:rPr>
      </w:pPr>
      <w:r>
        <w:rPr>
          <w:noProof/>
          <w:sz w:val="28"/>
        </w:rPr>
        <w:pict>
          <v:shape id="_x0000_s1042" style="position:absolute;margin-left:149.2pt;margin-top:9.3pt;width:156.2pt;height:21.3pt;z-index:251659264;mso-position-horizontal-relative:text;mso-position-vertical-relative:text" coordsize="3124,426" o:allowincell="f" path="m,426c769,260,1538,95,3124,e" filled="f">
            <v:stroke dashstyle="dash"/>
            <v:path arrowok="t"/>
          </v:shape>
        </w:pict>
      </w:r>
      <w:r>
        <w:rPr>
          <w:noProof/>
          <w:sz w:val="28"/>
        </w:rPr>
        <w:pict>
          <v:line id="_x0000_s1038" style="position:absolute;flip:y;z-index:251658240" from="305.4pt,9.3pt" to="305.4pt,30.6pt" o:allowincell="f"/>
        </w:pict>
      </w:r>
      <w:r>
        <w:rPr>
          <w:noProof/>
          <w:sz w:val="28"/>
        </w:rPr>
        <w:pict>
          <v:line id="_x0000_s1032" style="position:absolute;rotation:34188fd;z-index:251656192" from="149.2pt,9.3pt" to="149.25pt,30.6pt" o:allowincell="f"/>
        </w:pict>
      </w:r>
      <w:r>
        <w:rPr>
          <w:noProof/>
          <w:sz w:val="28"/>
        </w:rPr>
        <w:pict>
          <v:shape id="_x0000_s1037" style="position:absolute;margin-left:149.2pt;margin-top:9.3pt;width:156.2pt;height:21.3pt;z-index:251657216;mso-position-horizontal-relative:text;mso-position-vertical-relative:text" coordsize="3124,426" o:allowincell="f" path="m,c804,71,1609,142,3124,426e" filled="f">
            <v:path arrowok="t"/>
          </v:shape>
        </w:pict>
      </w:r>
      <w:r w:rsidR="002807AC">
        <w:rPr>
          <w:sz w:val="28"/>
          <w:lang w:val="uk-UA"/>
        </w:rPr>
        <w:t xml:space="preserve">                                      U                                                 I</w:t>
      </w:r>
    </w:p>
    <w:p w:rsidR="00B472CE" w:rsidRDefault="00B05D94">
      <w:pPr>
        <w:rPr>
          <w:sz w:val="28"/>
          <w:lang w:val="uk-UA"/>
        </w:rPr>
      </w:pPr>
      <w:r>
        <w:rPr>
          <w:noProof/>
          <w:sz w:val="28"/>
        </w:rPr>
        <w:pict>
          <v:line id="_x0000_s1043" style="position:absolute;z-index:251660288" from="305.4pt,14.5pt" to="305.4pt,42.9pt" o:allowincell="f" strokeweight="1pt"/>
        </w:pict>
      </w:r>
      <w:r>
        <w:rPr>
          <w:noProof/>
          <w:sz w:val="28"/>
        </w:rPr>
        <w:pict>
          <v:line id="_x0000_s1031" style="position:absolute;z-index:251655168" from="149.2pt,14.5pt" to="305.4pt,14.5pt" o:allowincell="f" strokeweight="1pt"/>
        </w:pic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</w:t>
      </w:r>
    </w:p>
    <w:p w:rsidR="00B472CE" w:rsidRDefault="00B05D94">
      <w:pPr>
        <w:rPr>
          <w:sz w:val="28"/>
          <w:lang w:val="uk-UA"/>
        </w:rPr>
      </w:pPr>
      <w:r>
        <w:rPr>
          <w:noProof/>
          <w:sz w:val="28"/>
        </w:rPr>
        <w:pict>
          <v:line id="_x0000_s1049" style="position:absolute;z-index:251663360" from="305.4pt,10.7pt" to="305.4pt,32pt" o:allowincell="f"/>
        </w:pict>
      </w:r>
      <w:r>
        <w:rPr>
          <w:noProof/>
          <w:sz w:val="28"/>
        </w:rPr>
        <w:pict>
          <v:line id="_x0000_s1048" style="position:absolute;z-index:251662336" from="149.2pt,10.7pt" to="149.2pt,32pt" o:allowincell="f"/>
        </w:pict>
      </w:r>
      <w:r>
        <w:rPr>
          <w:noProof/>
          <w:sz w:val="28"/>
        </w:rPr>
        <w:pict>
          <v:line id="_x0000_s1047" style="position:absolute;flip:x;z-index:251661312" from="149.2pt,10.7pt" to="305.4pt,10.7pt" o:allowincell="f" strokeweight="1pt"/>
        </w:pic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r>
        <w:rPr>
          <w:sz w:val="28"/>
          <w:lang w:val="uk-UA"/>
        </w:rPr>
        <w:sym w:font="Symbol" w:char="F06C"/>
      </w:r>
      <w:r>
        <w:rPr>
          <w:sz w:val="28"/>
          <w:lang w:val="uk-UA"/>
        </w:rPr>
        <w:t>/4</w:t>
      </w:r>
    </w:p>
    <w:p w:rsidR="00B472CE" w:rsidRDefault="00B05D94">
      <w:pPr>
        <w:rPr>
          <w:sz w:val="28"/>
          <w:lang w:val="uk-UA"/>
        </w:rPr>
      </w:pPr>
      <w:r>
        <w:rPr>
          <w:noProof/>
          <w:sz w:val="28"/>
        </w:rPr>
        <w:pict>
          <v:line id="_x0000_s1051" style="position:absolute;z-index:251664384" from="149.2pt,-.2pt" to="305.4pt,-.2pt" o:allowincell="f">
            <v:stroke startarrow="block" endarrow="block"/>
          </v:line>
        </w:pict>
      </w:r>
      <w:r w:rsidR="002807AC">
        <w:rPr>
          <w:sz w:val="28"/>
          <w:lang w:val="uk-UA"/>
        </w:rPr>
        <w:t xml:space="preserve">                                                       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рис.1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цей розподіл показує, що на вході лінії ( в площині холостого ходу) зосереджена восновному енергія електричного поля, а в площині короткого замикання – енер-гія магнітного поля. І процес розприділення електромагнітної  хвилі від площини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>холостого ходу до площини короткого замикання і назад можна розглядати як процес трансформації енергії електричного поля в енергію магнітногоі навпвки. Таким чином, в чвертьхвильовому відрізку лінії передач проходять ті ж процеси,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що і в коливальному контурі, який складається із конденсатора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і котушки.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Оскільки розміри коливальних систем на НВЧ виявляються співрозмірними з довжиною хвиль, то їх належить віднести  до нестандартних систем, здатних випромінювати електромагнітні хвилі в навколишній простір. Для того, щоби попередити випромінювання і звязані з ним втрати енергії  електромагнітного поля, такі коловальні системи виконують на основі закритих ліній передач, в яких електромагнітне поле екранізовано від навколишнього простору. З цією метою найчастіше використовують відрізки коаксиальних або хвильових ліній передач, і такі коливальні системи носять назву резонаторів НВЧ.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На відміну від низькочастотних коливальних систем, які описуються основ-ною системою параметрів:  </w:t>
      </w:r>
      <w:r>
        <w:rPr>
          <w:position w:val="-4"/>
          <w:sz w:val="28"/>
          <w:lang w:val="en-US"/>
        </w:rPr>
        <w:object w:dxaOrig="240" w:dyaOrig="260">
          <v:shape id="_x0000_i1026" type="#_x0000_t75" style="width:12pt;height:12.75pt" o:ole="" fillcolor="window">
            <v:imagedata r:id="rId7" o:title=""/>
          </v:shape>
          <o:OLEObject Type="Embed" ProgID="Equation.3" ShapeID="_x0000_i1026" DrawAspect="Content" ObjectID="_1459711992" r:id="rId8"/>
        </w:object>
      </w:r>
      <w:r>
        <w:rPr>
          <w:sz w:val="28"/>
          <w:lang w:val="en-US"/>
        </w:rPr>
        <w:t xml:space="preserve">, </w:t>
      </w:r>
      <w:r>
        <w:rPr>
          <w:position w:val="-6"/>
          <w:sz w:val="28"/>
          <w:lang w:val="en-US"/>
        </w:rPr>
        <w:object w:dxaOrig="240" w:dyaOrig="279">
          <v:shape id="_x0000_i1027" type="#_x0000_t75" style="width:12pt;height:14.25pt" o:ole="" fillcolor="window">
            <v:imagedata r:id="rId9" o:title=""/>
          </v:shape>
          <o:OLEObject Type="Embed" ProgID="Equation.3" ShapeID="_x0000_i1027" DrawAspect="Content" ObjectID="_1459711993" r:id="rId10"/>
        </w:object>
      </w:r>
      <w:r>
        <w:rPr>
          <w:sz w:val="28"/>
          <w:lang w:val="en-US"/>
        </w:rPr>
        <w:t xml:space="preserve">,  </w:t>
      </w:r>
      <w:r>
        <w:rPr>
          <w:position w:val="-4"/>
          <w:sz w:val="28"/>
          <w:lang w:val="en-US"/>
        </w:rPr>
        <w:object w:dxaOrig="220" w:dyaOrig="260">
          <v:shape id="_x0000_i1028" type="#_x0000_t75" style="width:11.25pt;height:12.75pt" o:ole="" fillcolor="window">
            <v:imagedata r:id="rId11" o:title=""/>
          </v:shape>
          <o:OLEObject Type="Embed" ProgID="Equation.3" ShapeID="_x0000_i1028" DrawAspect="Content" ObjectID="_1459711994" r:id="rId12"/>
        </w:object>
      </w:r>
      <w:r>
        <w:rPr>
          <w:sz w:val="28"/>
          <w:lang w:val="en-US"/>
        </w:rPr>
        <w:t>,</w:t>
      </w:r>
      <w:r>
        <w:rPr>
          <w:sz w:val="28"/>
          <w:lang w:val="uk-UA"/>
        </w:rPr>
        <w:t xml:space="preserve"> коливальні системи НВЧ діапазону опису-ються наступними основними параметрами: резонансною довжиною хвилі - </w:t>
      </w:r>
      <w:r>
        <w:rPr>
          <w:position w:val="-12"/>
          <w:sz w:val="28"/>
          <w:lang w:val="uk-UA"/>
        </w:rPr>
        <w:object w:dxaOrig="279" w:dyaOrig="360">
          <v:shape id="_x0000_i1029" type="#_x0000_t75" style="width:18.75pt;height:24pt" o:ole="" fillcolor="window">
            <v:imagedata r:id="rId13" o:title=""/>
          </v:shape>
          <o:OLEObject Type="Embed" ProgID="Equation.3" ShapeID="_x0000_i1029" DrawAspect="Content" ObjectID="_1459711995" r:id="rId14"/>
        </w:object>
      </w:r>
      <w:r>
        <w:rPr>
          <w:sz w:val="28"/>
          <w:lang w:val="uk-UA"/>
        </w:rPr>
        <w:t>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власною (ненавантаженою) добротністю - </w:t>
      </w:r>
      <w:r>
        <w:rPr>
          <w:position w:val="-12"/>
          <w:sz w:val="28"/>
          <w:lang w:val="en-US"/>
        </w:rPr>
        <w:object w:dxaOrig="320" w:dyaOrig="360">
          <v:shape id="_x0000_i1030" type="#_x0000_t75" style="width:18pt;height:19.5pt" o:ole="" fillcolor="window">
            <v:imagedata r:id="rId15" o:title=""/>
          </v:shape>
          <o:OLEObject Type="Embed" ProgID="Equation.3" ShapeID="_x0000_i1030" DrawAspect="Content" ObjectID="_1459711996" r:id="rId16"/>
        </w:object>
      </w:r>
      <w:r>
        <w:rPr>
          <w:sz w:val="28"/>
          <w:lang w:val="uk-UA"/>
        </w:rPr>
        <w:t xml:space="preserve"> і  еквівалентною активною провід-ністю - </w:t>
      </w:r>
      <w:r>
        <w:rPr>
          <w:position w:val="-6"/>
          <w:sz w:val="28"/>
          <w:lang w:val="uk-UA"/>
        </w:rPr>
        <w:object w:dxaOrig="240" w:dyaOrig="220">
          <v:shape id="_x0000_i1031" type="#_x0000_t75" style="width:18pt;height:16.5pt" o:ole="" fillcolor="window">
            <v:imagedata r:id="rId17" o:title=""/>
          </v:shape>
          <o:OLEObject Type="Embed" ProgID="Equation.3" ShapeID="_x0000_i1031" DrawAspect="Content" ObjectID="_1459711997" r:id="rId18"/>
        </w:object>
      </w:r>
      <w:r>
        <w:rPr>
          <w:sz w:val="28"/>
          <w:lang w:val="uk-UA"/>
        </w:rPr>
        <w:t xml:space="preserve"> 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Резонансна довжина хвилі залежить від геометрії (розмірів і форми  ) резо-натора  і параметрів середовища, яке його заповнює.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Власна добротність визначається  із відношення: 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</w:t>
      </w:r>
      <w:r>
        <w:rPr>
          <w:position w:val="-34"/>
          <w:sz w:val="28"/>
          <w:lang w:val="uk-UA"/>
        </w:rPr>
        <w:object w:dxaOrig="1500" w:dyaOrig="720">
          <v:shape id="_x0000_i1032" type="#_x0000_t75" style="width:84pt;height:40.5pt" o:ole="" fillcolor="window">
            <v:imagedata r:id="rId19" o:title=""/>
          </v:shape>
          <o:OLEObject Type="Embed" ProgID="Equation.3" ShapeID="_x0000_i1032" DrawAspect="Content" ObjectID="_1459711998" r:id="rId20"/>
        </w:object>
      </w:r>
      <w:r>
        <w:rPr>
          <w:sz w:val="28"/>
          <w:lang w:val="uk-UA"/>
        </w:rPr>
        <w:t xml:space="preserve">  ,        </w:t>
      </w:r>
      <w:r>
        <w:rPr>
          <w:position w:val="-10"/>
          <w:sz w:val="28"/>
          <w:lang w:val="uk-UA"/>
        </w:rPr>
        <w:object w:dxaOrig="180" w:dyaOrig="340">
          <v:shape id="_x0000_i1033" type="#_x0000_t75" style="width:9pt;height:17.25pt" o:ole="" fillcolor="window">
            <v:imagedata r:id="rId21" o:title=""/>
          </v:shape>
          <o:OLEObject Type="Embed" ProgID="Equation.3" ShapeID="_x0000_i1033" DrawAspect="Content" ObjectID="_1459711999" r:id="rId22"/>
        </w:object>
      </w:r>
      <w:r>
        <w:rPr>
          <w:sz w:val="28"/>
          <w:lang w:val="uk-UA"/>
        </w:rPr>
        <w:t xml:space="preserve">                       / 4-2 /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де </w:t>
      </w:r>
      <w:r>
        <w:rPr>
          <w:sz w:val="28"/>
          <w:lang w:val="en-US"/>
        </w:rPr>
        <w:t xml:space="preserve"> </w:t>
      </w:r>
      <w:r>
        <w:rPr>
          <w:position w:val="-10"/>
          <w:sz w:val="28"/>
          <w:lang w:val="uk-UA"/>
        </w:rPr>
        <w:object w:dxaOrig="560" w:dyaOrig="340">
          <v:shape id="_x0000_i1034" type="#_x0000_t75" style="width:30pt;height:18pt" o:ole="" fillcolor="window">
            <v:imagedata r:id="rId23" o:title=""/>
          </v:shape>
          <o:OLEObject Type="Embed" ProgID="Equation.3" ShapeID="_x0000_i1034" DrawAspect="Content" ObjectID="_1459712000" r:id="rId24"/>
        </w:object>
      </w:r>
      <w:r>
        <w:rPr>
          <w:sz w:val="28"/>
          <w:lang w:val="uk-UA"/>
        </w:rPr>
        <w:t>-енергія електромагнітного  поля</w:t>
      </w:r>
      <w:r>
        <w:rPr>
          <w:sz w:val="28"/>
          <w:lang w:val="en-US"/>
        </w:rPr>
        <w:t xml:space="preserve">, </w:t>
      </w:r>
      <w:r>
        <w:rPr>
          <w:sz w:val="28"/>
          <w:lang w:val="uk-UA"/>
        </w:rPr>
        <w:t>нагромаджена в коливальній системі;</w:t>
      </w:r>
    </w:p>
    <w:p w:rsidR="00B472CE" w:rsidRDefault="002807AC">
      <w:pPr>
        <w:rPr>
          <w:sz w:val="28"/>
          <w:lang w:val="uk-UA"/>
        </w:rPr>
      </w:pPr>
      <w:r>
        <w:rPr>
          <w:position w:val="-14"/>
          <w:sz w:val="28"/>
          <w:lang w:val="en-US"/>
        </w:rPr>
        <w:object w:dxaOrig="639" w:dyaOrig="380">
          <v:shape id="_x0000_i1035" type="#_x0000_t75" style="width:35.25pt;height:21.75pt" o:ole="" fillcolor="window">
            <v:imagedata r:id="rId25" o:title=""/>
          </v:shape>
          <o:OLEObject Type="Embed" ProgID="Equation.3" ShapeID="_x0000_i1035" DrawAspect="Content" ObjectID="_1459712001" r:id="rId26"/>
        </w:object>
      </w:r>
      <w:r>
        <w:rPr>
          <w:sz w:val="28"/>
          <w:lang w:val="en-US"/>
        </w:rPr>
        <w:t xml:space="preserve">- </w:t>
      </w:r>
      <w:r>
        <w:rPr>
          <w:sz w:val="28"/>
          <w:lang w:val="uk-UA"/>
        </w:rPr>
        <w:t>енергія, що розсіюється в коливальній системі за період коливань.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Оскільки  енергія, накопичена  в коливальній систепмі, пропорційна її об’</w:t>
      </w:r>
      <w:r>
        <w:rPr>
          <w:sz w:val="28"/>
          <w:lang w:val="en-US"/>
        </w:rPr>
        <w:softHyphen/>
      </w:r>
      <w:r>
        <w:rPr>
          <w:sz w:val="28"/>
          <w:lang w:val="uk-UA"/>
        </w:rPr>
        <w:t>єму, а розсіювана енергія в основному визначається втратами  в стінках (при  повітря-ному заповненні), то власна добротність виявляється пропорційною величині: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>
        <w:rPr>
          <w:position w:val="-24"/>
          <w:sz w:val="28"/>
          <w:lang w:val="uk-UA"/>
        </w:rPr>
        <w:object w:dxaOrig="1040" w:dyaOrig="620">
          <v:shape id="_x0000_i1036" type="#_x0000_t75" style="width:51.75pt;height:30.75pt" o:ole="" fillcolor="window">
            <v:imagedata r:id="rId27" o:title=""/>
          </v:shape>
          <o:OLEObject Type="Embed" ProgID="Equation.3" ShapeID="_x0000_i1036" DrawAspect="Content" ObjectID="_1459712002" r:id="rId28"/>
        </w:object>
      </w:r>
      <w:r>
        <w:rPr>
          <w:sz w:val="28"/>
          <w:lang w:val="uk-UA"/>
        </w:rPr>
        <w:t>,                                          /4-3/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де    </w:t>
      </w:r>
      <w:r>
        <w:rPr>
          <w:position w:val="-6"/>
          <w:sz w:val="28"/>
          <w:lang w:val="en-US"/>
        </w:rPr>
        <w:object w:dxaOrig="240" w:dyaOrig="279">
          <v:shape id="_x0000_i1037" type="#_x0000_t75" style="width:12pt;height:14.25pt" o:ole="" fillcolor="window">
            <v:imagedata r:id="rId29" o:title=""/>
          </v:shape>
          <o:OLEObject Type="Embed" ProgID="Equation.3" ShapeID="_x0000_i1037" DrawAspect="Content" ObjectID="_1459712003" r:id="rId30"/>
        </w:objec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– об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єм резонатора;</w:t>
      </w:r>
    </w:p>
    <w:p w:rsidR="00B472CE" w:rsidRDefault="002807AC">
      <w:pPr>
        <w:rPr>
          <w:sz w:val="28"/>
          <w:lang w:val="uk-UA"/>
        </w:rPr>
      </w:pPr>
      <w:r>
        <w:rPr>
          <w:position w:val="-6"/>
          <w:sz w:val="28"/>
          <w:lang w:val="uk-UA"/>
        </w:rPr>
        <w:object w:dxaOrig="220" w:dyaOrig="279">
          <v:shape id="_x0000_i1038" type="#_x0000_t75" style="width:11.25pt;height:14.25pt" o:ole="" fillcolor="window">
            <v:imagedata r:id="rId31" o:title=""/>
          </v:shape>
          <o:OLEObject Type="Embed" ProgID="Equation.3" ShapeID="_x0000_i1038" DrawAspect="Content" ObjectID="_1459712004" r:id="rId32"/>
        </w:object>
      </w:r>
      <w:r>
        <w:rPr>
          <w:sz w:val="28"/>
          <w:lang w:val="uk-UA"/>
        </w:rPr>
        <w:t xml:space="preserve"> - площа внутрішньої поверхні резонатора;</w:t>
      </w:r>
    </w:p>
    <w:p w:rsidR="00B472CE" w:rsidRDefault="002807AC">
      <w:pPr>
        <w:rPr>
          <w:sz w:val="28"/>
          <w:lang w:val="uk-UA"/>
        </w:rPr>
      </w:pPr>
      <w:r>
        <w:rPr>
          <w:position w:val="-6"/>
          <w:sz w:val="28"/>
          <w:lang w:val="uk-UA"/>
        </w:rPr>
        <w:object w:dxaOrig="220" w:dyaOrig="279">
          <v:shape id="_x0000_i1039" type="#_x0000_t75" style="width:11.25pt;height:14.25pt" o:ole="" fillcolor="window">
            <v:imagedata r:id="rId33" o:title=""/>
          </v:shape>
          <o:OLEObject Type="Embed" ProgID="Equation.3" ShapeID="_x0000_i1039" DrawAspect="Content" ObjectID="_1459712005" r:id="rId34"/>
        </w:object>
      </w:r>
      <w:r>
        <w:rPr>
          <w:sz w:val="28"/>
          <w:lang w:val="uk-UA"/>
        </w:rPr>
        <w:t xml:space="preserve"> - глибина проникнення струму на заданній частоті.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Із останнього співвідношення випливає, що з точки зору досягнення макси-мальної добротності потрібно вибирати такі форми резонаторів, для яких відно-шення  </w:t>
      </w:r>
      <w:r>
        <w:rPr>
          <w:position w:val="-6"/>
          <w:sz w:val="28"/>
          <w:lang w:val="en-US"/>
        </w:rPr>
        <w:object w:dxaOrig="520" w:dyaOrig="279">
          <v:shape id="_x0000_i1040" type="#_x0000_t75" style="width:26.25pt;height:14.25pt" o:ole="" fillcolor="window">
            <v:imagedata r:id="rId35" o:title=""/>
          </v:shape>
          <o:OLEObject Type="Embed" ProgID="Equation.3" ShapeID="_x0000_i1040" DrawAspect="Content" ObjectID="_1459712006" r:id="rId36"/>
        </w:object>
      </w:r>
      <w:r>
        <w:rPr>
          <w:sz w:val="28"/>
          <w:lang w:val="en-US"/>
        </w:rPr>
        <w:t xml:space="preserve">  </w:t>
      </w:r>
      <w:r>
        <w:rPr>
          <w:sz w:val="28"/>
          <w:lang w:val="uk-UA"/>
        </w:rPr>
        <w:t>було б найбільшим.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Порівняння низькочастотних і НВЧ коливальних систем по добротності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показує, що останні володіють більшою добротністю, яка зазвичай лежить в ме-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жах  </w:t>
      </w:r>
      <w:r>
        <w:rPr>
          <w:position w:val="-12"/>
          <w:sz w:val="28"/>
          <w:lang w:val="en-US"/>
        </w:rPr>
        <w:object w:dxaOrig="1420" w:dyaOrig="380">
          <v:shape id="_x0000_i1041" type="#_x0000_t75" style="width:71.25pt;height:18.75pt" o:ole="" fillcolor="window">
            <v:imagedata r:id="rId37" o:title=""/>
          </v:shape>
          <o:OLEObject Type="Embed" ProgID="Equation.3" ShapeID="_x0000_i1041" DrawAspect="Content" ObjectID="_1459712007" r:id="rId38"/>
        </w:object>
      </w:r>
      <w:r>
        <w:rPr>
          <w:sz w:val="28"/>
          <w:lang w:val="uk-UA"/>
        </w:rPr>
        <w:t>. Це пояснюється тим, що джерелами втрат в низькочастотних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контурах являються провідники і сердечники котушок, поля розсіювання і діе-лектрики конденсаторів. В той час як в НВЧ резонаторах джерелами втрат явля-ються лишеїх стінки (втрати на випромінювання відсутні,так як системи явля-ються замкнутими, а втрати при використанні повітряного заповнення - незнач-ні).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З метою зниження втрат в стінках їх обробляють по високому класу час-тоти (переважно </w:t>
      </w:r>
      <w:r>
        <w:rPr>
          <w:sz w:val="28"/>
          <w:lang w:val="uk-UA"/>
        </w:rPr>
        <w:sym w:font="Symbol" w:char="F0D1"/>
      </w:r>
      <w:r>
        <w:rPr>
          <w:sz w:val="28"/>
          <w:lang w:val="uk-UA"/>
        </w:rPr>
        <w:t xml:space="preserve">8 - </w:t>
      </w:r>
      <w:r>
        <w:rPr>
          <w:sz w:val="28"/>
          <w:lang w:val="uk-UA"/>
        </w:rPr>
        <w:sym w:font="Symbol" w:char="F0D1"/>
      </w:r>
      <w:r>
        <w:rPr>
          <w:sz w:val="28"/>
          <w:lang w:val="uk-UA"/>
        </w:rPr>
        <w:t>12) і застосовують антикорозійні покриття.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І, нарешті, третім основним параметром резонатора є еквівалентна актив-на провідність. Її визначають як зосереджену активну провідність, в якій розсію-ється потужність, рівна потужності втрат в резонаторі, якщо до клем цієї провід-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ності прикласти високочастотну напругу, яка рівна напрузі в заданій площині резонатора :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>
        <w:rPr>
          <w:position w:val="-30"/>
          <w:sz w:val="28"/>
          <w:lang w:val="uk-UA"/>
        </w:rPr>
        <w:object w:dxaOrig="1100" w:dyaOrig="680">
          <v:shape id="_x0000_i1042" type="#_x0000_t75" style="width:62.25pt;height:39pt" o:ole="" fillcolor="window">
            <v:imagedata r:id="rId39" o:title=""/>
          </v:shape>
          <o:OLEObject Type="Embed" ProgID="Equation.3" ShapeID="_x0000_i1042" DrawAspect="Content" ObjectID="_1459712008" r:id="rId40"/>
        </w:object>
      </w:r>
      <w:r>
        <w:rPr>
          <w:sz w:val="28"/>
          <w:lang w:val="uk-UA"/>
        </w:rPr>
        <w:t>.                                          /4-3/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Еквівалентна провідність на відміну від резонансної довжини хвилі і власної добротності є параметром неінваріантним, тобто, залежним від площини відліку.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Це являється наслідком співрозмірності геометричних розмірів резонатора і дов-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жини  хвилі. (рис.1).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Якщо резонатор включається в тракт НВЧ, то в цьому випадку приходиться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вводити додаткові павраметри, які характеризують зв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язок резонатора з трактом.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Так, наприклад, якщо резонатор включений по схемі активного двоподюсника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/рис.2/, то його зв’язок з навантаженням характеризують параметрами наванта-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жена /</w:t>
      </w:r>
      <w:r>
        <w:rPr>
          <w:position w:val="-10"/>
          <w:sz w:val="28"/>
          <w:lang w:val="en-US"/>
        </w:rPr>
        <w:object w:dxaOrig="360" w:dyaOrig="340">
          <v:shape id="_x0000_i1043" type="#_x0000_t75" style="width:18pt;height:17.25pt" o:ole="" fillcolor="window">
            <v:imagedata r:id="rId41" o:title=""/>
          </v:shape>
          <o:OLEObject Type="Embed" ProgID="Equation.3" ShapeID="_x0000_i1043" DrawAspect="Content" ObjectID="_1459712009" r:id="rId42"/>
        </w:object>
      </w:r>
      <w:r>
        <w:rPr>
          <w:sz w:val="28"/>
          <w:lang w:val="uk-UA"/>
        </w:rPr>
        <w:t>/  і /</w:t>
      </w:r>
      <w:r>
        <w:rPr>
          <w:position w:val="-12"/>
          <w:sz w:val="28"/>
          <w:lang w:val="uk-UA"/>
        </w:rPr>
        <w:object w:dxaOrig="320" w:dyaOrig="360">
          <v:shape id="_x0000_i1044" type="#_x0000_t75" style="width:15.75pt;height:18pt" o:ole="" fillcolor="window">
            <v:imagedata r:id="rId43" o:title=""/>
          </v:shape>
          <o:OLEObject Type="Embed" ProgID="Equation.3" ShapeID="_x0000_i1044" DrawAspect="Content" ObjectID="_1459712010" r:id="rId44"/>
        </w:object>
      </w:r>
      <w:r>
        <w:rPr>
          <w:sz w:val="28"/>
          <w:lang w:val="uk-UA"/>
        </w:rPr>
        <w:t>/ зовнішня добротності, які визначаються із: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>
        <w:rPr>
          <w:position w:val="-30"/>
          <w:sz w:val="28"/>
          <w:lang w:val="uk-UA"/>
        </w:rPr>
        <w:object w:dxaOrig="1480" w:dyaOrig="680">
          <v:shape id="_x0000_i1045" type="#_x0000_t75" style="width:74.25pt;height:33.75pt" o:ole="" fillcolor="window">
            <v:imagedata r:id="rId45" o:title=""/>
          </v:shape>
          <o:OLEObject Type="Embed" ProgID="Equation.3" ShapeID="_x0000_i1045" DrawAspect="Content" ObjectID="_1459712011" r:id="rId46"/>
        </w:object>
      </w:r>
      <w:r>
        <w:rPr>
          <w:sz w:val="28"/>
          <w:lang w:val="uk-UA"/>
        </w:rPr>
        <w:t xml:space="preserve"> ,                                      /4-4/       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>
        <w:rPr>
          <w:position w:val="-30"/>
          <w:sz w:val="28"/>
          <w:lang w:val="uk-UA"/>
        </w:rPr>
        <w:object w:dxaOrig="1620" w:dyaOrig="680">
          <v:shape id="_x0000_i1046" type="#_x0000_t75" style="width:84pt;height:35.25pt" o:ole="" fillcolor="window">
            <v:imagedata r:id="rId47" o:title=""/>
          </v:shape>
          <o:OLEObject Type="Embed" ProgID="Equation.3" ShapeID="_x0000_i1046" DrawAspect="Content" ObjectID="_1459712012" r:id="rId48"/>
        </w:object>
      </w:r>
      <w:r>
        <w:rPr>
          <w:sz w:val="28"/>
          <w:lang w:val="uk-UA"/>
        </w:rPr>
        <w:t xml:space="preserve">                                     /4-5/  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position w:val="-10"/>
          <w:sz w:val="28"/>
          <w:lang w:val="uk-UA"/>
        </w:rPr>
        <w:object w:dxaOrig="540" w:dyaOrig="340">
          <v:shape id="_x0000_i1047" type="#_x0000_t75" style="width:27pt;height:17.25pt" o:ole="" fillcolor="window">
            <v:imagedata r:id="rId49" o:title=""/>
          </v:shape>
          <o:OLEObject Type="Embed" ProgID="Equation.3" ShapeID="_x0000_i1047" DrawAspect="Content" ObjectID="_1459712013" r:id="rId50"/>
        </w:object>
      </w:r>
      <w:r>
        <w:rPr>
          <w:sz w:val="28"/>
          <w:lang w:val="uk-UA"/>
        </w:rPr>
        <w:t>-енергія, накопичена в резонаторі;</w:t>
      </w:r>
    </w:p>
    <w:p w:rsidR="00B472CE" w:rsidRDefault="002807AC">
      <w:pPr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520" w:dyaOrig="360">
          <v:shape id="_x0000_i1048" type="#_x0000_t75" style="width:26.25pt;height:18pt" o:ole="" fillcolor="window">
            <v:imagedata r:id="rId51" o:title=""/>
          </v:shape>
          <o:OLEObject Type="Embed" ProgID="Equation.3" ShapeID="_x0000_i1048" DrawAspect="Content" ObjectID="_1459712014" r:id="rId52"/>
        </w:object>
      </w:r>
      <w:r>
        <w:rPr>
          <w:sz w:val="28"/>
          <w:lang w:val="en-US"/>
        </w:rPr>
        <w:t xml:space="preserve">- сумарна енергія, що розсіюється в резонаторі і навантажені за період; </w:t>
      </w:r>
    </w:p>
    <w:p w:rsidR="00B472CE" w:rsidRDefault="002807AC">
      <w:pPr>
        <w:rPr>
          <w:sz w:val="28"/>
          <w:lang w:val="uk-UA"/>
        </w:rPr>
      </w:pPr>
      <w:r>
        <w:rPr>
          <w:position w:val="-12"/>
          <w:sz w:val="28"/>
          <w:lang w:val="uk-UA"/>
        </w:rPr>
        <w:object w:dxaOrig="760" w:dyaOrig="360">
          <v:shape id="_x0000_i1049" type="#_x0000_t75" style="width:38.25pt;height:18pt" o:ole="" fillcolor="window">
            <v:imagedata r:id="rId53" o:title=""/>
          </v:shape>
          <o:OLEObject Type="Embed" ProgID="Equation.3" ShapeID="_x0000_i1049" DrawAspect="Content" ObjectID="_1459712015" r:id="rId54"/>
        </w:object>
      </w:r>
      <w:r>
        <w:rPr>
          <w:sz w:val="28"/>
          <w:lang w:val="uk-UA"/>
        </w:rPr>
        <w:t>-енергія, яка розсіюється в навантаженні за період.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>Не важко впевнетися в тому, що параметри власна, навантажена і зовнішня доб-ротності зв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язуються одна з одною наступним співвідношенням:</w:t>
      </w:r>
    </w:p>
    <w:p w:rsidR="00B472CE" w:rsidRDefault="00B472CE">
      <w:pPr>
        <w:rPr>
          <w:sz w:val="28"/>
          <w:lang w:val="uk-UA"/>
        </w:rPr>
      </w:pP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</w:t>
      </w:r>
      <w:r>
        <w:rPr>
          <w:position w:val="-30"/>
          <w:sz w:val="28"/>
          <w:lang w:val="uk-UA"/>
        </w:rPr>
        <w:object w:dxaOrig="1500" w:dyaOrig="680">
          <v:shape id="_x0000_i1050" type="#_x0000_t75" style="width:73.5pt;height:33.75pt" o:ole="" fillcolor="window">
            <v:imagedata r:id="rId55" o:title=""/>
          </v:shape>
          <o:OLEObject Type="Embed" ProgID="Equation.3" ShapeID="_x0000_i1050" DrawAspect="Content" ObjectID="_1459712016" r:id="rId56"/>
        </w:object>
      </w:r>
      <w:r>
        <w:rPr>
          <w:sz w:val="28"/>
          <w:lang w:val="uk-UA"/>
        </w:rPr>
        <w:t xml:space="preserve"> .                                     /4-6/</w:t>
      </w:r>
    </w:p>
    <w:p w:rsidR="00B472CE" w:rsidRDefault="00B05D94">
      <w:pPr>
        <w:rPr>
          <w:sz w:val="28"/>
          <w:lang w:val="uk-UA"/>
        </w:rPr>
      </w:pPr>
      <w:r>
        <w:rPr>
          <w:noProof/>
          <w:sz w:val="28"/>
        </w:rPr>
        <w:pict>
          <v:oval id="_x0000_s1026" style="position:absolute;margin-left:298.3pt;margin-top:3.15pt;width:71pt;height:71pt;z-index:251651072" o:allowincell="f"/>
        </w:pict>
      </w:r>
      <w:r w:rsidR="002807AC">
        <w:rPr>
          <w:sz w:val="28"/>
          <w:lang w:val="uk-UA"/>
        </w:rPr>
        <w:t xml:space="preserve">                                                                                                          P </w:t>
      </w:r>
    </w:p>
    <w:p w:rsidR="00B472CE" w:rsidRDefault="00B05D94">
      <w:pPr>
        <w:rPr>
          <w:sz w:val="28"/>
          <w:lang w:val="uk-UA"/>
        </w:rPr>
      </w:pPr>
      <w:r>
        <w:rPr>
          <w:noProof/>
          <w:sz w:val="28"/>
        </w:rPr>
        <w:pict>
          <v:rect id="_x0000_s1030" style="position:absolute;margin-left:71.1pt;margin-top:8.35pt;width:78.1pt;height:35.5pt;z-index:251654144" o:allowincell="f">
            <v:textbox>
              <w:txbxContent>
                <w:p w:rsidR="00B472CE" w:rsidRDefault="00B472CE">
                  <w:pPr>
                    <w:rPr>
                      <w:lang w:val="uk-UA"/>
                    </w:rPr>
                  </w:pPr>
                </w:p>
                <w:p w:rsidR="00B472CE" w:rsidRDefault="002807AC">
                  <w:pPr>
                    <w:pStyle w:val="3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Н</w:t>
                  </w:r>
                </w:p>
              </w:txbxContent>
            </v:textbox>
          </v:rect>
        </w:pict>
      </w:r>
    </w:p>
    <w:p w:rsidR="00B472CE" w:rsidRDefault="00B05D94">
      <w:pPr>
        <w:rPr>
          <w:sz w:val="28"/>
          <w:lang w:val="uk-UA"/>
        </w:rPr>
      </w:pPr>
      <w:r>
        <w:rPr>
          <w:noProof/>
          <w:sz w:val="28"/>
        </w:rPr>
        <w:pict>
          <v:line id="_x0000_s1029" style="position:absolute;flip:x;z-index:251653120" from="149.2pt,20.65pt" to="298.3pt,20.65pt" o:allowincell="f"/>
        </w:pict>
      </w:r>
      <w:r>
        <w:rPr>
          <w:noProof/>
          <w:sz w:val="28"/>
        </w:rPr>
        <w:pict>
          <v:line id="_x0000_s1028" style="position:absolute;flip:x;z-index:251652096" from="149.2pt,-.65pt" to="298.3pt,-.65pt" o:allowincell="f"/>
        </w:pict>
      </w:r>
      <w:r w:rsidR="002807AC">
        <w:rPr>
          <w:sz w:val="28"/>
          <w:lang w:val="uk-UA"/>
        </w:rPr>
        <w:t xml:space="preserve">                                                           </w:t>
      </w:r>
      <w:r w:rsidR="002807AC">
        <w:rPr>
          <w:sz w:val="28"/>
          <w:lang w:val="en-US"/>
        </w:rPr>
        <w:t>Y</w:t>
      </w:r>
      <w:r w:rsidR="002807AC">
        <w:rPr>
          <w:sz w:val="18"/>
          <w:lang w:val="en-US"/>
        </w:rPr>
        <w:t>c</w:t>
      </w:r>
      <w:r w:rsidR="002807AC">
        <w:rPr>
          <w:sz w:val="28"/>
          <w:lang w:val="uk-UA"/>
        </w:rPr>
        <w:t xml:space="preserve">                                                                                                    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</w:t>
      </w:r>
    </w:p>
    <w:p w:rsidR="00B472CE" w:rsidRDefault="002807A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Рис.2                                                                                                                                                                                                                      </w:t>
      </w:r>
    </w:p>
    <w:p w:rsidR="00B472CE" w:rsidRDefault="002807AC">
      <w:pPr>
        <w:pStyle w:val="a3"/>
        <w:rPr>
          <w:lang w:val="en-US"/>
        </w:rPr>
      </w:pPr>
      <w:r>
        <w:t xml:space="preserve">        </w:t>
      </w:r>
      <w:r>
        <w:rPr>
          <w:lang w:val="en-US"/>
        </w:rPr>
        <w:t xml:space="preserve"> </w:t>
      </w:r>
      <w:r>
        <w:t>Використовуючи представлення резонатора у вигляді еквівалентного пара-лельного коливального контура параметри добротності можна записати у вигляді:</w:t>
      </w:r>
    </w:p>
    <w:p w:rsidR="00B472CE" w:rsidRDefault="00B472CE">
      <w:pPr>
        <w:pStyle w:val="a3"/>
        <w:rPr>
          <w:lang w:val="en-US"/>
        </w:rPr>
      </w:pP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</w:t>
      </w:r>
      <w:r>
        <w:rPr>
          <w:position w:val="-34"/>
          <w:lang w:val="en-US"/>
        </w:rPr>
        <w:object w:dxaOrig="1900" w:dyaOrig="740">
          <v:shape id="_x0000_i1051" type="#_x0000_t75" style="width:117pt;height:45.75pt" o:ole="" fillcolor="window">
            <v:imagedata r:id="rId57" o:title=""/>
          </v:shape>
          <o:OLEObject Type="Embed" ProgID="Equation.3" ShapeID="_x0000_i1051" DrawAspect="Content" ObjectID="_1459712017" r:id="rId58"/>
        </w:object>
      </w:r>
      <w:r>
        <w:rPr>
          <w:lang w:val="en-US"/>
        </w:rPr>
        <w:t>,                                   /4-7/</w:t>
      </w:r>
    </w:p>
    <w:p w:rsidR="00B472CE" w:rsidRDefault="00B472CE">
      <w:pPr>
        <w:pStyle w:val="a3"/>
        <w:rPr>
          <w:lang w:val="en-US"/>
        </w:rPr>
      </w:pP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</w:t>
      </w:r>
      <w:r>
        <w:rPr>
          <w:position w:val="-34"/>
          <w:lang w:val="en-US"/>
        </w:rPr>
        <w:object w:dxaOrig="2640" w:dyaOrig="740">
          <v:shape id="_x0000_i1052" type="#_x0000_t75" style="width:162pt;height:45.75pt" o:ole="" fillcolor="window">
            <v:imagedata r:id="rId59" o:title=""/>
          </v:shape>
          <o:OLEObject Type="Embed" ProgID="Equation.3" ShapeID="_x0000_i1052" DrawAspect="Content" ObjectID="_1459712018" r:id="rId60"/>
        </w:object>
      </w:r>
      <w:r>
        <w:rPr>
          <w:lang w:val="en-US"/>
        </w:rPr>
        <w:t>,                        /4-8/</w:t>
      </w:r>
    </w:p>
    <w:p w:rsidR="00B472CE" w:rsidRDefault="00B472CE">
      <w:pPr>
        <w:pStyle w:val="a3"/>
        <w:rPr>
          <w:lang w:val="en-US"/>
        </w:rPr>
      </w:pP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</w:t>
      </w:r>
      <w:r>
        <w:rPr>
          <w:position w:val="-34"/>
          <w:lang w:val="en-US"/>
        </w:rPr>
        <w:object w:dxaOrig="2020" w:dyaOrig="740">
          <v:shape id="_x0000_i1053" type="#_x0000_t75" style="width:123.75pt;height:45.75pt" o:ole="" fillcolor="window">
            <v:imagedata r:id="rId61" o:title=""/>
          </v:shape>
          <o:OLEObject Type="Embed" ProgID="Equation.3" ShapeID="_x0000_i1053" DrawAspect="Content" ObjectID="_1459712019" r:id="rId62"/>
        </w:object>
      </w:r>
      <w:r>
        <w:rPr>
          <w:lang w:val="en-US"/>
        </w:rPr>
        <w:t xml:space="preserve">,                                /4-9/  </w:t>
      </w:r>
    </w:p>
    <w:p w:rsidR="00B472CE" w:rsidRDefault="00B472CE">
      <w:pPr>
        <w:pStyle w:val="a3"/>
        <w:rPr>
          <w:lang w:val="en-US"/>
        </w:rPr>
      </w:pPr>
    </w:p>
    <w:p w:rsidR="00B472CE" w:rsidRDefault="002807AC">
      <w:pPr>
        <w:pStyle w:val="a3"/>
      </w:pPr>
      <w:r>
        <w:t xml:space="preserve">де    </w:t>
      </w:r>
      <w:r>
        <w:rPr>
          <w:position w:val="-12"/>
        </w:rPr>
        <w:object w:dxaOrig="300" w:dyaOrig="360">
          <v:shape id="_x0000_i1054" type="#_x0000_t75" style="width:15pt;height:18pt" o:ole="" fillcolor="window">
            <v:imagedata r:id="rId63" o:title=""/>
          </v:shape>
          <o:OLEObject Type="Embed" ProgID="Equation.3" ShapeID="_x0000_i1054" DrawAspect="Content" ObjectID="_1459712020" r:id="rId64"/>
        </w:object>
      </w:r>
      <w:r>
        <w:t>- резонансна частота;</w:t>
      </w:r>
    </w:p>
    <w:p w:rsidR="00B472CE" w:rsidRDefault="002807AC">
      <w:pPr>
        <w:pStyle w:val="a3"/>
      </w:pPr>
      <w:r>
        <w:t xml:space="preserve">        </w:t>
      </w:r>
      <w:r>
        <w:rPr>
          <w:position w:val="-6"/>
        </w:rPr>
        <w:object w:dxaOrig="240" w:dyaOrig="220">
          <v:shape id="_x0000_i1055" type="#_x0000_t75" style="width:14.25pt;height:13.5pt" o:ole="" fillcolor="window">
            <v:imagedata r:id="rId17" o:title=""/>
          </v:shape>
          <o:OLEObject Type="Embed" ProgID="Equation.3" ShapeID="_x0000_i1055" DrawAspect="Content" ObjectID="_1459712021" r:id="rId65"/>
        </w:object>
      </w:r>
      <w:r>
        <w:t>- приведена вхідна провідність резонатора;</w:t>
      </w:r>
    </w:p>
    <w:p w:rsidR="00B472CE" w:rsidRDefault="002807AC">
      <w:pPr>
        <w:pStyle w:val="a3"/>
      </w:pPr>
      <w:r>
        <w:t xml:space="preserve">        </w:t>
      </w:r>
      <w:r>
        <w:rPr>
          <w:position w:val="-12"/>
        </w:rPr>
        <w:object w:dxaOrig="300" w:dyaOrig="360">
          <v:shape id="_x0000_i1056" type="#_x0000_t75" style="width:18pt;height:21.75pt" o:ole="" fillcolor="window">
            <v:imagedata r:id="rId66" o:title=""/>
          </v:shape>
          <o:OLEObject Type="Embed" ProgID="Equation.3" ShapeID="_x0000_i1056" DrawAspect="Content" ObjectID="_1459712022" r:id="rId67"/>
        </w:object>
      </w:r>
      <w:r>
        <w:t>- приведена провідність навантаження, трансформована до входу резо-</w:t>
      </w:r>
    </w:p>
    <w:p w:rsidR="00B472CE" w:rsidRDefault="002807AC">
      <w:pPr>
        <w:pStyle w:val="a3"/>
      </w:pPr>
      <w:r>
        <w:t>натора;</w:t>
      </w:r>
    </w:p>
    <w:p w:rsidR="00B472CE" w:rsidRDefault="002807AC">
      <w:pPr>
        <w:pStyle w:val="a3"/>
        <w:rPr>
          <w:lang w:val="en-US"/>
        </w:rPr>
      </w:pPr>
      <w:r>
        <w:rPr>
          <w:position w:val="-34"/>
          <w:lang w:val="en-US"/>
        </w:rPr>
        <w:object w:dxaOrig="1020" w:dyaOrig="740">
          <v:shape id="_x0000_i1057" type="#_x0000_t75" style="width:63pt;height:45.75pt" o:ole="" fillcolor="window">
            <v:imagedata r:id="rId68" o:title=""/>
          </v:shape>
          <o:OLEObject Type="Embed" ProgID="Equation.3" ShapeID="_x0000_i1057" DrawAspect="Content" ObjectID="_1459712023" r:id="rId69"/>
        </w:object>
      </w:r>
      <w:r>
        <w:rPr>
          <w:lang w:val="en-US"/>
        </w:rPr>
        <w:t>- крутизна характеристики реактивної провідності в області резонансу.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Неважко впевнитися в тому, що співвідношення між добротностями задо-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вільняють наступним нерівностям: </w:t>
      </w:r>
      <w:r>
        <w:rPr>
          <w:position w:val="-12"/>
          <w:lang w:val="en-US"/>
        </w:rPr>
        <w:object w:dxaOrig="880" w:dyaOrig="360">
          <v:shape id="_x0000_i1058" type="#_x0000_t75" style="width:44.25pt;height:18pt" o:ole="" fillcolor="window">
            <v:imagedata r:id="rId70" o:title=""/>
          </v:shape>
          <o:OLEObject Type="Embed" ProgID="Equation.3" ShapeID="_x0000_i1058" DrawAspect="Content" ObjectID="_1459712024" r:id="rId71"/>
        </w:object>
      </w:r>
      <w:r>
        <w:rPr>
          <w:lang w:val="en-US"/>
        </w:rPr>
        <w:t xml:space="preserve">, </w:t>
      </w:r>
      <w:r>
        <w:rPr>
          <w:position w:val="-12"/>
          <w:lang w:val="en-US"/>
        </w:rPr>
        <w:object w:dxaOrig="820" w:dyaOrig="360">
          <v:shape id="_x0000_i1059" type="#_x0000_t75" style="width:41.25pt;height:18pt" o:ole="" fillcolor="window">
            <v:imagedata r:id="rId72" o:title=""/>
          </v:shape>
          <o:OLEObject Type="Embed" ProgID="Equation.3" ShapeID="_x0000_i1059" DrawAspect="Content" ObjectID="_1459712025" r:id="rId73"/>
        </w:object>
      </w:r>
      <w:r>
        <w:rPr>
          <w:lang w:val="en-US"/>
        </w:rPr>
        <w:t xml:space="preserve"> і залежать від величини зв яз-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>ку резонатора з навантаженням.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ККД при передачі енергії з резонатора в навантаження можна визначити з:</w:t>
      </w:r>
    </w:p>
    <w:p w:rsidR="00B472CE" w:rsidRDefault="00B472CE">
      <w:pPr>
        <w:pStyle w:val="a3"/>
        <w:rPr>
          <w:lang w:val="en-US"/>
        </w:rPr>
      </w:pP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</w:t>
      </w:r>
      <w:r>
        <w:rPr>
          <w:position w:val="-30"/>
          <w:lang w:val="en-US"/>
        </w:rPr>
        <w:object w:dxaOrig="1800" w:dyaOrig="700">
          <v:shape id="_x0000_i1060" type="#_x0000_t75" style="width:106.5pt;height:41.25pt" o:ole="" fillcolor="window">
            <v:imagedata r:id="rId74" o:title=""/>
          </v:shape>
          <o:OLEObject Type="Embed" ProgID="Equation.3" ShapeID="_x0000_i1060" DrawAspect="Content" ObjectID="_1459712026" r:id="rId75"/>
        </w:object>
      </w:r>
      <w:r>
        <w:rPr>
          <w:lang w:val="en-US"/>
        </w:rPr>
        <w:t>,                                    /4-10/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>або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</w:t>
      </w:r>
      <w:r>
        <w:rPr>
          <w:position w:val="-30"/>
          <w:lang w:val="en-US"/>
        </w:rPr>
        <w:object w:dxaOrig="2320" w:dyaOrig="700">
          <v:shape id="_x0000_i1061" type="#_x0000_t75" style="width:137.25pt;height:41.25pt" o:ole="" fillcolor="window">
            <v:imagedata r:id="rId76" o:title=""/>
          </v:shape>
          <o:OLEObject Type="Embed" ProgID="Equation.3" ShapeID="_x0000_i1061" DrawAspect="Content" ObjectID="_1459712027" r:id="rId77"/>
        </w:object>
      </w:r>
      <w:r>
        <w:rPr>
          <w:lang w:val="en-US"/>
        </w:rPr>
        <w:t xml:space="preserve">.            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Розглянутий випадок на практиці зустрічається у вигляді резонатора, який входить в склад електронног приладу, який генерує коливання НВЧ.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Якщо резонатор включений по схемі пасивного двохполюсника /рис.3/, то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параметри  </w:t>
      </w:r>
      <w:r>
        <w:rPr>
          <w:position w:val="-12"/>
          <w:lang w:val="en-US"/>
        </w:rPr>
        <w:object w:dxaOrig="300" w:dyaOrig="360">
          <v:shape id="_x0000_i1062" type="#_x0000_t75" style="width:15pt;height:18pt" o:ole="" fillcolor="window">
            <v:imagedata r:id="rId78" o:title=""/>
          </v:shape>
          <o:OLEObject Type="Embed" ProgID="Equation.3" ShapeID="_x0000_i1062" DrawAspect="Content" ObjectID="_1459712028" r:id="rId79"/>
        </w:object>
      </w:r>
      <w:r>
        <w:rPr>
          <w:lang w:val="en-US"/>
        </w:rPr>
        <w:t xml:space="preserve">, </w:t>
      </w:r>
      <w:r>
        <w:rPr>
          <w:position w:val="-10"/>
          <w:lang w:val="en-US"/>
        </w:rPr>
        <w:object w:dxaOrig="360" w:dyaOrig="340">
          <v:shape id="_x0000_i1063" type="#_x0000_t75" style="width:18pt;height:17.25pt" o:ole="" fillcolor="window">
            <v:imagedata r:id="rId80" o:title=""/>
          </v:shape>
          <o:OLEObject Type="Embed" ProgID="Equation.3" ShapeID="_x0000_i1063" DrawAspect="Content" ObjectID="_1459712029" r:id="rId81"/>
        </w:object>
      </w:r>
      <w:r>
        <w:rPr>
          <w:lang w:val="en-US"/>
        </w:rPr>
        <w:t xml:space="preserve">, </w:t>
      </w:r>
      <w:r>
        <w:rPr>
          <w:position w:val="-12"/>
          <w:lang w:val="en-US"/>
        </w:rPr>
        <w:object w:dxaOrig="320" w:dyaOrig="360">
          <v:shape id="_x0000_i1064" type="#_x0000_t75" style="width:15.75pt;height:18pt" o:ole="" fillcolor="window">
            <v:imagedata r:id="rId82" o:title=""/>
          </v:shape>
          <o:OLEObject Type="Embed" ProgID="Equation.3" ShapeID="_x0000_i1064" DrawAspect="Content" ObjectID="_1459712030" r:id="rId83"/>
        </w:object>
      </w:r>
      <w:r>
        <w:rPr>
          <w:lang w:val="en-US"/>
        </w:rPr>
        <w:t xml:space="preserve"> можна використовувати для визначення режиму роботи 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>НВЧ тракту.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 xml:space="preserve">         З якісно нової точки зору положення заключається в наступному. Нехай 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>tлектромагнітна хвиля, яка поступає з узгодженого генератора в лінію передачі</w:t>
      </w:r>
    </w:p>
    <w:p w:rsidR="00B472CE" w:rsidRDefault="002807AC">
      <w:pPr>
        <w:pStyle w:val="a3"/>
        <w:rPr>
          <w:lang w:val="en-US"/>
        </w:rPr>
      </w:pPr>
      <w:r>
        <w:rPr>
          <w:lang w:val="en-US"/>
        </w:rPr>
        <w:t>/</w:t>
      </w:r>
      <w:r>
        <w:rPr>
          <w:position w:val="-12"/>
          <w:lang w:val="en-US"/>
        </w:rPr>
        <w:object w:dxaOrig="1080" w:dyaOrig="360">
          <v:shape id="_x0000_i1065" type="#_x0000_t75" style="width:66.75pt;height:23.25pt" o:ole="" fillcolor="window">
            <v:imagedata r:id="rId84" o:title=""/>
          </v:shape>
          <o:OLEObject Type="Embed" ProgID="Equation.3" ShapeID="_x0000_i1065" DrawAspect="Content" ObjectID="_1459712031" r:id="rId85"/>
        </w:object>
      </w:r>
      <w:r>
        <w:rPr>
          <w:lang w:val="en-US"/>
        </w:rPr>
        <w:t>/,  частково проходить в резонатор через отвір зв’язку, а частково відбивається від стінки діафрагми. Проникаючи через отвір зв’язку, хвиля відби-вається від другої стінки резонатора і частково проходить через отвір в лінію пе-</w:t>
      </w:r>
    </w:p>
    <w:p w:rsidR="00B472CE" w:rsidRDefault="002807AC">
      <w:pPr>
        <w:pStyle w:val="a3"/>
      </w:pPr>
      <w:r>
        <w:rPr>
          <w:lang w:val="en-US"/>
        </w:rPr>
        <w:t xml:space="preserve">редачі, а частково відбивається назад в резонатор.  </w:t>
      </w:r>
      <w:bookmarkStart w:id="0" w:name="_GoBack"/>
      <w:bookmarkEnd w:id="0"/>
    </w:p>
    <w:sectPr w:rsidR="00B472CE">
      <w:pgSz w:w="11906" w:h="16838"/>
      <w:pgMar w:top="1134" w:right="992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D5916"/>
    <w:multiLevelType w:val="singleLevel"/>
    <w:tmpl w:val="E1FC37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7AC"/>
    <w:rsid w:val="002807AC"/>
    <w:rsid w:val="00B05D94"/>
    <w:rsid w:val="00B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  <w15:chartTrackingRefBased/>
  <w15:docId w15:val="{34F33197-5C52-4674-8E5A-9BCF889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42" w:firstLine="142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10150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1999-03-14T10:16:00Z</cp:lastPrinted>
  <dcterms:created xsi:type="dcterms:W3CDTF">2014-04-22T19:45:00Z</dcterms:created>
  <dcterms:modified xsi:type="dcterms:W3CDTF">2014-04-22T19:45:00Z</dcterms:modified>
  <cp:category>Точні науки</cp:category>
</cp:coreProperties>
</file>