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E8" w:rsidRPr="00784EA6" w:rsidRDefault="00DB72E8" w:rsidP="005840F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Министерство образования Российской Федерации</w:t>
      </w:r>
    </w:p>
    <w:p w:rsidR="00DB72E8" w:rsidRPr="00784EA6" w:rsidRDefault="00DB72E8" w:rsidP="005840F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Пензенский Государственный Университет</w:t>
      </w:r>
    </w:p>
    <w:p w:rsidR="00DB72E8" w:rsidRPr="00784EA6" w:rsidRDefault="00DB72E8" w:rsidP="005840F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Медицинский Институт</w:t>
      </w:r>
    </w:p>
    <w:p w:rsidR="00DB72E8" w:rsidRPr="00784EA6" w:rsidRDefault="00DB72E8" w:rsidP="005840F5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DB72E8" w:rsidRPr="00784EA6" w:rsidRDefault="00DB72E8" w:rsidP="005840F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Кафедра Неврологии</w:t>
      </w: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784EA6" w:rsidRDefault="00784EA6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Pr="00784EA6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36"/>
        </w:rPr>
      </w:pPr>
      <w:r w:rsidRPr="00784EA6">
        <w:rPr>
          <w:color w:val="000000"/>
          <w:sz w:val="28"/>
          <w:szCs w:val="36"/>
        </w:rPr>
        <w:t>Реферат</w:t>
      </w: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36"/>
        </w:rPr>
      </w:pPr>
      <w:r w:rsidRPr="00784EA6">
        <w:rPr>
          <w:color w:val="000000"/>
          <w:sz w:val="28"/>
          <w:szCs w:val="36"/>
        </w:rPr>
        <w:t>на тему:</w:t>
      </w:r>
    </w:p>
    <w:p w:rsidR="00DB72E8" w:rsidRPr="00784EA6" w:rsidRDefault="00DB72E8" w:rsidP="005840F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36"/>
        </w:rPr>
      </w:pPr>
      <w:r w:rsidRPr="00784EA6">
        <w:rPr>
          <w:b/>
          <w:color w:val="000000"/>
          <w:sz w:val="28"/>
          <w:szCs w:val="36"/>
        </w:rPr>
        <w:t>«Парезы ног»</w:t>
      </w: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784EA6" w:rsidRDefault="00784EA6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5840F5" w:rsidRPr="00784EA6" w:rsidRDefault="005840F5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spacing w:line="360" w:lineRule="auto"/>
        <w:jc w:val="center"/>
        <w:rPr>
          <w:color w:val="000000"/>
          <w:sz w:val="28"/>
          <w:szCs w:val="28"/>
        </w:rPr>
      </w:pPr>
    </w:p>
    <w:p w:rsidR="00DB72E8" w:rsidRPr="00784EA6" w:rsidRDefault="00DB72E8" w:rsidP="005840F5">
      <w:pPr>
        <w:pStyle w:val="a3"/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Пенза</w:t>
      </w:r>
    </w:p>
    <w:p w:rsidR="005840F5" w:rsidRDefault="00DB72E8" w:rsidP="005840F5">
      <w:pPr>
        <w:pStyle w:val="a3"/>
        <w:spacing w:line="360" w:lineRule="auto"/>
        <w:jc w:val="center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>2008</w:t>
      </w:r>
    </w:p>
    <w:p w:rsidR="00DB72E8" w:rsidRDefault="005840F5" w:rsidP="005840F5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>
        <w:br w:type="page"/>
      </w:r>
      <w:r w:rsidR="00DB72E8" w:rsidRPr="005840F5">
        <w:rPr>
          <w:b/>
          <w:sz w:val="28"/>
          <w:szCs w:val="28"/>
        </w:rPr>
        <w:t>План</w:t>
      </w:r>
    </w:p>
    <w:p w:rsidR="005840F5" w:rsidRPr="00784EA6" w:rsidRDefault="005840F5" w:rsidP="005840F5">
      <w:pPr>
        <w:pStyle w:val="a3"/>
        <w:spacing w:line="360" w:lineRule="auto"/>
        <w:ind w:firstLine="720"/>
        <w:jc w:val="both"/>
      </w:pPr>
    </w:p>
    <w:p w:rsidR="00DB72E8" w:rsidRPr="00784EA6" w:rsidRDefault="00DB72E8" w:rsidP="005840F5">
      <w:pPr>
        <w:numPr>
          <w:ilvl w:val="0"/>
          <w:numId w:val="1"/>
        </w:numPr>
        <w:tabs>
          <w:tab w:val="clear" w:pos="2670"/>
          <w:tab w:val="num" w:pos="2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Парезы, выраженные преимущественно в проксимальных отделах ног</w:t>
      </w:r>
    </w:p>
    <w:p w:rsidR="00DB72E8" w:rsidRPr="00784EA6" w:rsidRDefault="00DB72E8" w:rsidP="005840F5">
      <w:pPr>
        <w:numPr>
          <w:ilvl w:val="0"/>
          <w:numId w:val="1"/>
        </w:numPr>
        <w:tabs>
          <w:tab w:val="clear" w:pos="2670"/>
          <w:tab w:val="num" w:pos="2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Дистальный парез ног</w:t>
      </w:r>
    </w:p>
    <w:p w:rsidR="00DB72E8" w:rsidRPr="00784EA6" w:rsidRDefault="00DB72E8" w:rsidP="005840F5">
      <w:pPr>
        <w:numPr>
          <w:ilvl w:val="0"/>
          <w:numId w:val="1"/>
        </w:numPr>
        <w:tabs>
          <w:tab w:val="clear" w:pos="2670"/>
          <w:tab w:val="num" w:pos="2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Тотальный парез ног</w:t>
      </w:r>
    </w:p>
    <w:p w:rsidR="00DB72E8" w:rsidRPr="00784EA6" w:rsidRDefault="00DB72E8" w:rsidP="005840F5">
      <w:pPr>
        <w:tabs>
          <w:tab w:val="num" w:pos="2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Литература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DB72E8" w:rsidRPr="00784EA6">
        <w:rPr>
          <w:b/>
          <w:color w:val="000000"/>
          <w:sz w:val="28"/>
          <w:szCs w:val="32"/>
        </w:rPr>
        <w:t xml:space="preserve">1. </w:t>
      </w:r>
      <w:r w:rsidRPr="00784EA6">
        <w:rPr>
          <w:b/>
          <w:color w:val="000000"/>
          <w:sz w:val="28"/>
          <w:szCs w:val="32"/>
        </w:rPr>
        <w:t>Парезы, выраженные преимущественно в проксимальных отделах</w:t>
      </w:r>
      <w:r>
        <w:rPr>
          <w:b/>
          <w:color w:val="000000"/>
          <w:sz w:val="28"/>
          <w:szCs w:val="32"/>
        </w:rPr>
        <w:t xml:space="preserve"> </w:t>
      </w:r>
      <w:r w:rsidRPr="00784EA6">
        <w:rPr>
          <w:b/>
          <w:color w:val="000000"/>
          <w:sz w:val="28"/>
          <w:szCs w:val="32"/>
        </w:rPr>
        <w:t>ног</w:t>
      </w:r>
    </w:p>
    <w:p w:rsidR="005840F5" w:rsidRDefault="005840F5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При этих парезах затруднено сгибание бедра,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сгибание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разгибание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голени вследствие слабости проксимальных мышечных групп при относительно достаточной силе и объеме движений в дистальных отделах. Проксимальный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парез может носить характер как периферического, так и центрального типа; последний вариант крайне редок. Периферический односторонний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проксимальный парез обычно возникает в результате травматического поражения бедренного нерва. Мононейропатия бедренного нерва проявляется ограниченным сгибанием бедра и разгибания голени, снижением силы четырехглавой мышцы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бедра, угасанием коленного рефлекса, снижением чувствительности на передней поверхности бедра и передневнутренней поверхности голени.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Особой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формой, эквивалентной невралгической амиотрофии, является подострое развитие атрофического паралича мышц бедра наряду с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жестокой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болью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нем.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Этот симптомокомплекс обычно наблюдается у лиц, страдающих диабетом.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Периферический проксимальный парапарез встречается реже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дистального. Острое его развитие обычно наблюдается в рамках полинейропатии Ландри</w:t>
      </w:r>
      <w:r w:rsidR="00784EA6">
        <w:rPr>
          <w:color w:val="000000"/>
          <w:sz w:val="28"/>
          <w:szCs w:val="28"/>
        </w:rPr>
        <w:t xml:space="preserve"> 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Гийена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Барре либо при полиомиелите, который в настоящее время наблюдается исключительно редко. Параличи выражены асимметрично, их возникновению обычно предшествует боль в ногах.</w:t>
      </w:r>
    </w:p>
    <w:p w:rsidR="005840F5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 xml:space="preserve">2. </w:t>
      </w:r>
      <w:r w:rsidR="005840F5" w:rsidRPr="00784EA6">
        <w:rPr>
          <w:b/>
          <w:color w:val="000000"/>
          <w:sz w:val="28"/>
          <w:szCs w:val="32"/>
        </w:rPr>
        <w:t>Дистальный парез ног</w:t>
      </w:r>
    </w:p>
    <w:p w:rsidR="005840F5" w:rsidRDefault="005840F5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Парез одной ноги чаще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бывает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дистальным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 большинстве случаев периферическим. При этом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невозможны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движения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стоп вследствие поражения персональной или тибиальной группы мышц или их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сочетанного поражения.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Поражение малоберцового нерва проявляется отвисанием стопы, невозможностью ходить на пятках, невозможностью отведения стопы и поднимания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ее наружного края. Вследствие этого возникает специфическое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нарушение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походки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(петушиная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походка,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степпаж).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Нарушается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чувствительность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 тыльной поверхности стопы. Травма нерва часто сочетается с переломом малоберцовой кости. Протрузия межпозвонкового диска может привести к компрессии корешковой артерии, кровоснабжающей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соответствующий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корешок,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 данном случае LI-S1, что проявляется слабостью разгибателей стопы,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возникающей вслед за резкой болью 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голени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(так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называемый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парализующий ишиас). Синдром ущемления малоберцового нерва под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сухожилием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двуглавой мышцы бедра встречается у лиц, долго сидящих на корточках или 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низком сидении (туннельный синдром малоберцового нерва).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Поражение большеберцового нерва чаще развивается в результате травмы. Клинически проявляется нарушением подошвенного сгибания стопы, нарушаются также и сгибание пальцев стопы, выпадает приведение стопы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внутрь.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 результате денервации межкостных мышц пальцы стопы принимают когтеобразное положение. Стояние на носках становится невозможным. Исчезает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ахиллов рефлекс. Поверхностная чувствительность нарушается 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задненаружной поверхности нижней трети голени, на подошве и в области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наружного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края стопы.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Могут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возникать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значительные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вазомоторные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трофические расстройства.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Поражение ствола седалищного нерва чаще связано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травмой,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изредка сочетается с переломом бедренной кости. Мононейропатия седалищного нерва может возникнуть при неправильно вполненной инъекции (инъекционный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неврит). При дискогенном пояснично-крестцовом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радикулите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среди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различных мышечно-тонических феноменов чаще других наблюдается контрактура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грушевидной мышцы, что может обусловить компрессию седалищного нерва.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Клиническая картина полного перерыва седалищного нерва характеризуется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параличом всех мышц ноги, за исключением мышц передней поверхности бедра,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 выпадением чувствительности на задней поверхности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бедра,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задненаружной поверхности голени и на всей поверхности стопы.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Дистальный парез обеих ног, как правило, бывает периферическим.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Острое его развитие возможно при ишемическом инсульте парапарез стоп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может развиваться после неловкого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движения,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чрезмерной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физической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нагрузки (подъем штанги), а иногда и без видимых причин. Развитию парапареза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может предшествовать боль 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поясничной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области.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Дистальные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отделы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ног (преимущественно) могут поражаться при хронической алкогольной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интоксикации. Страдающий алкоголизмом обычно не обращает внимания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парестезии, типичные для продромального периода, и выраженные проявления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заболевания развертываются остро или в течение нескольких дней. Мышцы ног (а иногда и рук) становятся паретичными. Вначале страдают мышцы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дистальных отделов, особенно в ногах, у больных походка принимает характер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степпажа. Подобная же картина наблюдается при отравлении трикрезилфосфатом.</w:t>
      </w:r>
    </w:p>
    <w:p w:rsidR="005840F5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 xml:space="preserve">3. </w:t>
      </w:r>
      <w:r w:rsidR="005840F5" w:rsidRPr="00784EA6">
        <w:rPr>
          <w:b/>
          <w:color w:val="000000"/>
          <w:sz w:val="28"/>
          <w:szCs w:val="32"/>
        </w:rPr>
        <w:t>Тотальный парез ног</w:t>
      </w:r>
    </w:p>
    <w:p w:rsidR="005840F5" w:rsidRDefault="005840F5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 xml:space="preserve">Монопарез (моноплегия) ноги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парез или паралич, равномерно поражающий все отделы одной ноги, чаще носит центральный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характер. При спинальном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уровне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поражения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пирамидного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пучка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монопарез обычно входит в картину синдрома Броун-Секара (поражение половины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поперечника спинного мозга); спастический паралич на стороне очага с выпадением глубокой чувствительности в парализованной ноге и утрат поверхностной чувствительности в здоровой ноге. Синдром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Броун-Секара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чаще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всего наблюдается при экстрамедуллярных опухолях спинного мозга, реже при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его травме. Другим вариантом центральной моноплегии ноги служит ограниченное поражение верхних отделов прецентральной извилины. Причиной ограниченного поражения верхних отделов прецентральной извилины, как правило,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служит ишемический инфаркт в бассейне передней мозговой артерии.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Нижний парапарез (параплегия), равномерно представленный во всех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мышечных группах, чаще носит центральный и реже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периферический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характер. Острое развитие нижнего парапареза наблюдается при травмах спинного мозга, спинальных инсультах, инфекциях, токсических и опухолевых поражениях спинного мозга, конского хвоста, полинейропатиях. В редких случаях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нижний парез может возникнуть и при поражении головного мозга.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Травма спинного мозга, как правило, сопровождает перелом позвоночника либо обусловлена ножевым ранением. В большинстве случаев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острый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период протекает с картиной спинального шока в виде вялого паралича,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выпадения всех видов чувствительности ниже уровня поражения и задержкой мочеиспускания. Симптомы спинального шока в первое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время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затушевывают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истинную степень повреждения спинного мозга. Против полного анатомического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перерыва его свидетельствуют признаки даже незначительной сохранности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любой функциональной системы ниже уровня травмы. При этом особое значение имеет обнаружение восприятия больным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стимулов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аногенитальной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области. Значительный и быстрый регресс спинальных нарушений характерен для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сотрясения спинного мозга и негрубой ишемии его.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Частичное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восстановление спинальных функций свидетельствует о неполном перерыве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ушибе или травматическом инфаркте. Полное отсутствие каких-либо признаков восстановления на протяжении 2 суток является плохим прогностическим признаком,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указывающим на анатомический перерыв спинного мозга.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Компрессия спинного мозга или конского хвоста. При компрессии спинного мозга метастатической опухолью позвоночника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типичных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случаях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 связь спинального поражения с метастазом указывают прогрессирующее исхудание, землистый цвет кожи, резко увеличенная СОЭ, анемия.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Существенно, что во многих случаях метастазов рака 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позвоночник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спондилография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не выявляет деструкции позвонков. Инсультообразное развитие поражения поперечника спинного мозга при доброкачественных опухолях наблюдается крайне редко и связано со сдавлением опухолью корешковой или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спинальной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артерии.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Остро возникший паралич ног может быть следствием компрессии конского хвоста выпавшим межпозвонковым диском. Клиническая картина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характеризуется двусторонней люмбоишиалгией, вялым параличом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стоп,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анестезией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 седловидному типу и тазовыми расстройствами. Подобная картина развивается при сдавлении грыжей диска корешковых артерий, приводящем к ишемическому инфаркту нижних отделов спинного мозга.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Эпидурит (эпидуральный абсцесс) является осложнением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очагов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гнойной инфекции самой различной локализации либо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сепсиса: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Чаще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всего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эпидуральный абсцесс формируется на уровне грудного отдела позвоночника. Клиническая картина заболевания складывается из общеинфекционных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симптомов (повышение температуры, озноб, общее недомогание, высокая СОЭ, нейтрофилез) и остро развивающегося корешковоспинального поражения: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нарастающая боль в спине, усиливающаяся при кашле и чиханье, к которой присоединяются слабость в ногах, нарушения чувствительности и функции тазовых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органов. Развитие клинической картины идет очень быстро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от момента появления незначительной слабости в ногах до картины полного перерыва спинного мозга обычно проходит несколько дней. Диагностика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эпидурита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затруднена тем обстоятельством, что подобный же симптомокомплекс характерен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для поперечного миелита. Следует помнить, что изолированное воспаление вещества спинного мозга при отсутствии признаков поражения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головного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мозга встречается очень редко. Эпидурит требует безотлагательного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хирургического вмешательства, лечение же миелита проводят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консервативно.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Диагноз поперечного миелита следует рассматривать как предварительный, предполагающий в каждом случае нейрохирургическое обследование, в частности миелографию. Люмбальная пункция абсолютно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противопоказана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поясничной локализации эпидурита из-за опасения внесения инфекции 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подоболочечное пространство.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Спинальный инсульт может возникнуть при атеросклерозе сосудов спинного мозга или магистральных сосудов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аорты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(подключичные,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позвоночные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или подвздошные артерии), в результате сдавления сосудов спинного мозга извне, например грыжей межпозвоночного диска, отломками позвонков при травме, экстрамедуллярной опухолью или воспалительным инфильтратом.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Нарушение спинального кровообращения может быть также обусловлено артериовенозными пороками развития. Они чаще располагаются в шейном отделе и на уровне тораколюмбального перехода и представляют собой клубок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аномальных сосудов, размеры которого могут широко варьировать. Подобное образование может проявляться субарахноидальным кровотечением либо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ишемическим поражением вещества спинного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мозга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результате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механического сдавления. В части случаев спинальный инфаркт является осложнением расслаивающейся аневризмы аорты. Распознавание природы этого заболевания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 ранних этапах его развития является весьма трудным. Как правило, нарушения спинального кровообращения ишемического типа встречаются значительно чаще, чем геморрагического типа.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Клиническая картина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ишемического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спинального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инсульта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зависит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от распространенности ишемии как по длиннику, так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поперечнику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спинного мозга. Наиболее отчетливо очерчен синдром ишемии передней половины спинного мозга или так называемый синдром передней спинальной артерии,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который характеризуется остро возникающим выключением на том или ином уровне кровоснабжения передних 2/3 спинного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мозга.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результате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развивается тетраплегия или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параплегия,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сопровождаемая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нарушениями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поверхностных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видов чувствительности и функции тазовых органов. Глубокомышечное чувство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остается неповрежденным, так как кровоснабжение задних столбов при этом не страдает. Другим схожим и относительно часто встречающимся синдромом нарушения спинального кровообращения является симптомокомплекс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выключения большой поясничной артерии Адамкевича: остро развивающийся вялый паралич нижних конечностей, диссоциированное выпадение чувствительности с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верхней границей зоны иннервации от С4 до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зоны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иннервации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T</w:t>
      </w:r>
      <w:r w:rsidRPr="00784EA6">
        <w:rPr>
          <w:color w:val="000000"/>
          <w:sz w:val="28"/>
          <w:szCs w:val="28"/>
          <w:lang w:val="en-US"/>
        </w:rPr>
        <w:t>h</w:t>
      </w:r>
      <w:r w:rsidRPr="00784EA6">
        <w:rPr>
          <w:color w:val="000000"/>
          <w:sz w:val="28"/>
          <w:szCs w:val="28"/>
        </w:rPr>
        <w:t>2 нарушение функции тазовых органов.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Неотложная помощь. Наиболее частой причиной травмы спинного мозга являются дорожно-транспортные происшествия. Поэтому первым мероприятием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 таких случаях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является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квалифицированное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извлечение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пострадавших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из транспортного средства. При этом надо соблюдать основной принцип: сохранение неподвижности оси тела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позвоночника при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правильной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транспортировке больного на щите, исключающей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сгибание,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боковые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вращательные движения. В первые часы после травмы проводят противошоковые мероприятия и лечение, направленное на нормализацию дыхания, кровообращения,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ликвидацию боли, борьбу с анемией, гипопротеинемией, нормализацию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гемостаза. Проводят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внутривенное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струйное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или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капельное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вливание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полиглюкина 400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>2</w:t>
      </w:r>
      <w:r w:rsidRPr="00784EA6">
        <w:rPr>
          <w:color w:val="000000"/>
          <w:sz w:val="28"/>
          <w:szCs w:val="28"/>
        </w:rPr>
        <w:t xml:space="preserve">000 мл, при показаниях переливание крови, плазмы, инъекции 1 мл </w:t>
      </w:r>
      <w:r w:rsidR="00784EA6" w:rsidRPr="00784EA6">
        <w:rPr>
          <w:color w:val="000000"/>
          <w:sz w:val="28"/>
          <w:szCs w:val="28"/>
        </w:rPr>
        <w:t>1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 морфина гидрохлорида, </w:t>
      </w:r>
      <w:r w:rsidR="00784EA6" w:rsidRPr="00784EA6">
        <w:rPr>
          <w:color w:val="000000"/>
          <w:sz w:val="28"/>
          <w:szCs w:val="28"/>
        </w:rPr>
        <w:t>2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 пантопона, 1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>2</w:t>
      </w:r>
      <w:r w:rsidRPr="00784EA6">
        <w:rPr>
          <w:color w:val="000000"/>
          <w:sz w:val="28"/>
          <w:szCs w:val="28"/>
        </w:rPr>
        <w:t xml:space="preserve"> мл 10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>20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 кофеин-бензоата натрия, 2 мл </w:t>
      </w:r>
      <w:r w:rsidR="00784EA6" w:rsidRPr="00784EA6">
        <w:rPr>
          <w:color w:val="000000"/>
          <w:sz w:val="28"/>
          <w:szCs w:val="28"/>
        </w:rPr>
        <w:t>1</w:t>
      </w:r>
      <w:r w:rsidR="00784EA6">
        <w:rPr>
          <w:color w:val="000000"/>
          <w:sz w:val="28"/>
          <w:szCs w:val="28"/>
        </w:rPr>
        <w:t xml:space="preserve">% </w:t>
      </w:r>
      <w:r w:rsidRPr="00784EA6">
        <w:rPr>
          <w:color w:val="000000"/>
          <w:sz w:val="28"/>
          <w:szCs w:val="28"/>
        </w:rPr>
        <w:t>раствора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лазикса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внутримышечно, внутривенное введение маннитона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200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>5</w:t>
      </w:r>
      <w:r w:rsidRPr="00784EA6">
        <w:rPr>
          <w:color w:val="000000"/>
          <w:sz w:val="28"/>
          <w:szCs w:val="28"/>
        </w:rPr>
        <w:t>00 мл 1</w:t>
      </w:r>
      <w:r w:rsidR="00784EA6" w:rsidRPr="00784EA6">
        <w:rPr>
          <w:color w:val="000000"/>
          <w:sz w:val="28"/>
          <w:szCs w:val="28"/>
        </w:rPr>
        <w:t>5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раствора. В первые часы или сутки после травмы устраняют сдавление спинного мозга. С этой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целью проводят мероприятия, направленные на ликвидацию деформации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позвоночника, осуществляют репозицию сместившихся отломков позвонков и их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иммобилизацию. С первых же часов необходимо следить за функцией мочевого пузыря и кишечника (катетеризация мочевого пузыря с промыванием его </w:t>
      </w:r>
      <w:r w:rsidR="00784EA6" w:rsidRPr="00784EA6">
        <w:rPr>
          <w:color w:val="000000"/>
          <w:sz w:val="28"/>
          <w:szCs w:val="28"/>
        </w:rPr>
        <w:t>2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раствором борной кислоты, клизмы). Для профилактики пролежней показаны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губчатые или пневматические матрацы, регулярное протирание камфорным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спиртом.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При спинальных инсультах назначают сосудорасширяющие средства и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препараты, стимулирующие сердечно-сосудистую деятельность (эуфиллин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10 мл 2,</w:t>
      </w:r>
      <w:r w:rsidR="00784EA6" w:rsidRPr="00784EA6">
        <w:rPr>
          <w:color w:val="000000"/>
          <w:sz w:val="28"/>
          <w:szCs w:val="28"/>
        </w:rPr>
        <w:t>4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 внутривенно, копламин по 2 мл 1</w:t>
      </w:r>
      <w:r w:rsidR="00784EA6" w:rsidRPr="00784EA6">
        <w:rPr>
          <w:color w:val="000000"/>
          <w:sz w:val="28"/>
          <w:szCs w:val="28"/>
        </w:rPr>
        <w:t>5</w:t>
      </w:r>
      <w:r w:rsidR="00784EA6">
        <w:rPr>
          <w:color w:val="000000"/>
          <w:sz w:val="28"/>
          <w:szCs w:val="28"/>
        </w:rPr>
        <w:t>%</w:t>
      </w:r>
      <w:r w:rsidRPr="00784EA6">
        <w:rPr>
          <w:color w:val="000000"/>
          <w:sz w:val="28"/>
          <w:szCs w:val="28"/>
        </w:rPr>
        <w:t xml:space="preserve"> раствора внутримышечно, кордиамин по 1 мл подкожно или внутримышечно).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При нарушениях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кровообращения,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обусловленных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компрессией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спинного мозга, например выпадением грыжи межпозвонкового диска, показано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хирургическое вмешательство.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При эпидурите необходимо неотложное хирургическое лечение.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В остальных случаях неотложная помощь определяется характером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основного заболевания, вызвавшего парезы ног.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Госпитализация экстренная при травме спинного мозга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в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 xml:space="preserve">нейрохирургический стационар, срочная 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при эпидурите. В остальных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случаях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больных госпитализируют в неврологическое отделение.</w:t>
      </w:r>
    </w:p>
    <w:p w:rsidR="005840F5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784EA6">
        <w:rPr>
          <w:b/>
          <w:color w:val="000000"/>
          <w:sz w:val="28"/>
          <w:szCs w:val="32"/>
        </w:rPr>
        <w:t xml:space="preserve">4. </w:t>
      </w:r>
      <w:r w:rsidR="005840F5" w:rsidRPr="00784EA6">
        <w:rPr>
          <w:b/>
          <w:color w:val="000000"/>
          <w:sz w:val="28"/>
          <w:szCs w:val="32"/>
        </w:rPr>
        <w:t>Гемипарез</w:t>
      </w:r>
    </w:p>
    <w:p w:rsidR="005840F5" w:rsidRDefault="005840F5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Гемипарез, как правило, бывает центральным и обычно связан с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поражением головного и крайне редко спинного мозга. Острое развитие гемипареза в большинстве случаев обусловлено мозговым инсультом. Другие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причины</w:t>
      </w:r>
      <w:r w:rsidR="00784EA6">
        <w:rPr>
          <w:color w:val="000000"/>
          <w:sz w:val="28"/>
          <w:szCs w:val="28"/>
        </w:rPr>
        <w:t xml:space="preserve"> –</w:t>
      </w:r>
      <w:r w:rsidR="00784EA6" w:rsidRP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травма мозга, абсцесс, менингоэнцефалит, опухоли.</w:t>
      </w:r>
    </w:p>
    <w:p w:rsidR="00DB72E8" w:rsidRPr="00784EA6" w:rsidRDefault="00DB72E8" w:rsidP="00784E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По современной классификации острые нарушения мозгового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кровообращения подразделяются на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преходящие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нарушения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мозгового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кровообращения, оболочечные кровоизлияния, кровоизлияния в мозг, неэмболический</w:t>
      </w:r>
      <w:r w:rsidR="00784EA6">
        <w:rPr>
          <w:color w:val="000000"/>
          <w:sz w:val="28"/>
          <w:szCs w:val="28"/>
        </w:rPr>
        <w:t xml:space="preserve"> </w:t>
      </w:r>
      <w:r w:rsidRPr="00784EA6">
        <w:rPr>
          <w:color w:val="000000"/>
          <w:sz w:val="28"/>
          <w:szCs w:val="28"/>
        </w:rPr>
        <w:t>инфаркт мозга, эмболический инфаркт мозга, острую гипертоническую энцефалопатию. Ишемические поражения мозга встречаются в 3</w:t>
      </w:r>
      <w:r w:rsidR="00784EA6">
        <w:rPr>
          <w:color w:val="000000"/>
          <w:sz w:val="28"/>
          <w:szCs w:val="28"/>
        </w:rPr>
        <w:t>–</w:t>
      </w:r>
      <w:r w:rsidR="00784EA6" w:rsidRPr="00784EA6">
        <w:rPr>
          <w:color w:val="000000"/>
          <w:sz w:val="28"/>
          <w:szCs w:val="28"/>
        </w:rPr>
        <w:t>4</w:t>
      </w:r>
      <w:r w:rsidRPr="00784EA6">
        <w:rPr>
          <w:color w:val="000000"/>
          <w:sz w:val="28"/>
          <w:szCs w:val="28"/>
        </w:rPr>
        <w:t xml:space="preserve"> раза чаще геморрагических.</w:t>
      </w:r>
    </w:p>
    <w:p w:rsidR="005840F5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5840F5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72E8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784EA6">
        <w:rPr>
          <w:b/>
          <w:color w:val="000000"/>
          <w:sz w:val="28"/>
          <w:szCs w:val="32"/>
        </w:rPr>
        <w:t>Литература</w:t>
      </w:r>
    </w:p>
    <w:p w:rsidR="005840F5" w:rsidRPr="00784EA6" w:rsidRDefault="005840F5" w:rsidP="00784EA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72E8" w:rsidRPr="00784EA6" w:rsidRDefault="00DB72E8" w:rsidP="005840F5">
      <w:pPr>
        <w:numPr>
          <w:ilvl w:val="0"/>
          <w:numId w:val="2"/>
        </w:numPr>
        <w:tabs>
          <w:tab w:val="clear" w:pos="1065"/>
          <w:tab w:val="num" w:pos="2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</w:rPr>
      </w:pPr>
      <w:r w:rsidRPr="00784EA6">
        <w:rPr>
          <w:color w:val="000000"/>
          <w:sz w:val="28"/>
          <w:szCs w:val="28"/>
        </w:rPr>
        <w:t xml:space="preserve">«Неотложная медицинская помощь», под ред. </w:t>
      </w:r>
      <w:r w:rsidR="00784EA6" w:rsidRPr="00784EA6">
        <w:rPr>
          <w:color w:val="000000"/>
          <w:sz w:val="28"/>
          <w:szCs w:val="28"/>
        </w:rPr>
        <w:t>Дж.Э.</w:t>
      </w:r>
      <w:r w:rsidR="00784EA6">
        <w:rPr>
          <w:color w:val="000000"/>
          <w:sz w:val="28"/>
          <w:szCs w:val="28"/>
        </w:rPr>
        <w:t> </w:t>
      </w:r>
      <w:r w:rsidR="00784EA6" w:rsidRPr="00784EA6">
        <w:rPr>
          <w:color w:val="000000"/>
          <w:sz w:val="28"/>
          <w:szCs w:val="28"/>
        </w:rPr>
        <w:t>Тинтиналли</w:t>
      </w:r>
      <w:r w:rsidRPr="00784EA6">
        <w:rPr>
          <w:color w:val="000000"/>
          <w:sz w:val="28"/>
          <w:szCs w:val="28"/>
        </w:rPr>
        <w:t>, Р</w:t>
      </w:r>
      <w:r w:rsidR="005840F5">
        <w:rPr>
          <w:color w:val="000000"/>
          <w:sz w:val="28"/>
          <w:szCs w:val="28"/>
        </w:rPr>
        <w:t>.</w:t>
      </w:r>
      <w:r w:rsidR="005840F5" w:rsidRPr="00784EA6">
        <w:rPr>
          <w:color w:val="000000"/>
          <w:sz w:val="28"/>
          <w:szCs w:val="28"/>
        </w:rPr>
        <w:t>Л</w:t>
      </w:r>
      <w:r w:rsidRPr="00784EA6">
        <w:rPr>
          <w:color w:val="000000"/>
          <w:sz w:val="28"/>
          <w:szCs w:val="28"/>
        </w:rPr>
        <w:t xml:space="preserve">. Кроума, </w:t>
      </w:r>
      <w:r w:rsidR="00784EA6" w:rsidRPr="00784EA6">
        <w:rPr>
          <w:color w:val="000000"/>
          <w:sz w:val="28"/>
          <w:szCs w:val="28"/>
        </w:rPr>
        <w:t>Э.</w:t>
      </w:r>
      <w:r w:rsidR="00784EA6">
        <w:rPr>
          <w:color w:val="000000"/>
          <w:sz w:val="28"/>
          <w:szCs w:val="28"/>
        </w:rPr>
        <w:t> </w:t>
      </w:r>
      <w:r w:rsidR="00784EA6" w:rsidRPr="00784EA6">
        <w:rPr>
          <w:color w:val="000000"/>
          <w:sz w:val="28"/>
          <w:szCs w:val="28"/>
        </w:rPr>
        <w:t>Руиза</w:t>
      </w:r>
      <w:r w:rsidRPr="00784EA6">
        <w:rPr>
          <w:color w:val="000000"/>
          <w:sz w:val="28"/>
          <w:szCs w:val="28"/>
        </w:rPr>
        <w:t xml:space="preserve">, </w:t>
      </w:r>
      <w:r w:rsidRPr="00784EA6">
        <w:rPr>
          <w:iCs/>
          <w:color w:val="000000"/>
          <w:sz w:val="28"/>
          <w:szCs w:val="28"/>
        </w:rPr>
        <w:t xml:space="preserve">Перевод с английского д-ра мед. наук </w:t>
      </w:r>
      <w:r w:rsidR="00784EA6" w:rsidRPr="00784EA6">
        <w:rPr>
          <w:iCs/>
          <w:color w:val="000000"/>
          <w:sz w:val="28"/>
          <w:szCs w:val="28"/>
        </w:rPr>
        <w:t>В.И.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Кандрора</w:t>
      </w:r>
      <w:r w:rsidRPr="00784EA6">
        <w:rPr>
          <w:iCs/>
          <w:color w:val="000000"/>
          <w:sz w:val="28"/>
          <w:szCs w:val="28"/>
        </w:rPr>
        <w:t>,</w:t>
      </w:r>
      <w:r w:rsidRPr="00784EA6">
        <w:rPr>
          <w:color w:val="000000"/>
          <w:sz w:val="28"/>
        </w:rPr>
        <w:t xml:space="preserve"> </w:t>
      </w:r>
      <w:r w:rsidR="005840F5">
        <w:rPr>
          <w:iCs/>
          <w:color w:val="000000"/>
          <w:sz w:val="28"/>
          <w:szCs w:val="28"/>
        </w:rPr>
        <w:t>д.м.</w:t>
      </w:r>
      <w:r w:rsidRPr="00784EA6">
        <w:rPr>
          <w:iCs/>
          <w:color w:val="000000"/>
          <w:sz w:val="28"/>
          <w:szCs w:val="28"/>
        </w:rPr>
        <w:t xml:space="preserve">н. </w:t>
      </w:r>
      <w:r w:rsidR="00784EA6" w:rsidRPr="00784EA6">
        <w:rPr>
          <w:iCs/>
          <w:color w:val="000000"/>
          <w:sz w:val="28"/>
          <w:szCs w:val="28"/>
        </w:rPr>
        <w:t>М.В.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Неверовой</w:t>
      </w:r>
      <w:r w:rsidRPr="00784EA6">
        <w:rPr>
          <w:iCs/>
          <w:color w:val="000000"/>
          <w:sz w:val="28"/>
          <w:szCs w:val="28"/>
        </w:rPr>
        <w:t xml:space="preserve">, д-ра мед. наук </w:t>
      </w:r>
      <w:r w:rsidR="00784EA6" w:rsidRPr="00784EA6">
        <w:rPr>
          <w:iCs/>
          <w:color w:val="000000"/>
          <w:sz w:val="28"/>
          <w:szCs w:val="28"/>
        </w:rPr>
        <w:t>А.В.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Сучкова</w:t>
      </w:r>
      <w:r w:rsidRPr="00784EA6">
        <w:rPr>
          <w:iCs/>
          <w:color w:val="000000"/>
          <w:sz w:val="28"/>
          <w:szCs w:val="28"/>
        </w:rPr>
        <w:t>,</w:t>
      </w:r>
      <w:r w:rsidRPr="00784EA6">
        <w:rPr>
          <w:color w:val="000000"/>
          <w:sz w:val="28"/>
        </w:rPr>
        <w:t xml:space="preserve"> </w:t>
      </w:r>
      <w:r w:rsidR="005840F5">
        <w:rPr>
          <w:iCs/>
          <w:color w:val="000000"/>
          <w:sz w:val="28"/>
          <w:szCs w:val="28"/>
        </w:rPr>
        <w:t>к.м.</w:t>
      </w:r>
      <w:r w:rsidRPr="00784EA6">
        <w:rPr>
          <w:iCs/>
          <w:color w:val="000000"/>
          <w:sz w:val="28"/>
          <w:szCs w:val="28"/>
        </w:rPr>
        <w:t xml:space="preserve">н. </w:t>
      </w:r>
      <w:r w:rsidR="00784EA6" w:rsidRPr="00784EA6">
        <w:rPr>
          <w:iCs/>
          <w:color w:val="000000"/>
          <w:sz w:val="28"/>
          <w:szCs w:val="28"/>
        </w:rPr>
        <w:t>А.В.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Низового</w:t>
      </w:r>
      <w:r w:rsidRPr="00784EA6">
        <w:rPr>
          <w:iCs/>
          <w:color w:val="000000"/>
          <w:sz w:val="28"/>
          <w:szCs w:val="28"/>
        </w:rPr>
        <w:t xml:space="preserve">, </w:t>
      </w:r>
      <w:r w:rsidR="00784EA6" w:rsidRPr="00784EA6">
        <w:rPr>
          <w:iCs/>
          <w:color w:val="000000"/>
          <w:sz w:val="28"/>
          <w:szCs w:val="28"/>
        </w:rPr>
        <w:t>Ю.Л.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Амченкова</w:t>
      </w:r>
      <w:r w:rsidRPr="00784EA6">
        <w:rPr>
          <w:iCs/>
          <w:color w:val="000000"/>
          <w:sz w:val="28"/>
          <w:szCs w:val="28"/>
        </w:rPr>
        <w:t xml:space="preserve">; под ред. </w:t>
      </w:r>
      <w:r w:rsidR="005840F5" w:rsidRPr="00784EA6">
        <w:rPr>
          <w:iCs/>
          <w:color w:val="000000"/>
          <w:sz w:val="28"/>
          <w:szCs w:val="28"/>
        </w:rPr>
        <w:t>д</w:t>
      </w:r>
      <w:r w:rsidRPr="00784EA6">
        <w:rPr>
          <w:iCs/>
          <w:color w:val="000000"/>
          <w:sz w:val="28"/>
          <w:szCs w:val="28"/>
        </w:rPr>
        <w:t xml:space="preserve">.м.н. </w:t>
      </w:r>
      <w:r w:rsidR="00784EA6" w:rsidRPr="00784EA6">
        <w:rPr>
          <w:iCs/>
          <w:color w:val="000000"/>
          <w:sz w:val="28"/>
          <w:szCs w:val="28"/>
        </w:rPr>
        <w:t>В.Т.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Ивашкина</w:t>
      </w:r>
      <w:r w:rsidRPr="00784EA6">
        <w:rPr>
          <w:iCs/>
          <w:color w:val="000000"/>
          <w:sz w:val="28"/>
          <w:szCs w:val="28"/>
        </w:rPr>
        <w:t xml:space="preserve">, </w:t>
      </w:r>
      <w:r w:rsidR="005840F5" w:rsidRPr="00784EA6">
        <w:rPr>
          <w:iCs/>
          <w:color w:val="000000"/>
          <w:sz w:val="28"/>
          <w:szCs w:val="28"/>
        </w:rPr>
        <w:t>д.м.н.</w:t>
      </w:r>
      <w:r w:rsidR="005840F5">
        <w:rPr>
          <w:iCs/>
          <w:color w:val="000000"/>
          <w:sz w:val="28"/>
          <w:szCs w:val="28"/>
        </w:rPr>
        <w:t xml:space="preserve"> </w:t>
      </w:r>
      <w:r w:rsidR="00784EA6" w:rsidRPr="00784EA6">
        <w:rPr>
          <w:iCs/>
          <w:color w:val="000000"/>
          <w:sz w:val="28"/>
          <w:szCs w:val="28"/>
        </w:rPr>
        <w:t>П.Г.</w:t>
      </w:r>
      <w:r w:rsidR="00784EA6">
        <w:rPr>
          <w:iCs/>
          <w:color w:val="000000"/>
          <w:sz w:val="28"/>
          <w:szCs w:val="28"/>
        </w:rPr>
        <w:t> </w:t>
      </w:r>
      <w:r w:rsidR="00784EA6" w:rsidRPr="00784EA6">
        <w:rPr>
          <w:iCs/>
          <w:color w:val="000000"/>
          <w:sz w:val="28"/>
          <w:szCs w:val="28"/>
        </w:rPr>
        <w:t>Брюсова</w:t>
      </w:r>
      <w:r w:rsidRPr="00784EA6">
        <w:rPr>
          <w:iCs/>
          <w:color w:val="000000"/>
          <w:sz w:val="28"/>
          <w:szCs w:val="28"/>
        </w:rPr>
        <w:t>; Москва «Медицина» 2001</w:t>
      </w:r>
    </w:p>
    <w:p w:rsidR="00DB72E8" w:rsidRPr="005840F5" w:rsidRDefault="00784EA6" w:rsidP="005840F5">
      <w:pPr>
        <w:numPr>
          <w:ilvl w:val="0"/>
          <w:numId w:val="2"/>
        </w:numPr>
        <w:tabs>
          <w:tab w:val="clear" w:pos="1065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84EA6">
        <w:rPr>
          <w:color w:val="000000"/>
          <w:sz w:val="28"/>
          <w:szCs w:val="28"/>
        </w:rPr>
        <w:t>Елисеев</w:t>
      </w:r>
      <w:r>
        <w:rPr>
          <w:color w:val="000000"/>
          <w:sz w:val="28"/>
          <w:szCs w:val="28"/>
        </w:rPr>
        <w:t> </w:t>
      </w:r>
      <w:r w:rsidRPr="00784EA6">
        <w:rPr>
          <w:color w:val="000000"/>
          <w:sz w:val="28"/>
          <w:szCs w:val="28"/>
        </w:rPr>
        <w:t>О.М.</w:t>
      </w:r>
      <w:r w:rsidR="00DB72E8" w:rsidRPr="00784EA6">
        <w:rPr>
          <w:color w:val="000000"/>
          <w:sz w:val="28"/>
          <w:szCs w:val="28"/>
        </w:rPr>
        <w:t xml:space="preserve"> (составитель) Справочник по оказанию скорой и неотложной помощи, «Лейла», СПБ, 1996 год</w:t>
      </w:r>
      <w:bookmarkStart w:id="0" w:name="_GoBack"/>
      <w:bookmarkEnd w:id="0"/>
    </w:p>
    <w:sectPr w:rsidR="00DB72E8" w:rsidRPr="005840F5" w:rsidSect="00784EA6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EC" w:rsidRDefault="003122EC">
      <w:r>
        <w:separator/>
      </w:r>
    </w:p>
  </w:endnote>
  <w:endnote w:type="continuationSeparator" w:id="0">
    <w:p w:rsidR="003122EC" w:rsidRDefault="0031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E8" w:rsidRDefault="00DB72E8" w:rsidP="007D1F67">
    <w:pPr>
      <w:pStyle w:val="a4"/>
      <w:framePr w:wrap="around" w:vAnchor="text" w:hAnchor="margin" w:xAlign="right" w:y="1"/>
      <w:rPr>
        <w:rStyle w:val="a6"/>
      </w:rPr>
    </w:pPr>
  </w:p>
  <w:p w:rsidR="00DB72E8" w:rsidRDefault="00DB72E8" w:rsidP="00DB72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E8" w:rsidRDefault="00D23DF4" w:rsidP="007D1F67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B72E8" w:rsidRDefault="00DB72E8" w:rsidP="00DB72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EC" w:rsidRDefault="003122EC">
      <w:r>
        <w:separator/>
      </w:r>
    </w:p>
  </w:footnote>
  <w:footnote w:type="continuationSeparator" w:id="0">
    <w:p w:rsidR="003122EC" w:rsidRDefault="0031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2EFCC1F8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65"/>
        </w:tabs>
        <w:ind w:left="3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1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2E8"/>
    <w:rsid w:val="003122EC"/>
    <w:rsid w:val="005840F5"/>
    <w:rsid w:val="006F2F92"/>
    <w:rsid w:val="00784EA6"/>
    <w:rsid w:val="007D1F67"/>
    <w:rsid w:val="009C6D28"/>
    <w:rsid w:val="00A06901"/>
    <w:rsid w:val="00D23DF4"/>
    <w:rsid w:val="00DB72E8"/>
    <w:rsid w:val="00E365D7"/>
    <w:rsid w:val="00E84640"/>
    <w:rsid w:val="00F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CA2425-4C4E-4B48-8331-35AE7E9A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72E8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DB72E8"/>
  </w:style>
  <w:style w:type="paragraph" w:styleId="a4">
    <w:name w:val="footer"/>
    <w:basedOn w:val="a"/>
    <w:link w:val="a5"/>
    <w:uiPriority w:val="99"/>
    <w:rsid w:val="00DB72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DB72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hosp5</Company>
  <LinksUpToDate>false</LinksUpToDate>
  <CharactersWithSpaces>14826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111</dc:creator>
  <cp:keywords/>
  <dc:description/>
  <cp:lastModifiedBy>admin</cp:lastModifiedBy>
  <cp:revision>2</cp:revision>
  <dcterms:created xsi:type="dcterms:W3CDTF">2014-02-25T06:30:00Z</dcterms:created>
  <dcterms:modified xsi:type="dcterms:W3CDTF">2014-02-25T06:30:00Z</dcterms:modified>
</cp:coreProperties>
</file>