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EA" w:rsidRDefault="007A67EA" w:rsidP="007A67EA">
      <w:pPr>
        <w:jc w:val="center"/>
        <w:rPr>
          <w:b/>
          <w:sz w:val="32"/>
          <w:szCs w:val="32"/>
        </w:rPr>
      </w:pPr>
      <w:r w:rsidRPr="007A67EA">
        <w:rPr>
          <w:b/>
          <w:sz w:val="32"/>
          <w:szCs w:val="32"/>
        </w:rPr>
        <w:t>Медико-генетическое консультирование при болезнях с наследственным предрасположением</w:t>
      </w:r>
    </w:p>
    <w:p w:rsidR="00731596" w:rsidRDefault="007A67EA" w:rsidP="007A67EA">
      <w:pPr>
        <w:jc w:val="center"/>
        <w:rPr>
          <w:b/>
          <w:sz w:val="32"/>
          <w:szCs w:val="32"/>
        </w:rPr>
      </w:pPr>
      <w:r w:rsidRPr="007A67EA">
        <w:rPr>
          <w:b/>
          <w:sz w:val="32"/>
          <w:szCs w:val="32"/>
        </w:rPr>
        <w:t xml:space="preserve"> (перспективные направления исследования)</w:t>
      </w:r>
    </w:p>
    <w:p w:rsidR="007A67EA" w:rsidRDefault="007A67EA" w:rsidP="007A67EA">
      <w:pPr>
        <w:jc w:val="center"/>
        <w:rPr>
          <w:b/>
          <w:sz w:val="32"/>
          <w:szCs w:val="32"/>
        </w:rPr>
      </w:pPr>
    </w:p>
    <w:p w:rsidR="007A67EA" w:rsidRDefault="007A67EA" w:rsidP="001356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уже не требует доказательств утверждение, что практически все реакции организма (нормальные и патологические) определяются индивидуальным генотипическим фоном. Именно это – уникальность набора генов у каждого человека – определяет широкое варьирование физиологических реакций в группе людей в ответ на воздействие одного и того же фактора и может быть в одной из причин клинического полиморфизма заболевания. Вместе с этим многочисленными исследованиями показано, что </w:t>
      </w:r>
      <w:r w:rsidR="002F4CB6">
        <w:rPr>
          <w:sz w:val="28"/>
          <w:szCs w:val="28"/>
        </w:rPr>
        <w:t>для большинства заболеваний генетические факторы выступают не столько в роли таких «статистов», сколько являются этиологически значимыми, однако определяющими развитие патологического действия лишь тогда, когда они действуют однонаправлено с определенной совокупностью экзогенных, внешнесредовых факторов. Подобная трактовка обосновывает взгляд на многие заболевания как на болезни с наследственным предрасположением, или мультифакториальные заболевания, являющиеся, таким образом, эффектом совместного действия генетических и средовых факторов предрасположения.</w:t>
      </w:r>
    </w:p>
    <w:p w:rsidR="001356A3" w:rsidRDefault="001356A3" w:rsidP="001356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ВОЗ, болезни с наследственным предрасположением составляют более 90% в общем спектре патологии человека, и к их числу могут быть отнесены практически все заболевания, за исключением «чисто» наследственных аномалий, вызванных генны</w:t>
      </w:r>
      <w:r w:rsidR="00E0654D">
        <w:rPr>
          <w:sz w:val="28"/>
          <w:szCs w:val="28"/>
        </w:rPr>
        <w:t>ми и хромосомными мутациями, а также травматических и инфекционных болезней, хотя и в последнем случае выраженность реакций организма в ответ на воздействие бактерий и вирусов в определенной мере зависит от генотипа.</w:t>
      </w:r>
    </w:p>
    <w:p w:rsidR="0064433E" w:rsidRPr="0064433E" w:rsidRDefault="0064433E" w:rsidP="00EF1B59">
      <w:pPr>
        <w:spacing w:line="360" w:lineRule="auto"/>
        <w:jc w:val="both"/>
        <w:rPr>
          <w:i/>
          <w:sz w:val="22"/>
          <w:szCs w:val="22"/>
        </w:rPr>
      </w:pPr>
      <w:r w:rsidRPr="0064433E">
        <w:rPr>
          <w:i/>
          <w:sz w:val="22"/>
          <w:szCs w:val="22"/>
        </w:rPr>
        <w:t>Таблица 1. Распределение пробандов Медико-генетической консультации института медицинской генетики АМН СССР по группам заболеваний</w:t>
      </w:r>
      <w:r w:rsidR="00EF1B59">
        <w:rPr>
          <w:i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1169"/>
        <w:gridCol w:w="1372"/>
        <w:gridCol w:w="1310"/>
        <w:gridCol w:w="900"/>
        <w:gridCol w:w="1273"/>
        <w:gridCol w:w="1112"/>
        <w:gridCol w:w="796"/>
      </w:tblGrid>
      <w:tr w:rsidR="0064433E" w:rsidRPr="00EA3CEF" w:rsidTr="00EA3CEF">
        <w:tc>
          <w:tcPr>
            <w:tcW w:w="1107" w:type="dxa"/>
            <w:shd w:val="clear" w:color="auto" w:fill="auto"/>
          </w:tcPr>
          <w:p w:rsidR="00470435" w:rsidRPr="00EA3CEF" w:rsidRDefault="00470435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Показа-тель</w:t>
            </w:r>
          </w:p>
        </w:tc>
        <w:tc>
          <w:tcPr>
            <w:tcW w:w="1107" w:type="dxa"/>
            <w:shd w:val="clear" w:color="auto" w:fill="auto"/>
          </w:tcPr>
          <w:p w:rsidR="00470435" w:rsidRPr="00EA3CEF" w:rsidRDefault="00470435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Хромосом-ные</w:t>
            </w:r>
          </w:p>
          <w:p w:rsidR="00470435" w:rsidRPr="00EA3CEF" w:rsidRDefault="00470435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болезни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470435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Аутосомные доминантные</w:t>
            </w:r>
          </w:p>
          <w:p w:rsidR="00470435" w:rsidRPr="00EA3CEF" w:rsidRDefault="00470435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заболевания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470435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Аутосомные</w:t>
            </w:r>
          </w:p>
          <w:p w:rsidR="00470435" w:rsidRPr="00EA3CEF" w:rsidRDefault="00470435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рецессивные заболевания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Х-</w:t>
            </w:r>
            <w:r w:rsidR="00470435" w:rsidRPr="00EA3CEF">
              <w:rPr>
                <w:sz w:val="20"/>
                <w:szCs w:val="20"/>
              </w:rPr>
              <w:t>сцеп-ленные</w:t>
            </w:r>
          </w:p>
          <w:p w:rsidR="00470435" w:rsidRPr="00EA3CEF" w:rsidRDefault="0064433E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з</w:t>
            </w:r>
            <w:r w:rsidR="00470435" w:rsidRPr="00EA3CEF">
              <w:rPr>
                <w:sz w:val="20"/>
                <w:szCs w:val="20"/>
              </w:rPr>
              <w:t>аболе</w:t>
            </w:r>
            <w:r w:rsidRPr="00EA3CEF">
              <w:rPr>
                <w:sz w:val="20"/>
                <w:szCs w:val="20"/>
              </w:rPr>
              <w:t>-</w:t>
            </w:r>
            <w:r w:rsidR="00470435" w:rsidRPr="00EA3CEF">
              <w:rPr>
                <w:sz w:val="20"/>
                <w:szCs w:val="20"/>
              </w:rPr>
              <w:t>вания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Мульти-факториаль-ные заболе-вания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Заболева- ния с неустой-чивым типом наследств.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Всего</w:t>
            </w:r>
          </w:p>
        </w:tc>
      </w:tr>
      <w:tr w:rsidR="0064433E" w:rsidRPr="00EA3CEF" w:rsidTr="00EA3CEF">
        <w:tc>
          <w:tcPr>
            <w:tcW w:w="1107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Число</w:t>
            </w:r>
          </w:p>
        </w:tc>
        <w:tc>
          <w:tcPr>
            <w:tcW w:w="1107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464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160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330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40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716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290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2000</w:t>
            </w:r>
          </w:p>
        </w:tc>
      </w:tr>
      <w:tr w:rsidR="0064433E" w:rsidRPr="00EA3CEF" w:rsidTr="00EA3CEF">
        <w:tc>
          <w:tcPr>
            <w:tcW w:w="1107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Процент</w:t>
            </w:r>
          </w:p>
        </w:tc>
        <w:tc>
          <w:tcPr>
            <w:tcW w:w="1107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23,2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8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16,5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2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35,8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14,5</w:t>
            </w:r>
          </w:p>
        </w:tc>
        <w:tc>
          <w:tcPr>
            <w:tcW w:w="1108" w:type="dxa"/>
            <w:shd w:val="clear" w:color="auto" w:fill="auto"/>
          </w:tcPr>
          <w:p w:rsidR="00470435" w:rsidRPr="00EA3CEF" w:rsidRDefault="0064433E" w:rsidP="00EA3CEF">
            <w:pPr>
              <w:jc w:val="center"/>
              <w:rPr>
                <w:sz w:val="18"/>
                <w:szCs w:val="18"/>
              </w:rPr>
            </w:pPr>
            <w:r w:rsidRPr="00EA3CEF">
              <w:rPr>
                <w:sz w:val="18"/>
                <w:szCs w:val="18"/>
              </w:rPr>
              <w:t>100</w:t>
            </w:r>
          </w:p>
        </w:tc>
      </w:tr>
    </w:tbl>
    <w:p w:rsidR="0064433E" w:rsidRDefault="0064433E" w:rsidP="001356A3">
      <w:pPr>
        <w:spacing w:line="360" w:lineRule="auto"/>
        <w:ind w:firstLine="709"/>
        <w:jc w:val="both"/>
        <w:rPr>
          <w:sz w:val="28"/>
          <w:szCs w:val="28"/>
        </w:rPr>
      </w:pPr>
    </w:p>
    <w:p w:rsidR="00E0654D" w:rsidRDefault="00E0654D" w:rsidP="001356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Мультифакториальные заболевания в настоящее время являются самой частой причиной обращения в Медико-генетическую консультацию. Цель таких обращений обычно заключается в желании консультирующихся узнать о прогнозе потомства или прогнозе здоровья уже родившегося ребенка или взрослого.</w:t>
      </w:r>
    </w:p>
    <w:p w:rsidR="00E0654D" w:rsidRDefault="00E0654D" w:rsidP="001356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медицинской кибернетики накоплено большое число алгоритм и программ, реализующих тот или иной метод </w:t>
      </w:r>
      <w:r w:rsidR="006F5A5F">
        <w:rPr>
          <w:sz w:val="28"/>
          <w:szCs w:val="28"/>
        </w:rPr>
        <w:t>распознавания образов, итогом которых является построение правил принятия дифференциально-диагностических решений. Вычисли- тельные метода диагностики заболеваний и прогнозирования их исходов все шире находят применение в медицинской практике.</w:t>
      </w:r>
    </w:p>
    <w:p w:rsidR="00EF1B59" w:rsidRPr="00EF1B59" w:rsidRDefault="00EF1B59" w:rsidP="00EF1B59">
      <w:pPr>
        <w:spacing w:line="480" w:lineRule="auto"/>
        <w:jc w:val="both"/>
        <w:rPr>
          <w:i/>
          <w:sz w:val="22"/>
          <w:szCs w:val="22"/>
        </w:rPr>
      </w:pPr>
      <w:r w:rsidRPr="00EF1B59">
        <w:rPr>
          <w:i/>
          <w:sz w:val="22"/>
          <w:szCs w:val="22"/>
        </w:rPr>
        <w:t>Таблица 2. Распределение по этиологии врожденных пороков развития у пациентов Медико-генетической консультации.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440"/>
        <w:gridCol w:w="1336"/>
        <w:gridCol w:w="2200"/>
        <w:gridCol w:w="1821"/>
        <w:gridCol w:w="834"/>
      </w:tblGrid>
      <w:tr w:rsidR="00EF1B59" w:rsidRPr="00EA3CEF" w:rsidTr="00EA3CEF"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Показатель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Хромосомные</w:t>
            </w:r>
          </w:p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аномалии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Моногенные</w:t>
            </w:r>
          </w:p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синдромы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Мультифакториальные</w:t>
            </w:r>
          </w:p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пороки развития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Ненаследственные пороки развития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Всего</w:t>
            </w:r>
          </w:p>
        </w:tc>
      </w:tr>
      <w:tr w:rsidR="00EF1B59" w:rsidRPr="00EA3CEF" w:rsidTr="00EA3CEF"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Число пациентов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160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31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692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7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890</w:t>
            </w:r>
          </w:p>
        </w:tc>
      </w:tr>
      <w:tr w:rsidR="00EF1B59" w:rsidRPr="00EA3CEF" w:rsidTr="00EA3CEF"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Процент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18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3,5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77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0,8</w:t>
            </w:r>
          </w:p>
        </w:tc>
        <w:tc>
          <w:tcPr>
            <w:tcW w:w="1477" w:type="dxa"/>
            <w:shd w:val="clear" w:color="auto" w:fill="auto"/>
          </w:tcPr>
          <w:p w:rsidR="00EF1B59" w:rsidRPr="00EA3CEF" w:rsidRDefault="00EF1B59" w:rsidP="00EA3CEF">
            <w:pPr>
              <w:jc w:val="center"/>
              <w:rPr>
                <w:sz w:val="20"/>
                <w:szCs w:val="20"/>
              </w:rPr>
            </w:pPr>
            <w:r w:rsidRPr="00EA3CEF">
              <w:rPr>
                <w:sz w:val="20"/>
                <w:szCs w:val="20"/>
              </w:rPr>
              <w:t>100</w:t>
            </w:r>
          </w:p>
        </w:tc>
      </w:tr>
    </w:tbl>
    <w:p w:rsidR="00EF1B59" w:rsidRDefault="00EF1B59" w:rsidP="001356A3">
      <w:pPr>
        <w:spacing w:line="360" w:lineRule="auto"/>
        <w:ind w:firstLine="709"/>
        <w:jc w:val="both"/>
        <w:rPr>
          <w:sz w:val="28"/>
          <w:szCs w:val="28"/>
        </w:rPr>
      </w:pPr>
    </w:p>
    <w:p w:rsidR="006F5A5F" w:rsidRDefault="006F5A5F" w:rsidP="001356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самых распространенных и достаточно широко апробированных математических немашинных методов вычислительной диагностики, лежащих в основе разработки диагностических таблиц, является алгоритм неоднородной последовательной статистической процедуры распознавания (НПСП), вытекающей из метода Байеса и позволяющей осуществлять выбор одной из двух </w:t>
      </w:r>
      <w:r w:rsidR="00BC770F">
        <w:rPr>
          <w:sz w:val="28"/>
          <w:szCs w:val="28"/>
        </w:rPr>
        <w:t>конкурирующих диагностических гипотез при заранее намеченном уровне надежности. Эта вычислительная процедура, основанная на применении так называемого последовательного анализа Вальда, подробно изложена в монографии Е.В. Гублера, в связи с чем ее освещение в рамках настоящего сообщения оказалось нецелесообразным.</w:t>
      </w:r>
      <w:r w:rsidR="00243CC6">
        <w:rPr>
          <w:sz w:val="28"/>
          <w:szCs w:val="28"/>
        </w:rPr>
        <w:t xml:space="preserve"> Несмотря на то что разработка и проверка диагностических таблиц требуют длительного анализа, правомерность их применения в различных областях медицины </w:t>
      </w:r>
      <w:r w:rsidR="00524A1B">
        <w:rPr>
          <w:sz w:val="28"/>
          <w:szCs w:val="28"/>
        </w:rPr>
        <w:t xml:space="preserve">показана целым рядом авторов. Будучи </w:t>
      </w:r>
      <w:r w:rsidR="0026173F">
        <w:rPr>
          <w:sz w:val="28"/>
          <w:szCs w:val="28"/>
        </w:rPr>
        <w:t>крайне</w:t>
      </w:r>
      <w:r w:rsidR="00524A1B">
        <w:rPr>
          <w:sz w:val="28"/>
          <w:szCs w:val="28"/>
        </w:rPr>
        <w:t xml:space="preserve"> простыми и удобными  в употр</w:t>
      </w:r>
      <w:r w:rsidR="00731596">
        <w:rPr>
          <w:sz w:val="28"/>
          <w:szCs w:val="28"/>
        </w:rPr>
        <w:t>еблении, диагностические таблицы</w:t>
      </w:r>
      <w:r w:rsidR="00524A1B">
        <w:rPr>
          <w:sz w:val="28"/>
          <w:szCs w:val="28"/>
        </w:rPr>
        <w:t xml:space="preserve"> являются весьма надежными, т.е. обеспечивают минимальную вероятность ошибочного результата в распознавании дифференцируемых патологических состояний. Вместе с тем с точки зрения поставленной задачи представляет интерес возможность использования табличного метода для прогнозирования развития заболевания.</w:t>
      </w:r>
    </w:p>
    <w:p w:rsidR="00524A1B" w:rsidRDefault="00524A1B" w:rsidP="00524A1B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524A1B" w:rsidRDefault="00524A1B" w:rsidP="00524A1B">
      <w:pPr>
        <w:spacing w:line="36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Материалы и методы</w:t>
      </w:r>
    </w:p>
    <w:p w:rsidR="00D245F0" w:rsidRDefault="00524A1B" w:rsidP="00D245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 язвенной болезни как модели для разработки программы по прогнозированию мультифакториального заболевания был обусловлен, в первую очередь, тем, что, как свидетельствовали полученные ранее данные</w:t>
      </w:r>
      <w:r w:rsidR="00EF1B59">
        <w:rPr>
          <w:sz w:val="28"/>
          <w:szCs w:val="28"/>
        </w:rPr>
        <w:t>,</w:t>
      </w:r>
      <w:r>
        <w:rPr>
          <w:sz w:val="28"/>
          <w:szCs w:val="28"/>
        </w:rPr>
        <w:t xml:space="preserve"> язвенная болезнь является в целом</w:t>
      </w:r>
      <w:r w:rsidR="00D245F0">
        <w:rPr>
          <w:sz w:val="28"/>
          <w:szCs w:val="28"/>
        </w:rPr>
        <w:t xml:space="preserve"> мультифакториальным заболеванием. Вместе с тем было отмечено, что язвенная болезнь – неоднородное заболевание, в пределах которого с генетической точки зрения возможно выделение язвенной болезни желудка и возрастных вариантов язвенной болезни 12-перстной кишки. По этой причине оказалось нецелесообразным осуществлять исследование не на язвенной болезни в целом, а на одной из ее форм – дуоденальной язве в силу того, в частности, что эта последняя является более генетически отягощенным и более распространенным заболеванием по сравнению с язвой желудка</w:t>
      </w:r>
      <w:r w:rsidR="0026173F">
        <w:rPr>
          <w:sz w:val="28"/>
          <w:szCs w:val="28"/>
        </w:rPr>
        <w:t>. Выбор одной из форм, а не всего заболевания в целом при наличии его генетической гетерогенности является необходимым условием подхода к отбору материала при постановке задачи прогнозирования мультифакториального заболевания.</w:t>
      </w:r>
    </w:p>
    <w:p w:rsidR="0026173F" w:rsidRDefault="0026173F" w:rsidP="00D245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Методами исследования на предварительном этапе были: клинико – генеалогический метод и лабораторные биохимические методы по определению среди обследуемых лиц перечисленных выше генетических маркеров.</w:t>
      </w:r>
    </w:p>
    <w:p w:rsidR="0026173F" w:rsidRDefault="0026173F" w:rsidP="00D245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и оценка диагностической информации включенных в </w:t>
      </w:r>
      <w:r w:rsidR="00470435">
        <w:rPr>
          <w:sz w:val="28"/>
          <w:szCs w:val="28"/>
        </w:rPr>
        <w:t>анализ признаков для разработки таблицы по идентификации лиц с наличием комплекса признаков, отражающего наследственное предрасположение к дуоденальной язве, на основном этапе исследования проводились посредством неоднородной последовательной статистической процедуры.</w:t>
      </w:r>
    </w:p>
    <w:p w:rsidR="00524A1B" w:rsidRPr="00524A1B" w:rsidRDefault="00524A1B" w:rsidP="00524A1B">
      <w:pPr>
        <w:spacing w:line="360" w:lineRule="auto"/>
        <w:ind w:firstLine="709"/>
        <w:jc w:val="both"/>
        <w:rPr>
          <w:sz w:val="28"/>
          <w:szCs w:val="28"/>
        </w:rPr>
      </w:pPr>
    </w:p>
    <w:p w:rsidR="001356A3" w:rsidRPr="007A67EA" w:rsidRDefault="001356A3" w:rsidP="007A67EA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1356A3" w:rsidRPr="007A67EA" w:rsidSect="00AD64B5">
      <w:pgSz w:w="12240" w:h="15840" w:code="1"/>
      <w:pgMar w:top="1417" w:right="1797" w:bottom="1417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4B5"/>
    <w:rsid w:val="001356A3"/>
    <w:rsid w:val="00243CC6"/>
    <w:rsid w:val="0026173F"/>
    <w:rsid w:val="002F4CB6"/>
    <w:rsid w:val="00470435"/>
    <w:rsid w:val="00524A1B"/>
    <w:rsid w:val="0064433E"/>
    <w:rsid w:val="00650309"/>
    <w:rsid w:val="006F5A5F"/>
    <w:rsid w:val="00731596"/>
    <w:rsid w:val="007A67EA"/>
    <w:rsid w:val="00853887"/>
    <w:rsid w:val="00964B21"/>
    <w:rsid w:val="00AD64B5"/>
    <w:rsid w:val="00BC770F"/>
    <w:rsid w:val="00D245F0"/>
    <w:rsid w:val="00E0654D"/>
    <w:rsid w:val="00EA3CEF"/>
    <w:rsid w:val="00E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06790A4-6C94-4E48-9563-1D8BDDDF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Медико-генетическое консультирование при болезнях с наследственным предрасположением</vt:lpstr>
    </vt:vector>
  </TitlesOfParts>
  <Company>1</Company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Медико-генетическое консультирование при болезнях с наследственным предрасположением</dc:title>
  <dc:subject/>
  <dc:creator>1</dc:creator>
  <cp:keywords/>
  <dc:description/>
  <cp:lastModifiedBy>Irina</cp:lastModifiedBy>
  <cp:revision>2</cp:revision>
  <cp:lastPrinted>2004-05-16T19:15:00Z</cp:lastPrinted>
  <dcterms:created xsi:type="dcterms:W3CDTF">2014-10-30T15:07:00Z</dcterms:created>
  <dcterms:modified xsi:type="dcterms:W3CDTF">2014-10-30T15:07:00Z</dcterms:modified>
</cp:coreProperties>
</file>