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63" w:rsidRDefault="00767163"/>
    <w:p w:rsidR="0028116E" w:rsidRDefault="0028116E">
      <w:pPr>
        <w:rPr>
          <w:lang w:val="en-US"/>
        </w:rPr>
      </w:pPr>
      <w:r>
        <w:t xml:space="preserve">В настоящем докладе мы рассмотрим основы налогообложения Венгрии и принципы её формирования, а так же основные изменения произошедшие в системе за последние 10 лет. </w:t>
      </w:r>
      <w:r w:rsidR="000B2828" w:rsidRPr="000B2828">
        <w:t>Мы выделим основные типы применяемых налогов, и немного расскажем о каждом из них.</w:t>
      </w:r>
    </w:p>
    <w:p w:rsidR="000B2828" w:rsidRDefault="000B2828" w:rsidP="000B2828">
      <w:pPr>
        <w:pStyle w:val="a4"/>
      </w:pPr>
      <w:r>
        <w:t xml:space="preserve">Венгерская система налогообложения сформировалась в последние десять лет и в отношении функционирования налогового механизма имеет сходство с западно-европейской моделью. Венгрия заключила соглашение об исключении двойного налогообложения более, чем с 50 странами, и такое действующее соглашение имеется у Венгрии с Россией и Украиной. </w:t>
      </w:r>
    </w:p>
    <w:p w:rsidR="000B2828" w:rsidRDefault="000B2828" w:rsidP="000B2828">
      <w:pPr>
        <w:pStyle w:val="a4"/>
      </w:pPr>
      <w:r>
        <w:t>Порядок налогообложения регулируется Законом XCI от 1990 года. Закон содержит подробные нормативы о сроках уплаты налогов. Налогоплательщики должны платить налоги – в зависимости от их типа – раз в месяц, раз в квартал или раз в год.</w:t>
      </w:r>
    </w:p>
    <w:p w:rsidR="000B2828" w:rsidRDefault="000B2828" w:rsidP="000B2828">
      <w:pPr>
        <w:pStyle w:val="a4"/>
        <w:rPr>
          <w:lang w:val="en-US"/>
        </w:rPr>
      </w:pPr>
      <w:r>
        <w:t>Венгрия применяет систему налогообложения на основе добровольных налоговых деклараций с относительно короткими сроками их представления в налоговое управление. Налоговая декларация содержит лишь ограниченный объем информации, однако Управление налогового и финансового контроля (АПЕХ) имеет право на проведение детального расследования. При просрочке уплаты взимаются пеня и штраф, и размер последнего может быть значительным.</w:t>
      </w:r>
    </w:p>
    <w:p w:rsidR="000B2828" w:rsidRDefault="000B2828" w:rsidP="000B2828">
      <w:pPr>
        <w:pStyle w:val="paragraf"/>
      </w:pPr>
      <w:r>
        <w:t xml:space="preserve">Венгрия относится к категории среднеразвитых государств. Доля в мировом паритетном ВВП – 0,2%, доля в паритетном ВВП стран ЕС – 0,8%. Паритетный ВВП на душу населения в </w:t>
      </w:r>
      <w:smartTag w:uri="urn:schemas-microsoft-com:office:smarttags" w:element="metricconverter">
        <w:smartTagPr>
          <w:attr w:name="ProductID" w:val="2009 г"/>
        </w:smartTagPr>
        <w:r>
          <w:t>2009 г</w:t>
        </w:r>
      </w:smartTag>
      <w:r>
        <w:t>. составил около 15 тыс. евро.</w:t>
      </w:r>
    </w:p>
    <w:p w:rsidR="000B2828" w:rsidRPr="000B2828" w:rsidRDefault="000B2828" w:rsidP="000B2828">
      <w:pPr>
        <w:pStyle w:val="paragraf"/>
      </w:pPr>
      <w:r>
        <w:t xml:space="preserve">В 2001-2008 гг. экономика Венгрии развивалась быстрыми темпами, уступая лишь Польше и Чехии среди новых участников Евросоюза. За этот период ее ВВП вырос в 1,3 раза. В условиях мирового финансово-экономического кризиса по итогам </w:t>
      </w:r>
      <w:smartTag w:uri="urn:schemas-microsoft-com:office:smarttags" w:element="metricconverter">
        <w:smartTagPr>
          <w:attr w:name="ProductID" w:val="2009 г"/>
        </w:smartTagPr>
        <w:r>
          <w:t>2009 г</w:t>
        </w:r>
      </w:smartTag>
      <w:r>
        <w:t>. наблюдался значительный спад: объем ВВП снизился на 6,3%, потребление населения сократилось на почти на 7%, капиталовложения – на 8,6%. Вместе с тем, было достигнуто положительное сальдо внешнеторгового баланса в размере 4,6  млрд. евро. Дефицит государственного бюджета страны по отношению к ВВП уменьшился за 2009 год с 8,9% до 3,9%. </w:t>
      </w:r>
    </w:p>
    <w:p w:rsidR="0028116E" w:rsidRDefault="0028116E">
      <w:pPr>
        <w:rPr>
          <w:lang w:val="en-US"/>
        </w:rPr>
      </w:pPr>
      <w:r>
        <w:t>Итак, считаю важным начать с основ и разобрать, что же собой представляют современная налоговая система</w:t>
      </w:r>
      <w:r w:rsidRPr="00D1002F">
        <w:t>.</w:t>
      </w:r>
      <w:r w:rsidR="00D1002F" w:rsidRPr="00D1002F">
        <w:t xml:space="preserve"> Налоговая система представляет собой совокупность налогов, сборов и других платежей, взимаемых в установленном законом порядке , и способов управления ими. Значение и структура этой системы определяются социально-экономическим строем общества и типом государства. В основу построения налоговой системы закладываются определенные принципы и классификации видов налогов по однородным признакам</w:t>
      </w:r>
      <w:r w:rsidR="00D1002F">
        <w:t>.</w:t>
      </w:r>
    </w:p>
    <w:p w:rsidR="000B2828" w:rsidRDefault="000B2828">
      <w:pPr>
        <w:rPr>
          <w:lang w:val="en-US"/>
        </w:rPr>
      </w:pPr>
      <w:r>
        <w:t>Неуплата налогов в Венгрии является очень тяжелым нарушением Венгерского законодательства. Кроме того, при рассмотрении дел иностранцев, вопрос регулярной и полной уплаты налогов имеет повышенный вес, склоняя чашу весов в ту или иную сторону. История уплаты налогов также поднимается при рассмотрении прошений на ВНЖ или ПМЖ.</w:t>
      </w:r>
    </w:p>
    <w:p w:rsidR="000B2828" w:rsidRPr="000B2828" w:rsidRDefault="000B2828" w:rsidP="000B2828">
      <w:r w:rsidRPr="000B2828">
        <w:t>В зависимости от органа, взимающего налоги и в распоряжение которого они поступают, налоги подразделяются на федеральные и местные.</w:t>
      </w:r>
    </w:p>
    <w:p w:rsidR="000B2828" w:rsidRDefault="000B2828" w:rsidP="000B2828">
      <w:r>
        <w:t>В зависимости от методов взимания налоги классифицируются как прямые и косвенные. Прямые налоги взимаются непосредственно с дохода и стоимости имущества. Косвенные налоги - это налоги на товары и услуги, включаемые в цену или тариф. Владелец товара или услуги включает налоговый оклад в цену или тариф оплачиваемого потребителем товара, работы или услуги, и эту долю налога перечисляет государству.</w:t>
      </w:r>
    </w:p>
    <w:p w:rsidR="000B2828" w:rsidRDefault="000B2828" w:rsidP="000B2828">
      <w:r>
        <w:t>Деление налогов на прямые и косвенные носит несколько условный характер.  Например, налог на прибыль предприятий – формально прямой, в основном он вносится собственником за счет прибыли. Однако определенная его часть может оплачиваться потребителем в цене продукции.</w:t>
      </w:r>
    </w:p>
    <w:p w:rsidR="000B2828" w:rsidRDefault="000B2828" w:rsidP="000B2828">
      <w:pPr>
        <w:rPr>
          <w:lang w:val="en-US"/>
        </w:rPr>
      </w:pPr>
      <w:r>
        <w:t>В налоговой практике ряда стран используется классификация налогов по объектам обложения: налог на доход, налог на капитал, налог на товары, налог на имущество и др.</w:t>
      </w:r>
    </w:p>
    <w:p w:rsidR="00661DD7" w:rsidRDefault="00661DD7" w:rsidP="00661DD7">
      <w:r w:rsidRPr="00661DD7">
        <w:t xml:space="preserve">    </w:t>
      </w:r>
      <w:r>
        <w:t>Многолетняя практика налогообложения в различных странах  использует следующие основные принципы построения налоговой системы:</w:t>
      </w:r>
    </w:p>
    <w:p w:rsidR="00661DD7" w:rsidRDefault="00661DD7" w:rsidP="00661DD7">
      <w:r>
        <w:t>однократность обложения одного и того же объекта за определенный период;</w:t>
      </w:r>
    </w:p>
    <w:p w:rsidR="00661DD7" w:rsidRDefault="00661DD7" w:rsidP="00661DD7">
      <w:r>
        <w:t>стабильность налоговой системы в течение длительного времени;</w:t>
      </w:r>
    </w:p>
    <w:p w:rsidR="00661DD7" w:rsidRDefault="00661DD7" w:rsidP="00661DD7">
      <w:r>
        <w:t>простота и доходчивость налоговой системы, не допускающие произвольных толкований;</w:t>
      </w:r>
    </w:p>
    <w:p w:rsidR="00661DD7" w:rsidRPr="00661DD7" w:rsidRDefault="00661DD7" w:rsidP="00661DD7">
      <w:r>
        <w:t>оптимальность налоговых изъятий – достижение паритета между общественными, корпоративными и личными экономическими интересами.</w:t>
      </w:r>
    </w:p>
    <w:p w:rsidR="00661DD7" w:rsidRDefault="00661DD7" w:rsidP="00661DD7">
      <w:r>
        <w:rPr>
          <w:lang w:val="en-US"/>
        </w:rPr>
        <w:t xml:space="preserve">     </w:t>
      </w:r>
      <w:r>
        <w:t>Итак, пойдем по порядку. Попробуем рассмотреть обычную торговую фирму и классифицировать ее обязательные платежи в государственную казну Венгерской Республики. В Венгрии выделяются три основных группы налогов, которые надо будет платить в любом случае, независимо от вида деятельности:</w:t>
      </w:r>
    </w:p>
    <w:p w:rsidR="00661DD7" w:rsidRPr="00661DD7" w:rsidRDefault="00661DD7" w:rsidP="00661DD7">
      <w:pPr>
        <w:numPr>
          <w:ilvl w:val="0"/>
          <w:numId w:val="2"/>
        </w:numPr>
      </w:pPr>
      <w:r>
        <w:t>Налог на прибыль (Tarsasagi ado) - основная ставка 18%</w:t>
      </w:r>
    </w:p>
    <w:p w:rsidR="00661DD7" w:rsidRPr="00661DD7" w:rsidRDefault="00661DD7" w:rsidP="00661DD7">
      <w:pPr>
        <w:numPr>
          <w:ilvl w:val="0"/>
          <w:numId w:val="2"/>
        </w:numPr>
      </w:pPr>
      <w:r>
        <w:t>НДС (AFA) - основная ставка 25%</w:t>
      </w:r>
    </w:p>
    <w:p w:rsidR="00661DD7" w:rsidRPr="00661DD7" w:rsidRDefault="00661DD7" w:rsidP="00661DD7">
      <w:pPr>
        <w:numPr>
          <w:ilvl w:val="0"/>
          <w:numId w:val="2"/>
        </w:numPr>
      </w:pPr>
      <w:r>
        <w:t>Местный индустриальный налог (helyi iparuzesi ado) - основная ставка 2%</w:t>
      </w:r>
    </w:p>
    <w:p w:rsidR="00661DD7" w:rsidRPr="00661DD7" w:rsidRDefault="005E5570" w:rsidP="00661DD7">
      <w:r w:rsidRPr="005E5570">
        <w:t xml:space="preserve">    </w:t>
      </w:r>
      <w:r w:rsidR="00661DD7">
        <w:t>Закон LXXXI от 1996 года “О корпоративном налоге и налоге на дивиденды” определяет ставку налога на прибыль корпорации в размере 18%</w:t>
      </w:r>
      <w:r w:rsidR="00661DD7" w:rsidRPr="00661DD7">
        <w:t>.</w:t>
      </w:r>
    </w:p>
    <w:p w:rsidR="005E5570" w:rsidRPr="005E5570" w:rsidRDefault="005E5570" w:rsidP="005E5570">
      <w:r w:rsidRPr="005E5570">
        <w:t xml:space="preserve">    </w:t>
      </w:r>
      <w:r w:rsidR="00661DD7">
        <w:t>Закон CVII от 1995 года “О подоходном налоге с физических лиц”, с учетом изменений и дополнений к нему. Действие закона распространяется на физическое лицо, его доход и связанные с этим обязанности по уплате налога. Налогооблагаемой базой является сумма доходов, полученная физическим лицом от самостоятельной и несамостоятельной деятельности. А также иных доходов. С начала 2003 года, для физических лиц, применяется следующая прогрессивная шкала налогообложения: от 0 до 1200000 форинтов – 20%; от 1200001 до 2400000 – 30%; от 2400001 форинтов и выше – 40%.</w:t>
      </w:r>
    </w:p>
    <w:p w:rsidR="005E5570" w:rsidRPr="005E5570" w:rsidRDefault="005E5570" w:rsidP="005E5570">
      <w:r w:rsidRPr="005E5570">
        <w:t xml:space="preserve">    </w:t>
      </w:r>
      <w:r>
        <w:t>Закон LXXIV от 1992 года “О налоге с оборота” с изменениями и дополнениями. Правовые нормы закона согласуются с соответствующими нормативными актами Евросоюза. Основанием для налогообложения является реализация товаров и оказание услуг, а также импорт товаров. Размер налога 12-25%, в зависимости от вида товаров и услуг.</w:t>
      </w:r>
    </w:p>
    <w:p w:rsidR="005E5570" w:rsidRPr="005E5570" w:rsidRDefault="005E5570" w:rsidP="005E5570">
      <w:r w:rsidRPr="005E5570">
        <w:t xml:space="preserve">    </w:t>
      </w:r>
      <w:r>
        <w:t>Закон СIII от 1997 года “Об акцизном налоге” и особых правилах оборота подакцизных товаров”. К подакцизным товарам нормативным актом отнесены следующие 7 групп товаров: нефтепродукты - в среднем около 87,3 форинтов за литр, крепкие спиртные напитки до 40%, пиво - 6-7%, шампанское - около 7%, промежуточные алкогольные напитки – 11%, табачные изделия 10,5%, виноградные вина до 11%.</w:t>
      </w:r>
    </w:p>
    <w:p w:rsidR="005E5570" w:rsidRPr="005E5570" w:rsidRDefault="005E5570" w:rsidP="005E5570">
      <w:r w:rsidRPr="005E5570">
        <w:t xml:space="preserve">    </w:t>
      </w:r>
      <w:r>
        <w:t>Закон LXXVIII от 1991 года “О потребительском налоге и дотациях к потребительским ценам”.</w:t>
      </w:r>
    </w:p>
    <w:p w:rsidR="005E5570" w:rsidRDefault="005E5570" w:rsidP="005E5570">
      <w:r w:rsidRPr="005E5570">
        <w:t xml:space="preserve">    </w:t>
      </w:r>
      <w:r>
        <w:t>Потребительский налог начисляется на следующие виды товаров:</w:t>
      </w:r>
    </w:p>
    <w:p w:rsidR="005E5570" w:rsidRDefault="005E5570" w:rsidP="005E5570">
      <w:pPr>
        <w:numPr>
          <w:ilvl w:val="1"/>
          <w:numId w:val="3"/>
        </w:numPr>
        <w:spacing w:before="100" w:beforeAutospacing="1" w:after="100" w:afterAutospacing="1"/>
      </w:pPr>
      <w:r>
        <w:t>ювелирные изделия до 35%;</w:t>
      </w:r>
    </w:p>
    <w:p w:rsidR="005E5570" w:rsidRDefault="005E5570" w:rsidP="005E5570">
      <w:pPr>
        <w:numPr>
          <w:ilvl w:val="1"/>
          <w:numId w:val="3"/>
        </w:numPr>
        <w:spacing w:before="100" w:beforeAutospacing="1" w:after="100" w:afterAutospacing="1"/>
      </w:pPr>
      <w:r>
        <w:t>легковые автомобили от 22 до 32%;</w:t>
      </w:r>
    </w:p>
    <w:p w:rsidR="005E5570" w:rsidRPr="005E5570" w:rsidRDefault="005E5570" w:rsidP="005E5570">
      <w:pPr>
        <w:numPr>
          <w:ilvl w:val="1"/>
          <w:numId w:val="3"/>
        </w:numPr>
        <w:spacing w:before="100" w:beforeAutospacing="1" w:after="100" w:afterAutospacing="1"/>
      </w:pPr>
      <w:r>
        <w:t>кофе до 12%.</w:t>
      </w:r>
    </w:p>
    <w:p w:rsidR="005E5570" w:rsidRPr="005E5570" w:rsidRDefault="005E5570" w:rsidP="005E5570">
      <w:pPr>
        <w:spacing w:before="100" w:beforeAutospacing="1" w:after="100" w:afterAutospacing="1"/>
      </w:pPr>
      <w:r w:rsidRPr="005E5570">
        <w:t xml:space="preserve">    </w:t>
      </w:r>
      <w:r>
        <w:t>Закон С от 1990 года “О местных налогах” определяет перечень налогов, которые местные органы власти имеют право взимать.</w:t>
      </w:r>
    </w:p>
    <w:p w:rsidR="005E5570" w:rsidRDefault="005E5570" w:rsidP="005E5570">
      <w:pPr>
        <w:spacing w:before="100" w:beforeAutospacing="1" w:after="100" w:afterAutospacing="1"/>
      </w:pPr>
      <w:r>
        <w:t>Это могут быть:</w:t>
      </w:r>
    </w:p>
    <w:p w:rsidR="005E5570" w:rsidRDefault="005E5570" w:rsidP="005E5570">
      <w:pPr>
        <w:numPr>
          <w:ilvl w:val="1"/>
          <w:numId w:val="4"/>
        </w:numPr>
        <w:spacing w:before="100" w:beforeAutospacing="1" w:after="100" w:afterAutospacing="1"/>
      </w:pPr>
      <w:r>
        <w:t>Налог на недвижимое имущество, земельный налог;</w:t>
      </w:r>
    </w:p>
    <w:p w:rsidR="005E5570" w:rsidRDefault="005E5570" w:rsidP="005E5570">
      <w:pPr>
        <w:numPr>
          <w:ilvl w:val="1"/>
          <w:numId w:val="4"/>
        </w:numPr>
        <w:spacing w:before="100" w:beforeAutospacing="1" w:after="100" w:afterAutospacing="1"/>
      </w:pPr>
      <w:r>
        <w:t>Налог на туристические услуги;</w:t>
      </w:r>
    </w:p>
    <w:p w:rsidR="005E5570" w:rsidRDefault="005E5570" w:rsidP="005E5570">
      <w:pPr>
        <w:numPr>
          <w:ilvl w:val="1"/>
          <w:numId w:val="4"/>
        </w:numPr>
        <w:spacing w:before="100" w:beforeAutospacing="1" w:after="100" w:afterAutospacing="1"/>
      </w:pPr>
      <w:r>
        <w:t>Налог на промысел;</w:t>
      </w:r>
    </w:p>
    <w:p w:rsidR="005E5570" w:rsidRDefault="005E5570" w:rsidP="005E5570">
      <w:pPr>
        <w:pStyle w:val="a4"/>
        <w:rPr>
          <w:lang w:val="en-US"/>
        </w:rPr>
      </w:pPr>
      <w:r>
        <w:t>Размер налога на недвижимое имущество составляет не более 3% оценочной стоимости недвижимости. Земельный налог составляет не более 200 форинтов за квадратный метр, либо 3% оценочной стоимости.</w:t>
      </w:r>
    </w:p>
    <w:p w:rsidR="005E5570" w:rsidRDefault="005E5570" w:rsidP="005E5570">
      <w:pPr>
        <w:pStyle w:val="a4"/>
        <w:numPr>
          <w:ilvl w:val="2"/>
          <w:numId w:val="4"/>
        </w:numPr>
      </w:pPr>
      <w:r>
        <w:t>Налог на прибыль (Tarsasagi ado).</w:t>
      </w:r>
    </w:p>
    <w:p w:rsidR="005E5570" w:rsidRDefault="005E5570" w:rsidP="005E5570">
      <w:pPr>
        <w:pStyle w:val="a4"/>
      </w:pPr>
      <w:r>
        <w:t>В системе подоходного налога закон о корпоративном налоге (налог на прибыль предприятий и организаций) и налоге на дивиденды регулирует налогообложение хозяйственных организаций. Субъект налогообложения - хозяйственное общество, кооператив, государственное предприятие. Прочие организации (в частности благотворительные фонды, общественные фонды, общественные организации) являются субъектами налогообложения лишь в том случае, если занимаются хозяйственной или иной деятельностью с целью получения доходов. Субъекты налогообложения с местонахождением в Венгрии обязаны платить налог с доходов, полученных и в стране, и за рубежом, а у иностранных субъектов налогообложения (в частности, филиалов) налогом облагаются лишь доходы, полученные в Венгрии.</w:t>
      </w:r>
      <w:r>
        <w:br/>
        <w:t>Прибыль определяется в соответствии с требованиями и предписаниями закона о бухгалтерском учете; сумма прибыли изменяется в соответствии с положениями закона о налогообложении.</w:t>
      </w:r>
      <w:r>
        <w:br/>
      </w:r>
      <w:r w:rsidRPr="0063422C">
        <w:rPr>
          <w:i/>
        </w:rPr>
        <w:t>Из суммы прибыли до уплаты налога могут быть вычтены следующие расходы:</w:t>
      </w:r>
      <w:r w:rsidRPr="0063422C">
        <w:rPr>
          <w:i/>
        </w:rPr>
        <w:br/>
        <w:t>- 20% прямых затрат на исследования и разработки;</w:t>
      </w:r>
      <w:r w:rsidRPr="0063422C">
        <w:rPr>
          <w:i/>
        </w:rPr>
        <w:br/>
        <w:t>- в случае предоставления работы ученикам профессионально-технических училищ - 6000 форинтов в месяц;</w:t>
      </w:r>
      <w:r w:rsidRPr="0063422C">
        <w:rPr>
          <w:i/>
        </w:rPr>
        <w:br/>
        <w:t>- в случае приема на работу безработного сумма ренты социального страхования в течение одного года - помимо учета ее в качестве производственных издержек - также может быть вычтена из суммы прибыли;</w:t>
      </w:r>
      <w:r w:rsidRPr="0063422C">
        <w:rPr>
          <w:i/>
        </w:rPr>
        <w:br/>
        <w:t>- в случае приобретения легковых автомобилей стоимостью более 6 000 000 форинтов при расчете затрат на уход и обслуживание, амортизационных отчислений и т.д., - часть затрат, пропорциональная стоимости легкового автомобиля сверх установленного лимита, увеличивает сумму прибыли, подлежащую налогообложению.</w:t>
      </w:r>
      <w:r w:rsidRPr="0063422C">
        <w:rPr>
          <w:i/>
        </w:rPr>
        <w:br/>
      </w:r>
      <w:r w:rsidRPr="0063422C">
        <w:rPr>
          <w:i/>
        </w:rPr>
        <w:br/>
      </w:r>
      <w:r>
        <w:t>Закон о бухгалтерском учете оговаривает сроки амортизации: для стоимости материальных прав - шесть лет или более, для стоимости фирмы - от 5 до 15 лет. Для большой группы машин и оборудования норма амортизационных отчислений как издержек - 30%, для сверхточных машин и оборудования - 33%.</w:t>
      </w:r>
      <w:r>
        <w:br/>
        <w:t>Ставка корпоративного налога - 18%.</w:t>
      </w:r>
      <w:r>
        <w:br/>
      </w:r>
      <w:r>
        <w:br/>
        <w:t xml:space="preserve">Инвесторы в течение определенного времени могут воспользоваться рядом налоговых льгот. В случае создания производственных мощностей для производства готовой продукции стоимостью не менее 1 млрд. форинтов по всей территории страны в течение пяти лет предоставляется налоговая льгота в размере 50%, без предварительных условий по расширению штатов. Этой льготой можно воспользоваться и при создании новых и расширении действующих гостиничных мощностей, однако в этом случае предъявляются более строгие требования по увеличению поступлений от реализации. </w:t>
      </w:r>
      <w:r>
        <w:br/>
        <w:t>В приоритетных регионах и промышленных зонах предоставляются льготы в размере 100 % на срок до пяти лет для создания новых производственных мощностей и строительства гостиниц без предварительного определения стоимости инвестиции. Приоритетными считаются регионы с уровнем безработицы выше 15%. В промышленных зонах норма амортизации по зданиям 10%, машины и оборудование могут быть рассчитаны тотчас же по приобретении. В приоритетном регионе и промышленной зоне предприниматели, не подпадающие под действие указанных выше льгот, могут воспользоваться льготой в размере 6% от стоимости приобретенных средств. Эта льгота распространяется в приоритетных регионах на приобретение машин и оборудования, в промышленных зонах - на машины, оборудование и здания; в обоих типах регионов - на инвестиции по модернизации и развитию инфраструктуры.</w:t>
      </w:r>
      <w:r>
        <w:br/>
      </w:r>
      <w:r>
        <w:br/>
        <w:t>Ставка корпоративного налога офшорных фирм 3%. Эти общества с ограниченной ответственностью, созданные в свободной таможенной зоне, имеют право заниматься исключительно коммерческой деятельностью за рубежом и предоставлять услуги - за исключением финансовых - иностранным фирмам. Фирмы имеют свои банковские счета в Венгрии, обязаны пользоваться услугами венгерских юрисконсультов и аудиторов; в ревизионных комиссиях граждане ВР должны быть в большинстве, и фирмы не имеют права приобретать паи и акции в венгерских хозяйственных обществах и кооперативах.</w:t>
      </w:r>
      <w:r>
        <w:br/>
        <w:t>При налогообложении иностранной организации, не располагающей филиалом на территории ВР, при определении суммы, облагаемой налогом, следует принять во внимание ссудный процент предоставленного кредита, процент облигации, гонорар за исполнительскую и спортивную деятельность на территории ВР, авторский гонорар. Не подлежат налогообложению проценты по облигациям венгерского государства и Венгерского национального банка, по полученным кредитам.</w:t>
      </w:r>
      <w:r>
        <w:br/>
      </w:r>
      <w:r>
        <w:br/>
        <w:t>Налог на дивиденды уплачивается по перечисленным за рубеж и по выплаченным частным лицам дивидендам; ставка налога 20%, однако размер налоговой ставки ограничивается договорами об отказе от двойного налогообложения. Для филиалов - в зависимости от положений договора - налог взимается по утвержденным дивидендам. Иностранные инвесторы освобождаются от уплаты налога при реинвестировании дивидендов в Венгрии.</w:t>
      </w:r>
      <w:r>
        <w:br/>
        <w:t>Закон о налоге по личному доходу определяет статус на основе постоянной прописки или обычного местонахождения. По заключенным договорам об исключении двойного налогообложения местом обычного нахождения является то место, где субъект налогообложения проводит не менее 183 дней в году.</w:t>
      </w:r>
      <w:r>
        <w:br/>
      </w:r>
      <w:r>
        <w:br/>
        <w:t>При ссудном проценте ниже учетной ставки банка разница в процентных ставках предоставленного фирмой кредита представляет собой доход, облагаемый налогом со ставкой 44%.</w:t>
      </w:r>
      <w:r>
        <w:br/>
      </w:r>
      <w:r>
        <w:br/>
        <w:t>Ставка налога от дивиденда, прибыли по курсам валют, доходам от фьючерсных сделок и опционов - 20%. Ставка налога по доходам от дивидендов - 35%, если сумма дивидендов превышает сумму, рассчитанную от доли частного лица в уставном капитале предпринимательства с использованием удвоенной учетной ставки банка.</w:t>
      </w:r>
    </w:p>
    <w:tbl>
      <w:tblPr>
        <w:tblW w:w="0" w:type="auto"/>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425"/>
        <w:gridCol w:w="4965"/>
      </w:tblGrid>
      <w:tr w:rsidR="005E5570" w:rsidTr="0063422C">
        <w:trPr>
          <w:cantSplit/>
          <w:trHeight w:val="465"/>
        </w:trPr>
        <w:tc>
          <w:tcPr>
            <w:tcW w:w="2880" w:type="dxa"/>
            <w:gridSpan w:val="2"/>
          </w:tcPr>
          <w:p w:rsidR="005E5570" w:rsidRDefault="005E5570" w:rsidP="0063422C">
            <w:r>
              <w:t>Граница пояса</w:t>
            </w:r>
          </w:p>
        </w:tc>
        <w:tc>
          <w:tcPr>
            <w:tcW w:w="4965" w:type="dxa"/>
            <w:vMerge w:val="restart"/>
          </w:tcPr>
          <w:p w:rsidR="005E5570" w:rsidRDefault="005E5570" w:rsidP="0063422C">
            <w:r>
              <w:t xml:space="preserve"> Размер налога, %</w:t>
            </w:r>
          </w:p>
        </w:tc>
      </w:tr>
      <w:tr w:rsidR="005E5570" w:rsidTr="0063422C">
        <w:trPr>
          <w:cantSplit/>
          <w:trHeight w:val="510"/>
        </w:trPr>
        <w:tc>
          <w:tcPr>
            <w:tcW w:w="1455" w:type="dxa"/>
          </w:tcPr>
          <w:p w:rsidR="005E5570" w:rsidRDefault="005E5570" w:rsidP="0063422C">
            <w:r>
              <w:t>Нижняя</w:t>
            </w:r>
          </w:p>
        </w:tc>
        <w:tc>
          <w:tcPr>
            <w:tcW w:w="1425" w:type="dxa"/>
          </w:tcPr>
          <w:p w:rsidR="005E5570" w:rsidRDefault="005E5570" w:rsidP="0063422C">
            <w:r>
              <w:t>Верхняя</w:t>
            </w:r>
          </w:p>
        </w:tc>
        <w:tc>
          <w:tcPr>
            <w:tcW w:w="4965" w:type="dxa"/>
            <w:vMerge/>
          </w:tcPr>
          <w:p w:rsidR="005E5570" w:rsidRDefault="005E5570" w:rsidP="0063422C">
            <w:pPr>
              <w:rPr>
                <w:rFonts w:ascii="Courier" w:hAnsi="Courier" w:cs="Courier"/>
              </w:rPr>
            </w:pPr>
          </w:p>
        </w:tc>
      </w:tr>
      <w:tr w:rsidR="005E5570" w:rsidTr="0063422C">
        <w:trPr>
          <w:cantSplit/>
          <w:trHeight w:val="315"/>
        </w:trPr>
        <w:tc>
          <w:tcPr>
            <w:tcW w:w="1455" w:type="dxa"/>
          </w:tcPr>
          <w:p w:rsidR="005E5570" w:rsidRDefault="005E5570" w:rsidP="0063422C">
            <w:pPr>
              <w:rPr>
                <w:rFonts w:ascii="Courier" w:hAnsi="Courier" w:cs="Courier"/>
              </w:rPr>
            </w:pPr>
            <w:r>
              <w:rPr>
                <w:rFonts w:ascii="Courier" w:hAnsi="Courier" w:cs="Courier"/>
              </w:rPr>
              <w:t>0</w:t>
            </w:r>
          </w:p>
        </w:tc>
        <w:tc>
          <w:tcPr>
            <w:tcW w:w="1425" w:type="dxa"/>
          </w:tcPr>
          <w:p w:rsidR="005E5570" w:rsidRDefault="005E5570" w:rsidP="0063422C">
            <w:pPr>
              <w:rPr>
                <w:rFonts w:ascii="Courier" w:hAnsi="Courier" w:cs="Courier"/>
              </w:rPr>
            </w:pPr>
            <w:r>
              <w:rPr>
                <w:rFonts w:ascii="Courier" w:hAnsi="Courier" w:cs="Courier"/>
              </w:rPr>
              <w:t>48000</w:t>
            </w:r>
          </w:p>
        </w:tc>
        <w:tc>
          <w:tcPr>
            <w:tcW w:w="4965" w:type="dxa"/>
          </w:tcPr>
          <w:p w:rsidR="005E5570" w:rsidRDefault="005E5570" w:rsidP="0063422C">
            <w:pPr>
              <w:rPr>
                <w:rFonts w:ascii="Courier" w:hAnsi="Courier" w:cs="Courier"/>
              </w:rPr>
            </w:pPr>
            <w:r>
              <w:rPr>
                <w:rFonts w:ascii="Courier" w:hAnsi="Courier" w:cs="Courier"/>
              </w:rPr>
              <w:t>0</w:t>
            </w:r>
          </w:p>
        </w:tc>
      </w:tr>
      <w:tr w:rsidR="005E5570" w:rsidTr="0063422C">
        <w:trPr>
          <w:cantSplit/>
          <w:trHeight w:val="255"/>
        </w:trPr>
        <w:tc>
          <w:tcPr>
            <w:tcW w:w="1455" w:type="dxa"/>
          </w:tcPr>
          <w:p w:rsidR="005E5570" w:rsidRDefault="005E5570" w:rsidP="0063422C">
            <w:pPr>
              <w:rPr>
                <w:rFonts w:ascii="Courier" w:hAnsi="Courier" w:cs="Courier"/>
              </w:rPr>
            </w:pPr>
            <w:r>
              <w:rPr>
                <w:rFonts w:ascii="Courier" w:hAnsi="Courier" w:cs="Courier"/>
              </w:rPr>
              <w:t>48000</w:t>
            </w:r>
          </w:p>
        </w:tc>
        <w:tc>
          <w:tcPr>
            <w:tcW w:w="1425" w:type="dxa"/>
          </w:tcPr>
          <w:p w:rsidR="005E5570" w:rsidRDefault="005E5570" w:rsidP="0063422C">
            <w:pPr>
              <w:rPr>
                <w:rFonts w:ascii="Courier" w:hAnsi="Courier" w:cs="Courier"/>
              </w:rPr>
            </w:pPr>
            <w:r>
              <w:rPr>
                <w:rFonts w:ascii="Courier" w:hAnsi="Courier" w:cs="Courier"/>
              </w:rPr>
              <w:t>70000</w:t>
            </w:r>
          </w:p>
        </w:tc>
        <w:tc>
          <w:tcPr>
            <w:tcW w:w="4965" w:type="dxa"/>
          </w:tcPr>
          <w:p w:rsidR="005E5570" w:rsidRDefault="005E5570" w:rsidP="0063422C">
            <w:r>
              <w:t>20% суммы сверх  48000</w:t>
            </w:r>
          </w:p>
        </w:tc>
      </w:tr>
      <w:tr w:rsidR="005E5570" w:rsidTr="0063422C">
        <w:trPr>
          <w:cantSplit/>
          <w:trHeight w:val="210"/>
        </w:trPr>
        <w:tc>
          <w:tcPr>
            <w:tcW w:w="1455" w:type="dxa"/>
          </w:tcPr>
          <w:p w:rsidR="005E5570" w:rsidRDefault="005E5570" w:rsidP="0063422C">
            <w:pPr>
              <w:rPr>
                <w:rFonts w:ascii="Courier" w:hAnsi="Courier" w:cs="Courier"/>
              </w:rPr>
            </w:pPr>
            <w:r>
              <w:rPr>
                <w:rFonts w:ascii="Courier" w:hAnsi="Courier" w:cs="Courier"/>
              </w:rPr>
              <w:t>70000</w:t>
            </w:r>
          </w:p>
        </w:tc>
        <w:tc>
          <w:tcPr>
            <w:tcW w:w="1425" w:type="dxa"/>
          </w:tcPr>
          <w:p w:rsidR="005E5570" w:rsidRDefault="005E5570" w:rsidP="0063422C">
            <w:pPr>
              <w:rPr>
                <w:rFonts w:ascii="Courier" w:hAnsi="Courier" w:cs="Courier"/>
              </w:rPr>
            </w:pPr>
            <w:r>
              <w:rPr>
                <w:rFonts w:ascii="Courier" w:hAnsi="Courier" w:cs="Courier"/>
              </w:rPr>
              <w:t>90000</w:t>
            </w:r>
          </w:p>
        </w:tc>
        <w:tc>
          <w:tcPr>
            <w:tcW w:w="4965" w:type="dxa"/>
          </w:tcPr>
          <w:p w:rsidR="005E5570" w:rsidRDefault="005E5570" w:rsidP="0063422C">
            <w:r>
              <w:t>4400 и 25% суммы сверх  70000</w:t>
            </w:r>
          </w:p>
        </w:tc>
      </w:tr>
      <w:tr w:rsidR="005E5570" w:rsidTr="0063422C">
        <w:trPr>
          <w:cantSplit/>
          <w:trHeight w:val="225"/>
        </w:trPr>
        <w:tc>
          <w:tcPr>
            <w:tcW w:w="1455" w:type="dxa"/>
          </w:tcPr>
          <w:p w:rsidR="005E5570" w:rsidRDefault="005E5570" w:rsidP="0063422C">
            <w:pPr>
              <w:rPr>
                <w:rFonts w:ascii="Courier" w:hAnsi="Courier" w:cs="Courier"/>
              </w:rPr>
            </w:pPr>
            <w:r>
              <w:rPr>
                <w:rFonts w:ascii="Courier" w:hAnsi="Courier" w:cs="Courier"/>
              </w:rPr>
              <w:t>90000</w:t>
            </w:r>
          </w:p>
        </w:tc>
        <w:tc>
          <w:tcPr>
            <w:tcW w:w="1425" w:type="dxa"/>
          </w:tcPr>
          <w:p w:rsidR="005E5570" w:rsidRDefault="005E5570" w:rsidP="0063422C">
            <w:pPr>
              <w:rPr>
                <w:rFonts w:ascii="Courier" w:hAnsi="Courier" w:cs="Courier"/>
              </w:rPr>
            </w:pPr>
            <w:r>
              <w:rPr>
                <w:rFonts w:ascii="Courier" w:hAnsi="Courier" w:cs="Courier"/>
              </w:rPr>
              <w:t>120000</w:t>
            </w:r>
          </w:p>
        </w:tc>
        <w:tc>
          <w:tcPr>
            <w:tcW w:w="4965" w:type="dxa"/>
          </w:tcPr>
          <w:p w:rsidR="005E5570" w:rsidRDefault="005E5570" w:rsidP="0063422C">
            <w:r>
              <w:t>9400 и 30% суммы сверх 90000</w:t>
            </w:r>
          </w:p>
        </w:tc>
      </w:tr>
      <w:tr w:rsidR="005E5570" w:rsidTr="0063422C">
        <w:trPr>
          <w:cantSplit/>
          <w:trHeight w:val="285"/>
        </w:trPr>
        <w:tc>
          <w:tcPr>
            <w:tcW w:w="1455" w:type="dxa"/>
          </w:tcPr>
          <w:p w:rsidR="005E5570" w:rsidRDefault="005E5570" w:rsidP="0063422C">
            <w:pPr>
              <w:rPr>
                <w:rFonts w:ascii="Courier" w:hAnsi="Courier" w:cs="Courier"/>
              </w:rPr>
            </w:pPr>
            <w:r>
              <w:rPr>
                <w:rFonts w:ascii="Courier" w:hAnsi="Courier" w:cs="Courier"/>
              </w:rPr>
              <w:t>120000</w:t>
            </w:r>
          </w:p>
        </w:tc>
        <w:tc>
          <w:tcPr>
            <w:tcW w:w="1425" w:type="dxa"/>
          </w:tcPr>
          <w:p w:rsidR="005E5570" w:rsidRDefault="005E5570" w:rsidP="0063422C">
            <w:pPr>
              <w:rPr>
                <w:rFonts w:ascii="Courier" w:hAnsi="Courier" w:cs="Courier"/>
              </w:rPr>
            </w:pPr>
            <w:r>
              <w:rPr>
                <w:rFonts w:ascii="Courier" w:hAnsi="Courier" w:cs="Courier"/>
              </w:rPr>
              <w:t>150000</w:t>
            </w:r>
          </w:p>
        </w:tc>
        <w:tc>
          <w:tcPr>
            <w:tcW w:w="4965" w:type="dxa"/>
          </w:tcPr>
          <w:p w:rsidR="005E5570" w:rsidRDefault="005E5570" w:rsidP="0063422C">
            <w:r>
              <w:t>18400 и 35% суммы сверх 120000</w:t>
            </w:r>
          </w:p>
        </w:tc>
      </w:tr>
      <w:tr w:rsidR="005E5570" w:rsidTr="0063422C">
        <w:trPr>
          <w:cantSplit/>
          <w:trHeight w:val="285"/>
        </w:trPr>
        <w:tc>
          <w:tcPr>
            <w:tcW w:w="1455" w:type="dxa"/>
          </w:tcPr>
          <w:p w:rsidR="005E5570" w:rsidRDefault="005E5570" w:rsidP="0063422C">
            <w:pPr>
              <w:rPr>
                <w:rFonts w:ascii="Courier" w:hAnsi="Courier" w:cs="Courier"/>
              </w:rPr>
            </w:pPr>
            <w:r>
              <w:rPr>
                <w:rFonts w:ascii="Courier" w:hAnsi="Courier" w:cs="Courier"/>
              </w:rPr>
              <w:t>150000</w:t>
            </w:r>
          </w:p>
        </w:tc>
        <w:tc>
          <w:tcPr>
            <w:tcW w:w="1425" w:type="dxa"/>
          </w:tcPr>
          <w:p w:rsidR="005E5570" w:rsidRDefault="005E5570" w:rsidP="0063422C">
            <w:pPr>
              <w:rPr>
                <w:rFonts w:ascii="Courier" w:hAnsi="Courier" w:cs="Courier"/>
              </w:rPr>
            </w:pPr>
            <w:r>
              <w:rPr>
                <w:rFonts w:ascii="Courier" w:hAnsi="Courier" w:cs="Courier"/>
              </w:rPr>
              <w:t xml:space="preserve">180000 </w:t>
            </w:r>
          </w:p>
        </w:tc>
        <w:tc>
          <w:tcPr>
            <w:tcW w:w="4965" w:type="dxa"/>
          </w:tcPr>
          <w:p w:rsidR="005E5570" w:rsidRDefault="005E5570" w:rsidP="0063422C">
            <w:r>
              <w:t>28900 и 39% суммы сверх 150000</w:t>
            </w:r>
          </w:p>
        </w:tc>
      </w:tr>
      <w:tr w:rsidR="005E5570" w:rsidTr="0063422C">
        <w:trPr>
          <w:cantSplit/>
          <w:trHeight w:val="240"/>
        </w:trPr>
        <w:tc>
          <w:tcPr>
            <w:tcW w:w="1455" w:type="dxa"/>
          </w:tcPr>
          <w:p w:rsidR="005E5570" w:rsidRDefault="005E5570" w:rsidP="0063422C">
            <w:pPr>
              <w:rPr>
                <w:rFonts w:ascii="Courier" w:hAnsi="Courier" w:cs="Courier"/>
              </w:rPr>
            </w:pPr>
            <w:r>
              <w:rPr>
                <w:rFonts w:ascii="Courier" w:hAnsi="Courier" w:cs="Courier"/>
              </w:rPr>
              <w:t>180000</w:t>
            </w:r>
          </w:p>
        </w:tc>
        <w:tc>
          <w:tcPr>
            <w:tcW w:w="1425" w:type="dxa"/>
          </w:tcPr>
          <w:p w:rsidR="005E5570" w:rsidRDefault="005E5570" w:rsidP="0063422C">
            <w:pPr>
              <w:rPr>
                <w:rFonts w:ascii="Courier" w:hAnsi="Courier" w:cs="Courier"/>
              </w:rPr>
            </w:pPr>
            <w:r>
              <w:rPr>
                <w:rFonts w:ascii="Courier" w:hAnsi="Courier" w:cs="Courier"/>
              </w:rPr>
              <w:t>240000</w:t>
            </w:r>
          </w:p>
        </w:tc>
        <w:tc>
          <w:tcPr>
            <w:tcW w:w="4965" w:type="dxa"/>
          </w:tcPr>
          <w:p w:rsidR="005E5570" w:rsidRDefault="005E5570" w:rsidP="0063422C">
            <w:r>
              <w:t>40600 и 44% суммы сверх  180000</w:t>
            </w:r>
          </w:p>
        </w:tc>
      </w:tr>
      <w:tr w:rsidR="005E5570" w:rsidTr="0063422C">
        <w:trPr>
          <w:cantSplit/>
          <w:trHeight w:val="330"/>
        </w:trPr>
        <w:tc>
          <w:tcPr>
            <w:tcW w:w="1455" w:type="dxa"/>
          </w:tcPr>
          <w:p w:rsidR="005E5570" w:rsidRDefault="005E5570" w:rsidP="0063422C">
            <w:pPr>
              <w:rPr>
                <w:rFonts w:ascii="Courier" w:hAnsi="Courier" w:cs="Courier"/>
              </w:rPr>
            </w:pPr>
            <w:r>
              <w:rPr>
                <w:rFonts w:ascii="Courier" w:hAnsi="Courier" w:cs="Courier"/>
              </w:rPr>
              <w:t>240000</w:t>
            </w:r>
          </w:p>
        </w:tc>
        <w:tc>
          <w:tcPr>
            <w:tcW w:w="1425" w:type="dxa"/>
          </w:tcPr>
          <w:p w:rsidR="005E5570" w:rsidRDefault="005E5570" w:rsidP="0063422C">
            <w:pPr>
              <w:rPr>
                <w:rFonts w:ascii="Courier" w:hAnsi="Courier" w:cs="Courier"/>
              </w:rPr>
            </w:pPr>
            <w:r>
              <w:rPr>
                <w:rFonts w:ascii="Courier" w:hAnsi="Courier" w:cs="Courier"/>
              </w:rPr>
              <w:t>360000</w:t>
            </w:r>
          </w:p>
        </w:tc>
        <w:tc>
          <w:tcPr>
            <w:tcW w:w="4965" w:type="dxa"/>
          </w:tcPr>
          <w:p w:rsidR="005E5570" w:rsidRDefault="005E5570" w:rsidP="0063422C">
            <w:r>
              <w:t>67000 и 48% суммы сверх 240000</w:t>
            </w:r>
          </w:p>
        </w:tc>
      </w:tr>
      <w:tr w:rsidR="005E5570" w:rsidTr="0063422C">
        <w:trPr>
          <w:cantSplit/>
          <w:trHeight w:val="195"/>
        </w:trPr>
        <w:tc>
          <w:tcPr>
            <w:tcW w:w="1455" w:type="dxa"/>
          </w:tcPr>
          <w:p w:rsidR="005E5570" w:rsidRDefault="005E5570" w:rsidP="0063422C">
            <w:pPr>
              <w:rPr>
                <w:rFonts w:ascii="Courier" w:hAnsi="Courier" w:cs="Courier"/>
              </w:rPr>
            </w:pPr>
            <w:r>
              <w:rPr>
                <w:rFonts w:ascii="Courier" w:hAnsi="Courier" w:cs="Courier"/>
              </w:rPr>
              <w:t>360000</w:t>
            </w:r>
          </w:p>
        </w:tc>
        <w:tc>
          <w:tcPr>
            <w:tcW w:w="1425" w:type="dxa"/>
          </w:tcPr>
          <w:p w:rsidR="005E5570" w:rsidRDefault="005E5570" w:rsidP="0063422C">
            <w:pPr>
              <w:rPr>
                <w:rFonts w:ascii="Courier" w:hAnsi="Courier" w:cs="Courier"/>
              </w:rPr>
            </w:pPr>
            <w:r>
              <w:rPr>
                <w:rFonts w:ascii="Courier" w:hAnsi="Courier" w:cs="Courier"/>
              </w:rPr>
              <w:t>600000</w:t>
            </w:r>
          </w:p>
        </w:tc>
        <w:tc>
          <w:tcPr>
            <w:tcW w:w="4965" w:type="dxa"/>
          </w:tcPr>
          <w:p w:rsidR="005E5570" w:rsidRDefault="005E5570" w:rsidP="0063422C">
            <w:r>
              <w:t>124000 и 52% суммы сверх 360000</w:t>
            </w:r>
          </w:p>
        </w:tc>
      </w:tr>
      <w:tr w:rsidR="005E5570" w:rsidTr="0063422C">
        <w:trPr>
          <w:cantSplit/>
          <w:trHeight w:val="375"/>
        </w:trPr>
        <w:tc>
          <w:tcPr>
            <w:tcW w:w="1455" w:type="dxa"/>
          </w:tcPr>
          <w:p w:rsidR="005E5570" w:rsidRDefault="005E5570" w:rsidP="0063422C">
            <w:pPr>
              <w:rPr>
                <w:rFonts w:ascii="Courier" w:hAnsi="Courier" w:cs="Courier"/>
              </w:rPr>
            </w:pPr>
            <w:r>
              <w:rPr>
                <w:rFonts w:ascii="Courier" w:hAnsi="Courier" w:cs="Courier"/>
              </w:rPr>
              <w:t>600000</w:t>
            </w:r>
          </w:p>
        </w:tc>
        <w:tc>
          <w:tcPr>
            <w:tcW w:w="1425" w:type="dxa"/>
          </w:tcPr>
          <w:p w:rsidR="005E5570" w:rsidRDefault="005E5570" w:rsidP="0063422C">
            <w:pPr>
              <w:rPr>
                <w:rFonts w:ascii="Courier" w:hAnsi="Courier" w:cs="Courier"/>
              </w:rPr>
            </w:pPr>
            <w:r>
              <w:rPr>
                <w:rFonts w:ascii="Courier" w:hAnsi="Courier" w:cs="Courier"/>
              </w:rPr>
              <w:t>800000</w:t>
            </w:r>
          </w:p>
        </w:tc>
        <w:tc>
          <w:tcPr>
            <w:tcW w:w="4965" w:type="dxa"/>
          </w:tcPr>
          <w:p w:rsidR="005E5570" w:rsidRDefault="005E5570" w:rsidP="0063422C">
            <w:r>
              <w:t>249400 и 56% суммы сверх 600000</w:t>
            </w:r>
          </w:p>
        </w:tc>
      </w:tr>
      <w:tr w:rsidR="005E5570" w:rsidTr="0063422C">
        <w:trPr>
          <w:cantSplit/>
          <w:trHeight w:val="1110"/>
        </w:trPr>
        <w:tc>
          <w:tcPr>
            <w:tcW w:w="1455" w:type="dxa"/>
          </w:tcPr>
          <w:p w:rsidR="005E5570" w:rsidRDefault="005E5570" w:rsidP="0063422C">
            <w:pPr>
              <w:rPr>
                <w:rFonts w:ascii="Courier" w:hAnsi="Courier" w:cs="Courier"/>
              </w:rPr>
            </w:pPr>
            <w:r>
              <w:rPr>
                <w:rFonts w:ascii="Courier" w:hAnsi="Courier" w:cs="Courier"/>
              </w:rPr>
              <w:t>800000</w:t>
            </w:r>
          </w:p>
        </w:tc>
        <w:tc>
          <w:tcPr>
            <w:tcW w:w="1425" w:type="dxa"/>
          </w:tcPr>
          <w:p w:rsidR="005E5570" w:rsidRDefault="005E5570" w:rsidP="0063422C">
            <w:pPr>
              <w:rPr>
                <w:rFonts w:ascii="Courier" w:hAnsi="Courier" w:cs="Courier"/>
              </w:rPr>
            </w:pPr>
          </w:p>
        </w:tc>
        <w:tc>
          <w:tcPr>
            <w:tcW w:w="4965" w:type="dxa"/>
          </w:tcPr>
          <w:p w:rsidR="005E5570" w:rsidRDefault="005E5570" w:rsidP="0063422C">
            <w:r>
              <w:t>361400 и 60% суммы сверх 800000</w:t>
            </w:r>
          </w:p>
        </w:tc>
      </w:tr>
    </w:tbl>
    <w:p w:rsidR="005E5570" w:rsidRDefault="005E5570" w:rsidP="005E5570">
      <w:r>
        <w:t>Как показывает таблица 1, годовой доход в пределах 48 тыс. форинтов налогообложению не подлежит. Подоходный налог носит ступенчато-прогрессивный характер, налоговая ставка колеблется от 20% до 60%. Пример расчета размера налога демонстрирует таблица 2. В случае годового дохода в размере 95 тыс. форинтов размер налога высчитывается так.</w:t>
      </w:r>
    </w:p>
    <w:p w:rsidR="005E5570" w:rsidRDefault="005E5570" w:rsidP="005E5570">
      <w:r>
        <w:t>Таблица 2</w:t>
      </w:r>
    </w:p>
    <w:p w:rsidR="005E5570" w:rsidRDefault="005E5570" w:rsidP="005E5570">
      <w:r>
        <w:t>Расчет размера налога на годовой доход в 95 тыс. форинтов</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701"/>
        <w:gridCol w:w="2126"/>
        <w:gridCol w:w="2835"/>
      </w:tblGrid>
      <w:tr w:rsidR="005E5570" w:rsidTr="0063422C">
        <w:trPr>
          <w:cantSplit/>
          <w:trHeight w:val="525"/>
        </w:trPr>
        <w:tc>
          <w:tcPr>
            <w:tcW w:w="3598" w:type="dxa"/>
            <w:gridSpan w:val="2"/>
          </w:tcPr>
          <w:p w:rsidR="005E5570" w:rsidRDefault="005E5570" w:rsidP="0063422C">
            <w:r>
              <w:t>Граница пояса</w:t>
            </w:r>
          </w:p>
        </w:tc>
        <w:tc>
          <w:tcPr>
            <w:tcW w:w="2126" w:type="dxa"/>
            <w:vMerge w:val="restart"/>
          </w:tcPr>
          <w:p w:rsidR="005E5570" w:rsidRDefault="005E5570" w:rsidP="0063422C">
            <w:r>
              <w:t>Часть дохода в границах пояса</w:t>
            </w:r>
          </w:p>
        </w:tc>
        <w:tc>
          <w:tcPr>
            <w:tcW w:w="2835" w:type="dxa"/>
            <w:vMerge w:val="restart"/>
          </w:tcPr>
          <w:p w:rsidR="005E5570" w:rsidRDefault="005E5570" w:rsidP="0063422C">
            <w:r>
              <w:t>Размер налога</w:t>
            </w:r>
          </w:p>
        </w:tc>
      </w:tr>
      <w:tr w:rsidR="005E5570" w:rsidTr="0063422C">
        <w:trPr>
          <w:cantSplit/>
          <w:trHeight w:val="330"/>
        </w:trPr>
        <w:tc>
          <w:tcPr>
            <w:tcW w:w="1897" w:type="dxa"/>
          </w:tcPr>
          <w:p w:rsidR="005E5570" w:rsidRDefault="005E5570" w:rsidP="0063422C">
            <w:r>
              <w:t>Нижняя</w:t>
            </w:r>
          </w:p>
        </w:tc>
        <w:tc>
          <w:tcPr>
            <w:tcW w:w="1701" w:type="dxa"/>
          </w:tcPr>
          <w:p w:rsidR="005E5570" w:rsidRDefault="005E5570" w:rsidP="0063422C">
            <w:r>
              <w:t xml:space="preserve">Верхняя </w:t>
            </w:r>
          </w:p>
        </w:tc>
        <w:tc>
          <w:tcPr>
            <w:tcW w:w="2126" w:type="dxa"/>
            <w:vMerge/>
          </w:tcPr>
          <w:p w:rsidR="005E5570" w:rsidRDefault="005E5570" w:rsidP="0063422C">
            <w:pPr>
              <w:rPr>
                <w:rFonts w:ascii="Courier" w:hAnsi="Courier" w:cs="Courier"/>
              </w:rPr>
            </w:pPr>
          </w:p>
        </w:tc>
        <w:tc>
          <w:tcPr>
            <w:tcW w:w="2835" w:type="dxa"/>
            <w:vMerge/>
          </w:tcPr>
          <w:p w:rsidR="005E5570" w:rsidRDefault="005E5570" w:rsidP="0063422C">
            <w:pPr>
              <w:rPr>
                <w:rFonts w:ascii="Courier" w:hAnsi="Courier" w:cs="Courier"/>
              </w:rPr>
            </w:pPr>
          </w:p>
        </w:tc>
      </w:tr>
      <w:tr w:rsidR="005E5570" w:rsidTr="0063422C">
        <w:trPr>
          <w:cantSplit/>
          <w:trHeight w:val="285"/>
        </w:trPr>
        <w:tc>
          <w:tcPr>
            <w:tcW w:w="1897" w:type="dxa"/>
          </w:tcPr>
          <w:p w:rsidR="005E5570" w:rsidRDefault="005E5570" w:rsidP="0063422C">
            <w:pPr>
              <w:rPr>
                <w:rFonts w:ascii="Courier" w:hAnsi="Courier" w:cs="Courier"/>
              </w:rPr>
            </w:pPr>
            <w:r>
              <w:rPr>
                <w:rFonts w:ascii="Courier" w:hAnsi="Courier" w:cs="Courier"/>
              </w:rPr>
              <w:t>0</w:t>
            </w:r>
          </w:p>
        </w:tc>
        <w:tc>
          <w:tcPr>
            <w:tcW w:w="1701" w:type="dxa"/>
          </w:tcPr>
          <w:p w:rsidR="005E5570" w:rsidRDefault="005E5570" w:rsidP="0063422C">
            <w:pPr>
              <w:rPr>
                <w:rFonts w:ascii="Courier" w:hAnsi="Courier" w:cs="Courier"/>
              </w:rPr>
            </w:pPr>
            <w:r>
              <w:rPr>
                <w:rFonts w:ascii="Courier" w:hAnsi="Courier" w:cs="Courier"/>
              </w:rPr>
              <w:t>48000</w:t>
            </w:r>
          </w:p>
        </w:tc>
        <w:tc>
          <w:tcPr>
            <w:tcW w:w="2126" w:type="dxa"/>
          </w:tcPr>
          <w:p w:rsidR="005E5570" w:rsidRDefault="005E5570" w:rsidP="0063422C">
            <w:pPr>
              <w:rPr>
                <w:rFonts w:ascii="Courier" w:hAnsi="Courier" w:cs="Courier"/>
              </w:rPr>
            </w:pPr>
            <w:r>
              <w:rPr>
                <w:rFonts w:ascii="Courier" w:hAnsi="Courier" w:cs="Courier"/>
              </w:rPr>
              <w:t>48000</w:t>
            </w:r>
          </w:p>
        </w:tc>
        <w:tc>
          <w:tcPr>
            <w:tcW w:w="2835" w:type="dxa"/>
          </w:tcPr>
          <w:p w:rsidR="005E5570" w:rsidRDefault="005E5570" w:rsidP="0063422C">
            <w:r>
              <w:t>48000х0=0</w:t>
            </w:r>
          </w:p>
        </w:tc>
      </w:tr>
      <w:tr w:rsidR="005E5570" w:rsidTr="0063422C">
        <w:trPr>
          <w:cantSplit/>
          <w:trHeight w:val="285"/>
        </w:trPr>
        <w:tc>
          <w:tcPr>
            <w:tcW w:w="1897" w:type="dxa"/>
          </w:tcPr>
          <w:p w:rsidR="005E5570" w:rsidRDefault="005E5570" w:rsidP="0063422C">
            <w:pPr>
              <w:rPr>
                <w:rFonts w:ascii="Courier" w:hAnsi="Courier" w:cs="Courier"/>
              </w:rPr>
            </w:pPr>
            <w:r>
              <w:rPr>
                <w:rFonts w:ascii="Courier" w:hAnsi="Courier" w:cs="Courier"/>
              </w:rPr>
              <w:t>48000</w:t>
            </w:r>
          </w:p>
        </w:tc>
        <w:tc>
          <w:tcPr>
            <w:tcW w:w="1701" w:type="dxa"/>
          </w:tcPr>
          <w:p w:rsidR="005E5570" w:rsidRDefault="005E5570" w:rsidP="0063422C">
            <w:pPr>
              <w:rPr>
                <w:rFonts w:ascii="Courier" w:hAnsi="Courier" w:cs="Courier"/>
              </w:rPr>
            </w:pPr>
            <w:r>
              <w:rPr>
                <w:rFonts w:ascii="Courier" w:hAnsi="Courier" w:cs="Courier"/>
              </w:rPr>
              <w:t>70000</w:t>
            </w:r>
          </w:p>
        </w:tc>
        <w:tc>
          <w:tcPr>
            <w:tcW w:w="2126" w:type="dxa"/>
          </w:tcPr>
          <w:p w:rsidR="005E5570" w:rsidRDefault="005E5570" w:rsidP="0063422C">
            <w:pPr>
              <w:rPr>
                <w:rFonts w:ascii="Courier" w:hAnsi="Courier" w:cs="Courier"/>
              </w:rPr>
            </w:pPr>
            <w:r>
              <w:rPr>
                <w:rFonts w:ascii="Courier" w:hAnsi="Courier" w:cs="Courier"/>
              </w:rPr>
              <w:t>22000</w:t>
            </w:r>
          </w:p>
        </w:tc>
        <w:tc>
          <w:tcPr>
            <w:tcW w:w="2835" w:type="dxa"/>
          </w:tcPr>
          <w:p w:rsidR="005E5570" w:rsidRDefault="005E5570" w:rsidP="0063422C">
            <w:r>
              <w:t>22000х0.2=4400</w:t>
            </w:r>
          </w:p>
        </w:tc>
      </w:tr>
      <w:tr w:rsidR="005E5570" w:rsidTr="0063422C">
        <w:trPr>
          <w:cantSplit/>
          <w:trHeight w:val="360"/>
        </w:trPr>
        <w:tc>
          <w:tcPr>
            <w:tcW w:w="1897" w:type="dxa"/>
          </w:tcPr>
          <w:p w:rsidR="005E5570" w:rsidRDefault="005E5570" w:rsidP="0063422C">
            <w:pPr>
              <w:rPr>
                <w:rFonts w:ascii="Courier" w:hAnsi="Courier" w:cs="Courier"/>
              </w:rPr>
            </w:pPr>
            <w:r>
              <w:rPr>
                <w:rFonts w:ascii="Courier" w:hAnsi="Courier" w:cs="Courier"/>
              </w:rPr>
              <w:t>70000</w:t>
            </w:r>
          </w:p>
        </w:tc>
        <w:tc>
          <w:tcPr>
            <w:tcW w:w="1701" w:type="dxa"/>
          </w:tcPr>
          <w:p w:rsidR="005E5570" w:rsidRDefault="005E5570" w:rsidP="0063422C">
            <w:pPr>
              <w:rPr>
                <w:rFonts w:ascii="Courier" w:hAnsi="Courier" w:cs="Courier"/>
              </w:rPr>
            </w:pPr>
            <w:r>
              <w:rPr>
                <w:rFonts w:ascii="Courier" w:hAnsi="Courier" w:cs="Courier"/>
              </w:rPr>
              <w:t>90000</w:t>
            </w:r>
          </w:p>
        </w:tc>
        <w:tc>
          <w:tcPr>
            <w:tcW w:w="2126" w:type="dxa"/>
          </w:tcPr>
          <w:p w:rsidR="005E5570" w:rsidRDefault="005E5570" w:rsidP="0063422C">
            <w:pPr>
              <w:rPr>
                <w:rFonts w:ascii="Courier" w:hAnsi="Courier" w:cs="Courier"/>
              </w:rPr>
            </w:pPr>
            <w:r>
              <w:rPr>
                <w:rFonts w:ascii="Courier" w:hAnsi="Courier" w:cs="Courier"/>
              </w:rPr>
              <w:t>20000</w:t>
            </w:r>
          </w:p>
        </w:tc>
        <w:tc>
          <w:tcPr>
            <w:tcW w:w="2835" w:type="dxa"/>
          </w:tcPr>
          <w:p w:rsidR="005E5570" w:rsidRDefault="005E5570" w:rsidP="0063422C">
            <w:r>
              <w:t>20000х0.25=5000</w:t>
            </w:r>
          </w:p>
        </w:tc>
      </w:tr>
      <w:tr w:rsidR="005E5570" w:rsidTr="0063422C">
        <w:trPr>
          <w:cantSplit/>
          <w:trHeight w:val="465"/>
        </w:trPr>
        <w:tc>
          <w:tcPr>
            <w:tcW w:w="1897" w:type="dxa"/>
          </w:tcPr>
          <w:p w:rsidR="005E5570" w:rsidRDefault="005E5570" w:rsidP="0063422C">
            <w:pPr>
              <w:rPr>
                <w:rFonts w:ascii="Courier" w:hAnsi="Courier" w:cs="Courier"/>
              </w:rPr>
            </w:pPr>
            <w:r>
              <w:rPr>
                <w:rFonts w:ascii="Courier" w:hAnsi="Courier" w:cs="Courier"/>
              </w:rPr>
              <w:t>90000</w:t>
            </w:r>
          </w:p>
        </w:tc>
        <w:tc>
          <w:tcPr>
            <w:tcW w:w="1701" w:type="dxa"/>
          </w:tcPr>
          <w:p w:rsidR="005E5570" w:rsidRDefault="005E5570" w:rsidP="0063422C">
            <w:pPr>
              <w:rPr>
                <w:rFonts w:ascii="Courier" w:hAnsi="Courier" w:cs="Courier"/>
              </w:rPr>
            </w:pPr>
            <w:r>
              <w:rPr>
                <w:rFonts w:ascii="Courier" w:hAnsi="Courier" w:cs="Courier"/>
              </w:rPr>
              <w:t>120000</w:t>
            </w:r>
          </w:p>
        </w:tc>
        <w:tc>
          <w:tcPr>
            <w:tcW w:w="2126" w:type="dxa"/>
          </w:tcPr>
          <w:p w:rsidR="005E5570" w:rsidRDefault="005E5570" w:rsidP="0063422C">
            <w:pPr>
              <w:rPr>
                <w:rFonts w:ascii="Courier" w:hAnsi="Courier" w:cs="Courier"/>
              </w:rPr>
            </w:pPr>
            <w:r>
              <w:rPr>
                <w:rFonts w:ascii="Courier" w:hAnsi="Courier" w:cs="Courier"/>
              </w:rPr>
              <w:t>5000</w:t>
            </w:r>
          </w:p>
        </w:tc>
        <w:tc>
          <w:tcPr>
            <w:tcW w:w="2835" w:type="dxa"/>
          </w:tcPr>
          <w:p w:rsidR="005E5570" w:rsidRDefault="005E5570" w:rsidP="0063422C">
            <w:r>
              <w:t>5000х0.30=1500</w:t>
            </w:r>
          </w:p>
        </w:tc>
      </w:tr>
      <w:tr w:rsidR="005E5570" w:rsidTr="0063422C">
        <w:trPr>
          <w:cantSplit/>
          <w:trHeight w:val="465"/>
        </w:trPr>
        <w:tc>
          <w:tcPr>
            <w:tcW w:w="1897" w:type="dxa"/>
          </w:tcPr>
          <w:p w:rsidR="005E5570" w:rsidRDefault="005E5570" w:rsidP="0063422C">
            <w:r>
              <w:t>Итого</w:t>
            </w:r>
          </w:p>
        </w:tc>
        <w:tc>
          <w:tcPr>
            <w:tcW w:w="1701" w:type="dxa"/>
          </w:tcPr>
          <w:p w:rsidR="005E5570" w:rsidRDefault="005E5570" w:rsidP="0063422C">
            <w:pPr>
              <w:rPr>
                <w:rFonts w:ascii="Courier" w:hAnsi="Courier" w:cs="Courier"/>
              </w:rPr>
            </w:pPr>
          </w:p>
        </w:tc>
        <w:tc>
          <w:tcPr>
            <w:tcW w:w="2126" w:type="dxa"/>
          </w:tcPr>
          <w:p w:rsidR="005E5570" w:rsidRDefault="005E5570" w:rsidP="0063422C">
            <w:pPr>
              <w:rPr>
                <w:rFonts w:ascii="Courier" w:hAnsi="Courier" w:cs="Courier"/>
              </w:rPr>
            </w:pPr>
            <w:r>
              <w:rPr>
                <w:rFonts w:ascii="Courier" w:hAnsi="Courier" w:cs="Courier"/>
              </w:rPr>
              <w:t>95000</w:t>
            </w:r>
          </w:p>
        </w:tc>
        <w:tc>
          <w:tcPr>
            <w:tcW w:w="2835" w:type="dxa"/>
          </w:tcPr>
          <w:p w:rsidR="005E5570" w:rsidRDefault="005E5570" w:rsidP="0063422C">
            <w:pPr>
              <w:rPr>
                <w:rFonts w:ascii="Courier" w:hAnsi="Courier" w:cs="Courier"/>
              </w:rPr>
            </w:pPr>
            <w:r>
              <w:rPr>
                <w:rFonts w:ascii="Courier" w:hAnsi="Courier" w:cs="Courier"/>
              </w:rPr>
              <w:t>10900</w:t>
            </w:r>
          </w:p>
        </w:tc>
      </w:tr>
    </w:tbl>
    <w:p w:rsidR="005E5570" w:rsidRDefault="005E5570" w:rsidP="005E5570"/>
    <w:p w:rsidR="005E5570" w:rsidRDefault="005E5570" w:rsidP="005E5570">
      <w:r>
        <w:t>Приведенные примеры показывают, что всякий раз налогооблагается та часть суммарного дохода, которая попадает в определенный пояс. При этом не имеет значения, получен ли доход из одного источника или из нескольких. Налоговые ставки зависят от общей суммы доходов.</w:t>
      </w:r>
    </w:p>
    <w:p w:rsidR="005E5570" w:rsidRDefault="005E5570" w:rsidP="005E5570">
      <w:r>
        <w:t>Наиболее важная налоговая льгота, которая затрагивает всех работающих по найму, установлена в размере 12 тыс. форинтов. Это означает, что при определении налоговой ставки из дохода, получаемого по основному месту работы, можно автоматически ежемесячно вычитать 1000 форинтов. Таким образом, в случае работы на государственном предприятии или в кооперативе гарантируется освобождение от налога на доход в пределах 60 тыс. форинтов в год. Эта льгота распространяется и на работающих по найму в частном секторе.</w:t>
      </w:r>
    </w:p>
    <w:p w:rsidR="005E5570" w:rsidRDefault="005E5570" w:rsidP="005E5570">
      <w:r>
        <w:t>Налоговая система Венгрии подразумевает, что налогообложению подлежат все виды доходов, в том числе “чаевые”. Однако для того, чтобы сделать такие доходы “видимыми”, требуется создать целый ряд условий: улучшение снабжения, ликвидация дефицитов, усиление контроля и др. Работа в этом направлении ведется, однако превращение “невидимых” доходов в видимые не является в принципе задачей налоговых преобразований. Очевидно, что налоговая система в лучшем случае может лишь усилить те мотивы, по которым часть из них попадет в сферу налогообложения.</w:t>
      </w:r>
    </w:p>
    <w:p w:rsidR="005E5570" w:rsidRDefault="005E5570" w:rsidP="005E5570">
      <w:pPr>
        <w:jc w:val="center"/>
      </w:pPr>
      <w:r>
        <w:t>2.</w:t>
      </w:r>
      <w:r w:rsidRPr="005E5570">
        <w:t xml:space="preserve"> </w:t>
      </w:r>
      <w:r>
        <w:t>НДС (AFA).</w:t>
      </w:r>
    </w:p>
    <w:p w:rsidR="005E5570" w:rsidRDefault="005E5570" w:rsidP="005E5570">
      <w:r>
        <w:t xml:space="preserve">Главные элементы системы налогов с оборота - общий налог с оборота, налог на потребление и акцизный налог. </w:t>
      </w:r>
      <w:r>
        <w:br/>
        <w:t>Общий налог с оборота взимается с прибавочной стоимости, ибо после уплаты налога от общей стоимости изделия можно вычесть (затребовать обратно) предварительно начисленный налог по сырью, узлам и деталям и т.д. Закон помимо реализации готовой продукции облагает налогом широкий круг хозяйственных трансакций, в частности, изъятие средств из хозяйственной деятельности и использование в собственных целях. Капиталовложения (в частности и те работы, которые выполняются самой компанией) облагаются налогом, и на это тоже распространяется право вычета из суммы, подлежащей налогообложению. Налог может быть затребован обратно в случае, если подлежащая возмещению сумма нетто (разница между суммами налога на реализованную продукцию и на лога на закупки) достигает 2 млн. форинтов, однако для инвестиционной деятельности закон допускает возмещение уже при подлежащей возмещению сумме в 100000 форинтов.</w:t>
      </w:r>
      <w:r>
        <w:br/>
      </w:r>
      <w:r>
        <w:br/>
        <w:t>Общая ставка налога 25%: 60% облагаемых налогом товаров и услуг, в том числе подавляющее большинство промышленных товаров подпадают под эту ставку. Льготная ставка налога 12% распространяется на продукты питания, энергоносители, отдельные фармацевтические товары и лечебные препараты, экологически важные изделия, а также на культурные, научные, транспортные и гостиничные услуги. Для ограниченного круга лекарств ставка налога 0 %, под эту же ставку подпадает и экспорт.</w:t>
      </w:r>
      <w:r>
        <w:br/>
      </w:r>
      <w:r>
        <w:br/>
      </w:r>
      <w:r>
        <w:rPr>
          <w:b/>
          <w:bCs/>
        </w:rPr>
        <w:t>Филиал иностранной компании или предпринимательства является субъектом налогообложения с правом вычета уплаченного ранее налога, однако правом на возмещение налога располагает исключительно иностранный предприниматель.</w:t>
      </w:r>
      <w:r>
        <w:br/>
        <w:t>Правительство в отдельном постановлении регулирует условия возмещения налога иностранным предпринимателям и пассажирам. Иностранный предприниматель может воспользоваться правом на возмещение налога лишь в том случае, если сумма налога по счету превышает 10 тыс. форинтов. Иностранный пассажир может воспользоваться правом возмещения налога, если увеличенная налогом сумма по счету превышает 50 тыс. форинтов.</w:t>
      </w:r>
      <w:r>
        <w:br/>
      </w:r>
      <w:r>
        <w:br/>
        <w:t>Налогом на потребление облагаются изделия из благородных металлов, за исключением изделий из серебра, драгоценности (ставка налога 35%), жареный кофе (12%), виноградное вино (11%), а также легковые автомобили: ставка налога для автомобилей с катализатором и автомобилей с электродвигателем до 1600 см3 10%, сверх 1600 см3 - 20%, без катализатора - соответственно 22% и 32%.</w:t>
      </w:r>
      <w:r>
        <w:br/>
        <w:t>Налог подлежит уплате от реализации собственной продукции, от импорта и от продукции, приобретенной от не субъекта налогообложения, экспорт налогообложению не подлежит. В определенных случаях налог на сырье (например, у драгоценностей) может быть вычтен из обязательств по уплате налога.</w:t>
      </w:r>
      <w:r>
        <w:br/>
      </w:r>
      <w:r>
        <w:br/>
        <w:t xml:space="preserve">Акциз распространяется на нефть, спиртные напитки, пиво, шампанские вина, продукты переработки спиртов и табачные изделия. Субъект налогообложения в этом случае - завод-изготовитель, организация, занимающаяся складированием, хранением и реализацией, и частное лицо </w:t>
      </w:r>
      <w:r>
        <w:br/>
        <w:t>Обязательство по уплате акциза возникает при производстве акцизного товара на территории страны или импорте последнего. После доставки товара в налоговый склад или на склад освобожденного от уплаты налога потребителя обязательство по уплате налога возлагается на владельца лицензии налогового склада или на освобожденного от уплаты налога потребителя. В случае производства или доставки на хранение определение и уплата налога, при импорте - уплата налога откладываются на период хранения товара в налоговом складе, поступления товара из импорта в налоговый склад, из налогового склада - за рубеж. Для доставки товара с отсрочкой уплаты налога необходим сопроводительный документ.</w:t>
      </w:r>
      <w:r>
        <w:br/>
      </w:r>
      <w:r>
        <w:br/>
        <w:t>Лицензии на создание налоговых складов выдаются при наличии определенных персональных и финансовых условий. Среди персональных условий заслуживают упоминания наличие определенных систем учета, двойной финансовый учет, уплата всех общественных долгов, свидетельство о несудимости, а также наличие системы ЭВМ для выполнения обязательств по представлению информации в органы таможни. Располагающее лицензией лицо обязано предоставить акцизную гарантию, сумма которой для алкогольных напитков от 40 до 200 млн. форинтов, для нефти и нефтепродуктов от 200 млн. форинтов до 2 млрд. форинтов, для табачной фабрики и склада - от 50 до 200 млн. форинтов.</w:t>
      </w:r>
      <w:r>
        <w:br/>
      </w:r>
      <w:r>
        <w:br/>
        <w:t>Условия предоставления безналоговой лицензии похожие, акцизная гарантия для нефти и нефтепродуктов не более 100 млн. форинтов, для алкогольных изделий - 50 млн. форинтов. Безналоговая лицензия может быть предоставлена в частности на нефть и нефтепродукты, если они используются в качестве сырья для производства новых изделий или для производства электроэнергии; в случае алкогольных изделий, если они используются в производстве химикатов или косметических изделий.</w:t>
      </w:r>
      <w:r>
        <w:br/>
        <w:t>Обязательство по определению и уплаты налога возникает в день поступления товара в товарооборот. Налог определяется, как правило, исходя из объема продукции.</w:t>
      </w:r>
      <w: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052"/>
        <w:gridCol w:w="1052"/>
        <w:gridCol w:w="1052"/>
        <w:gridCol w:w="1051"/>
        <w:gridCol w:w="1052"/>
        <w:gridCol w:w="1052"/>
        <w:gridCol w:w="1052"/>
      </w:tblGrid>
      <w:tr w:rsidR="005E5570" w:rsidTr="0063422C">
        <w:trPr>
          <w:trHeight w:val="240"/>
        </w:trPr>
        <w:tc>
          <w:tcPr>
            <w:tcW w:w="1051" w:type="dxa"/>
          </w:tcPr>
          <w:p w:rsidR="005E5570" w:rsidRDefault="005E5570" w:rsidP="0063422C">
            <w:pPr>
              <w:rPr>
                <w:rFonts w:ascii="Courier" w:hAnsi="Courier" w:cs="Courier"/>
              </w:rPr>
            </w:pPr>
          </w:p>
        </w:tc>
        <w:tc>
          <w:tcPr>
            <w:tcW w:w="1052" w:type="dxa"/>
          </w:tcPr>
          <w:p w:rsidR="005E5570" w:rsidRDefault="005E5570" w:rsidP="0063422C">
            <w:r>
              <w:t>Цена приобретения</w:t>
            </w:r>
          </w:p>
        </w:tc>
        <w:tc>
          <w:tcPr>
            <w:tcW w:w="1052" w:type="dxa"/>
          </w:tcPr>
          <w:p w:rsidR="005E5570" w:rsidRDefault="005E5570" w:rsidP="0063422C">
            <w:r>
              <w:t>Добавленная стоимость</w:t>
            </w:r>
          </w:p>
        </w:tc>
        <w:tc>
          <w:tcPr>
            <w:tcW w:w="1052" w:type="dxa"/>
          </w:tcPr>
          <w:p w:rsidR="005E5570" w:rsidRDefault="005E5570" w:rsidP="0063422C">
            <w:r>
              <w:t>Оптовая цена</w:t>
            </w:r>
          </w:p>
        </w:tc>
        <w:tc>
          <w:tcPr>
            <w:tcW w:w="1051" w:type="dxa"/>
          </w:tcPr>
          <w:p w:rsidR="005E5570" w:rsidRDefault="005E5570" w:rsidP="0063422C">
            <w:r>
              <w:t>Нало 25%-ный</w:t>
            </w:r>
          </w:p>
        </w:tc>
        <w:tc>
          <w:tcPr>
            <w:tcW w:w="1052" w:type="dxa"/>
          </w:tcPr>
          <w:p w:rsidR="005E5570" w:rsidRDefault="005E5570" w:rsidP="0063422C">
            <w:r>
              <w:t>Налог на предыдущей стадии</w:t>
            </w:r>
          </w:p>
        </w:tc>
        <w:tc>
          <w:tcPr>
            <w:tcW w:w="1052" w:type="dxa"/>
          </w:tcPr>
          <w:p w:rsidR="005E5570" w:rsidRDefault="005E5570" w:rsidP="0063422C">
            <w:r>
              <w:t>Бюджетный доход</w:t>
            </w:r>
          </w:p>
        </w:tc>
        <w:tc>
          <w:tcPr>
            <w:tcW w:w="1052" w:type="dxa"/>
          </w:tcPr>
          <w:p w:rsidR="005E5570" w:rsidRDefault="005E5570" w:rsidP="0063422C">
            <w:r>
              <w:t>Цена реализации</w:t>
            </w:r>
          </w:p>
        </w:tc>
      </w:tr>
      <w:tr w:rsidR="005E5570" w:rsidTr="0063422C">
        <w:trPr>
          <w:trHeight w:val="345"/>
        </w:trPr>
        <w:tc>
          <w:tcPr>
            <w:tcW w:w="1051" w:type="dxa"/>
          </w:tcPr>
          <w:p w:rsidR="005E5570" w:rsidRDefault="005E5570" w:rsidP="0063422C">
            <w:r>
              <w:t>Производство кожи</w:t>
            </w:r>
          </w:p>
        </w:tc>
        <w:tc>
          <w:tcPr>
            <w:tcW w:w="1052" w:type="dxa"/>
          </w:tcPr>
          <w:p w:rsidR="005E5570" w:rsidRDefault="005E5570" w:rsidP="0063422C">
            <w:pPr>
              <w:rPr>
                <w:rFonts w:ascii="Courier" w:hAnsi="Courier" w:cs="Courier"/>
              </w:rPr>
            </w:pPr>
            <w:r>
              <w:rPr>
                <w:rFonts w:ascii="Courier" w:hAnsi="Courier" w:cs="Courier"/>
              </w:rPr>
              <w:t>0</w:t>
            </w:r>
          </w:p>
        </w:tc>
        <w:tc>
          <w:tcPr>
            <w:tcW w:w="1052" w:type="dxa"/>
          </w:tcPr>
          <w:p w:rsidR="005E5570" w:rsidRDefault="005E5570" w:rsidP="0063422C">
            <w:pPr>
              <w:rPr>
                <w:rFonts w:ascii="Courier" w:hAnsi="Courier" w:cs="Courier"/>
              </w:rPr>
            </w:pPr>
            <w:r>
              <w:rPr>
                <w:rFonts w:ascii="Courier" w:hAnsi="Courier" w:cs="Courier"/>
              </w:rPr>
              <w:t>12</w:t>
            </w:r>
          </w:p>
        </w:tc>
        <w:tc>
          <w:tcPr>
            <w:tcW w:w="1052" w:type="dxa"/>
          </w:tcPr>
          <w:p w:rsidR="005E5570" w:rsidRDefault="005E5570" w:rsidP="0063422C">
            <w:pPr>
              <w:rPr>
                <w:rFonts w:ascii="Courier" w:hAnsi="Courier" w:cs="Courier"/>
              </w:rPr>
            </w:pPr>
            <w:r>
              <w:rPr>
                <w:rFonts w:ascii="Courier" w:hAnsi="Courier" w:cs="Courier"/>
              </w:rPr>
              <w:t>12</w:t>
            </w:r>
          </w:p>
        </w:tc>
        <w:tc>
          <w:tcPr>
            <w:tcW w:w="1051" w:type="dxa"/>
          </w:tcPr>
          <w:p w:rsidR="005E5570" w:rsidRDefault="005E5570" w:rsidP="0063422C">
            <w:pPr>
              <w:rPr>
                <w:rFonts w:ascii="Courier" w:hAnsi="Courier" w:cs="Courier"/>
              </w:rPr>
            </w:pPr>
            <w:r>
              <w:rPr>
                <w:rFonts w:ascii="Courier" w:hAnsi="Courier" w:cs="Courier"/>
              </w:rPr>
              <w:t>3</w:t>
            </w:r>
          </w:p>
        </w:tc>
        <w:tc>
          <w:tcPr>
            <w:tcW w:w="1052" w:type="dxa"/>
          </w:tcPr>
          <w:p w:rsidR="005E5570" w:rsidRDefault="005E5570" w:rsidP="0063422C">
            <w:pPr>
              <w:rPr>
                <w:rFonts w:ascii="Courier" w:hAnsi="Courier" w:cs="Courier"/>
              </w:rPr>
            </w:pPr>
            <w:r>
              <w:rPr>
                <w:rFonts w:ascii="Courier" w:hAnsi="Courier" w:cs="Courier"/>
              </w:rPr>
              <w:t>0</w:t>
            </w:r>
          </w:p>
        </w:tc>
        <w:tc>
          <w:tcPr>
            <w:tcW w:w="1052" w:type="dxa"/>
          </w:tcPr>
          <w:p w:rsidR="005E5570" w:rsidRDefault="005E5570" w:rsidP="0063422C">
            <w:pPr>
              <w:rPr>
                <w:rFonts w:ascii="Courier" w:hAnsi="Courier" w:cs="Courier"/>
              </w:rPr>
            </w:pPr>
            <w:r>
              <w:rPr>
                <w:rFonts w:ascii="Courier" w:hAnsi="Courier" w:cs="Courier"/>
              </w:rPr>
              <w:t>3</w:t>
            </w:r>
          </w:p>
        </w:tc>
        <w:tc>
          <w:tcPr>
            <w:tcW w:w="1052" w:type="dxa"/>
          </w:tcPr>
          <w:p w:rsidR="005E5570" w:rsidRDefault="005E5570" w:rsidP="0063422C">
            <w:pPr>
              <w:rPr>
                <w:rFonts w:ascii="Courier" w:hAnsi="Courier" w:cs="Courier"/>
              </w:rPr>
            </w:pPr>
            <w:r>
              <w:rPr>
                <w:rFonts w:ascii="Courier" w:hAnsi="Courier" w:cs="Courier"/>
              </w:rPr>
              <w:t>15</w:t>
            </w:r>
          </w:p>
        </w:tc>
      </w:tr>
      <w:tr w:rsidR="005E5570" w:rsidTr="0063422C">
        <w:trPr>
          <w:trHeight w:val="270"/>
        </w:trPr>
        <w:tc>
          <w:tcPr>
            <w:tcW w:w="1051" w:type="dxa"/>
          </w:tcPr>
          <w:p w:rsidR="005E5570" w:rsidRDefault="005E5570" w:rsidP="0063422C">
            <w:r>
              <w:t>Выделка кожи</w:t>
            </w:r>
          </w:p>
        </w:tc>
        <w:tc>
          <w:tcPr>
            <w:tcW w:w="1052" w:type="dxa"/>
          </w:tcPr>
          <w:p w:rsidR="005E5570" w:rsidRDefault="005E5570" w:rsidP="0063422C">
            <w:pPr>
              <w:rPr>
                <w:rFonts w:ascii="Courier" w:hAnsi="Courier" w:cs="Courier"/>
              </w:rPr>
            </w:pPr>
            <w:r>
              <w:rPr>
                <w:rFonts w:ascii="Courier" w:hAnsi="Courier" w:cs="Courier"/>
              </w:rPr>
              <w:t>12</w:t>
            </w:r>
          </w:p>
        </w:tc>
        <w:tc>
          <w:tcPr>
            <w:tcW w:w="1052" w:type="dxa"/>
          </w:tcPr>
          <w:p w:rsidR="005E5570" w:rsidRDefault="005E5570" w:rsidP="0063422C">
            <w:pPr>
              <w:rPr>
                <w:rFonts w:ascii="Courier" w:hAnsi="Courier" w:cs="Courier"/>
              </w:rPr>
            </w:pPr>
            <w:r>
              <w:rPr>
                <w:rFonts w:ascii="Courier" w:hAnsi="Courier" w:cs="Courier"/>
              </w:rPr>
              <w:t>36</w:t>
            </w:r>
          </w:p>
        </w:tc>
        <w:tc>
          <w:tcPr>
            <w:tcW w:w="1052" w:type="dxa"/>
          </w:tcPr>
          <w:p w:rsidR="005E5570" w:rsidRDefault="005E5570" w:rsidP="0063422C">
            <w:pPr>
              <w:rPr>
                <w:rFonts w:ascii="Courier" w:hAnsi="Courier" w:cs="Courier"/>
              </w:rPr>
            </w:pPr>
            <w:r>
              <w:rPr>
                <w:rFonts w:ascii="Courier" w:hAnsi="Courier" w:cs="Courier"/>
              </w:rPr>
              <w:t>48</w:t>
            </w:r>
          </w:p>
        </w:tc>
        <w:tc>
          <w:tcPr>
            <w:tcW w:w="1051" w:type="dxa"/>
          </w:tcPr>
          <w:p w:rsidR="005E5570" w:rsidRDefault="005E5570" w:rsidP="0063422C">
            <w:pPr>
              <w:rPr>
                <w:rFonts w:ascii="Courier" w:hAnsi="Courier" w:cs="Courier"/>
              </w:rPr>
            </w:pPr>
            <w:r>
              <w:rPr>
                <w:rFonts w:ascii="Courier" w:hAnsi="Courier" w:cs="Courier"/>
              </w:rPr>
              <w:t>12</w:t>
            </w:r>
          </w:p>
        </w:tc>
        <w:tc>
          <w:tcPr>
            <w:tcW w:w="1052" w:type="dxa"/>
          </w:tcPr>
          <w:p w:rsidR="005E5570" w:rsidRDefault="005E5570" w:rsidP="0063422C">
            <w:pPr>
              <w:rPr>
                <w:rFonts w:ascii="Courier" w:hAnsi="Courier" w:cs="Courier"/>
              </w:rPr>
            </w:pPr>
            <w:r>
              <w:rPr>
                <w:rFonts w:ascii="Courier" w:hAnsi="Courier" w:cs="Courier"/>
              </w:rPr>
              <w:t>3</w:t>
            </w:r>
          </w:p>
        </w:tc>
        <w:tc>
          <w:tcPr>
            <w:tcW w:w="1052" w:type="dxa"/>
          </w:tcPr>
          <w:p w:rsidR="005E5570" w:rsidRDefault="005E5570" w:rsidP="0063422C">
            <w:pPr>
              <w:rPr>
                <w:rFonts w:ascii="Courier" w:hAnsi="Courier" w:cs="Courier"/>
              </w:rPr>
            </w:pPr>
            <w:r>
              <w:rPr>
                <w:rFonts w:ascii="Courier" w:hAnsi="Courier" w:cs="Courier"/>
              </w:rPr>
              <w:t>9</w:t>
            </w:r>
          </w:p>
        </w:tc>
        <w:tc>
          <w:tcPr>
            <w:tcW w:w="1052" w:type="dxa"/>
          </w:tcPr>
          <w:p w:rsidR="005E5570" w:rsidRDefault="005E5570" w:rsidP="0063422C">
            <w:pPr>
              <w:rPr>
                <w:rFonts w:ascii="Courier" w:hAnsi="Courier" w:cs="Courier"/>
              </w:rPr>
            </w:pPr>
            <w:r>
              <w:rPr>
                <w:rFonts w:ascii="Courier" w:hAnsi="Courier" w:cs="Courier"/>
              </w:rPr>
              <w:t>60</w:t>
            </w:r>
          </w:p>
        </w:tc>
      </w:tr>
      <w:tr w:rsidR="005E5570" w:rsidTr="0063422C">
        <w:trPr>
          <w:trHeight w:val="300"/>
        </w:trPr>
        <w:tc>
          <w:tcPr>
            <w:tcW w:w="1051" w:type="dxa"/>
          </w:tcPr>
          <w:p w:rsidR="005E5570" w:rsidRDefault="005E5570" w:rsidP="0063422C">
            <w:r>
              <w:t>Производство обуви</w:t>
            </w:r>
          </w:p>
        </w:tc>
        <w:tc>
          <w:tcPr>
            <w:tcW w:w="1052" w:type="dxa"/>
          </w:tcPr>
          <w:p w:rsidR="005E5570" w:rsidRDefault="005E5570" w:rsidP="0063422C">
            <w:pPr>
              <w:rPr>
                <w:rFonts w:ascii="Courier" w:hAnsi="Courier" w:cs="Courier"/>
              </w:rPr>
            </w:pPr>
            <w:r>
              <w:rPr>
                <w:rFonts w:ascii="Courier" w:hAnsi="Courier" w:cs="Courier"/>
              </w:rPr>
              <w:t>48</w:t>
            </w:r>
          </w:p>
        </w:tc>
        <w:tc>
          <w:tcPr>
            <w:tcW w:w="1052" w:type="dxa"/>
          </w:tcPr>
          <w:p w:rsidR="005E5570" w:rsidRDefault="005E5570" w:rsidP="0063422C">
            <w:pPr>
              <w:rPr>
                <w:rFonts w:ascii="Courier" w:hAnsi="Courier" w:cs="Courier"/>
              </w:rPr>
            </w:pPr>
            <w:r>
              <w:rPr>
                <w:rFonts w:ascii="Courier" w:hAnsi="Courier" w:cs="Courier"/>
              </w:rPr>
              <w:t>48</w:t>
            </w:r>
          </w:p>
        </w:tc>
        <w:tc>
          <w:tcPr>
            <w:tcW w:w="1052" w:type="dxa"/>
          </w:tcPr>
          <w:p w:rsidR="005E5570" w:rsidRDefault="005E5570" w:rsidP="0063422C">
            <w:pPr>
              <w:rPr>
                <w:rFonts w:ascii="Courier" w:hAnsi="Courier" w:cs="Courier"/>
              </w:rPr>
            </w:pPr>
            <w:r>
              <w:rPr>
                <w:rFonts w:ascii="Courier" w:hAnsi="Courier" w:cs="Courier"/>
              </w:rPr>
              <w:t>96</w:t>
            </w:r>
          </w:p>
        </w:tc>
        <w:tc>
          <w:tcPr>
            <w:tcW w:w="1051" w:type="dxa"/>
          </w:tcPr>
          <w:p w:rsidR="005E5570" w:rsidRDefault="005E5570" w:rsidP="0063422C">
            <w:pPr>
              <w:rPr>
                <w:rFonts w:ascii="Courier" w:hAnsi="Courier" w:cs="Courier"/>
              </w:rPr>
            </w:pPr>
            <w:r>
              <w:rPr>
                <w:rFonts w:ascii="Courier" w:hAnsi="Courier" w:cs="Courier"/>
              </w:rPr>
              <w:t>24</w:t>
            </w:r>
          </w:p>
        </w:tc>
        <w:tc>
          <w:tcPr>
            <w:tcW w:w="1052" w:type="dxa"/>
          </w:tcPr>
          <w:p w:rsidR="005E5570" w:rsidRDefault="005E5570" w:rsidP="0063422C">
            <w:pPr>
              <w:rPr>
                <w:rFonts w:ascii="Courier" w:hAnsi="Courier" w:cs="Courier"/>
              </w:rPr>
            </w:pPr>
            <w:r>
              <w:rPr>
                <w:rFonts w:ascii="Courier" w:hAnsi="Courier" w:cs="Courier"/>
              </w:rPr>
              <w:t>12</w:t>
            </w:r>
          </w:p>
        </w:tc>
        <w:tc>
          <w:tcPr>
            <w:tcW w:w="1052" w:type="dxa"/>
          </w:tcPr>
          <w:p w:rsidR="005E5570" w:rsidRDefault="005E5570" w:rsidP="0063422C">
            <w:pPr>
              <w:rPr>
                <w:rFonts w:ascii="Courier" w:hAnsi="Courier" w:cs="Courier"/>
              </w:rPr>
            </w:pPr>
            <w:r>
              <w:rPr>
                <w:rFonts w:ascii="Courier" w:hAnsi="Courier" w:cs="Courier"/>
              </w:rPr>
              <w:t>12</w:t>
            </w:r>
          </w:p>
        </w:tc>
        <w:tc>
          <w:tcPr>
            <w:tcW w:w="1052" w:type="dxa"/>
          </w:tcPr>
          <w:p w:rsidR="005E5570" w:rsidRDefault="005E5570" w:rsidP="0063422C">
            <w:pPr>
              <w:rPr>
                <w:rFonts w:ascii="Courier" w:hAnsi="Courier" w:cs="Courier"/>
              </w:rPr>
            </w:pPr>
            <w:r>
              <w:rPr>
                <w:rFonts w:ascii="Courier" w:hAnsi="Courier" w:cs="Courier"/>
              </w:rPr>
              <w:t>120</w:t>
            </w:r>
          </w:p>
        </w:tc>
      </w:tr>
      <w:tr w:rsidR="005E5570" w:rsidTr="0063422C">
        <w:trPr>
          <w:trHeight w:val="285"/>
        </w:trPr>
        <w:tc>
          <w:tcPr>
            <w:tcW w:w="1051" w:type="dxa"/>
          </w:tcPr>
          <w:p w:rsidR="005E5570" w:rsidRDefault="005E5570" w:rsidP="0063422C">
            <w:r>
              <w:t>Розничная торговля</w:t>
            </w:r>
          </w:p>
        </w:tc>
        <w:tc>
          <w:tcPr>
            <w:tcW w:w="1052" w:type="dxa"/>
          </w:tcPr>
          <w:p w:rsidR="005E5570" w:rsidRDefault="005E5570" w:rsidP="0063422C">
            <w:pPr>
              <w:rPr>
                <w:rFonts w:ascii="Courier" w:hAnsi="Courier" w:cs="Courier"/>
              </w:rPr>
            </w:pPr>
            <w:r>
              <w:rPr>
                <w:rFonts w:ascii="Courier" w:hAnsi="Courier" w:cs="Courier"/>
              </w:rPr>
              <w:t>96</w:t>
            </w:r>
          </w:p>
        </w:tc>
        <w:tc>
          <w:tcPr>
            <w:tcW w:w="1052" w:type="dxa"/>
          </w:tcPr>
          <w:p w:rsidR="005E5570" w:rsidRDefault="005E5570" w:rsidP="0063422C">
            <w:pPr>
              <w:rPr>
                <w:rFonts w:ascii="Courier" w:hAnsi="Courier" w:cs="Courier"/>
              </w:rPr>
            </w:pPr>
            <w:r>
              <w:rPr>
                <w:rFonts w:ascii="Courier" w:hAnsi="Courier" w:cs="Courier"/>
              </w:rPr>
              <w:t>12</w:t>
            </w:r>
          </w:p>
        </w:tc>
        <w:tc>
          <w:tcPr>
            <w:tcW w:w="1052" w:type="dxa"/>
          </w:tcPr>
          <w:p w:rsidR="005E5570" w:rsidRDefault="005E5570" w:rsidP="0063422C">
            <w:pPr>
              <w:rPr>
                <w:rFonts w:ascii="Courier" w:hAnsi="Courier" w:cs="Courier"/>
              </w:rPr>
            </w:pPr>
            <w:r>
              <w:rPr>
                <w:rFonts w:ascii="Courier" w:hAnsi="Courier" w:cs="Courier"/>
              </w:rPr>
              <w:t>108</w:t>
            </w:r>
          </w:p>
        </w:tc>
        <w:tc>
          <w:tcPr>
            <w:tcW w:w="1051" w:type="dxa"/>
          </w:tcPr>
          <w:p w:rsidR="005E5570" w:rsidRDefault="005E5570" w:rsidP="0063422C">
            <w:pPr>
              <w:rPr>
                <w:rFonts w:ascii="Courier" w:hAnsi="Courier" w:cs="Courier"/>
              </w:rPr>
            </w:pPr>
            <w:r>
              <w:rPr>
                <w:rFonts w:ascii="Courier" w:hAnsi="Courier" w:cs="Courier"/>
              </w:rPr>
              <w:t>27</w:t>
            </w:r>
          </w:p>
        </w:tc>
        <w:tc>
          <w:tcPr>
            <w:tcW w:w="1052" w:type="dxa"/>
          </w:tcPr>
          <w:p w:rsidR="005E5570" w:rsidRDefault="005E5570" w:rsidP="0063422C">
            <w:pPr>
              <w:rPr>
                <w:rFonts w:ascii="Courier" w:hAnsi="Courier" w:cs="Courier"/>
              </w:rPr>
            </w:pPr>
            <w:r>
              <w:rPr>
                <w:rFonts w:ascii="Courier" w:hAnsi="Courier" w:cs="Courier"/>
              </w:rPr>
              <w:t>24</w:t>
            </w:r>
          </w:p>
        </w:tc>
        <w:tc>
          <w:tcPr>
            <w:tcW w:w="1052" w:type="dxa"/>
          </w:tcPr>
          <w:p w:rsidR="005E5570" w:rsidRDefault="005E5570" w:rsidP="0063422C">
            <w:pPr>
              <w:rPr>
                <w:rFonts w:ascii="Courier" w:hAnsi="Courier" w:cs="Courier"/>
              </w:rPr>
            </w:pPr>
            <w:r>
              <w:rPr>
                <w:rFonts w:ascii="Courier" w:hAnsi="Courier" w:cs="Courier"/>
              </w:rPr>
              <w:t>3</w:t>
            </w:r>
          </w:p>
        </w:tc>
        <w:tc>
          <w:tcPr>
            <w:tcW w:w="1052" w:type="dxa"/>
          </w:tcPr>
          <w:p w:rsidR="005E5570" w:rsidRDefault="005E5570" w:rsidP="0063422C">
            <w:pPr>
              <w:rPr>
                <w:rFonts w:ascii="Courier" w:hAnsi="Courier" w:cs="Courier"/>
              </w:rPr>
            </w:pPr>
            <w:r>
              <w:rPr>
                <w:rFonts w:ascii="Courier" w:hAnsi="Courier" w:cs="Courier"/>
              </w:rPr>
              <w:t>135</w:t>
            </w:r>
          </w:p>
        </w:tc>
      </w:tr>
    </w:tbl>
    <w:p w:rsidR="005E5570" w:rsidRDefault="005E5570" w:rsidP="005E5570"/>
    <w:p w:rsidR="005E5570" w:rsidRDefault="0063422C" w:rsidP="0063422C">
      <w:pPr>
        <w:pStyle w:val="a4"/>
        <w:ind w:left="1800"/>
      </w:pPr>
      <w:r>
        <w:t xml:space="preserve">3.Местный индустриальный налог (helyi iparuzesi ado). </w:t>
      </w:r>
    </w:p>
    <w:p w:rsidR="0063422C" w:rsidRDefault="0063422C" w:rsidP="0063422C">
      <w:pPr>
        <w:pStyle w:val="a4"/>
      </w:pPr>
      <w:r>
        <w:t xml:space="preserve">В системе местных налогов на предпринимателя возлагаются обязательства по уплате промыслового налога, налога имущественного типа и коммунального налога. Основа определения местного промыслового налога - сумма нетто поступлений от реализации продукции за вычетом закупочной цены проданного товара, стоимости работ, вы полненных субподрядчиками, а также - с течением времени - стоимости сырья и материалов (в </w:t>
      </w:r>
      <w:smartTag w:uri="urn:schemas-microsoft-com:office:smarttags" w:element="metricconverter">
        <w:smartTagPr>
          <w:attr w:name="ProductID" w:val="1998 г"/>
        </w:smartTagPr>
        <w:r>
          <w:t>1998 г</w:t>
        </w:r>
      </w:smartTag>
      <w:r>
        <w:t xml:space="preserve">. - 33% стоимости, в </w:t>
      </w:r>
      <w:smartTag w:uri="urn:schemas-microsoft-com:office:smarttags" w:element="metricconverter">
        <w:smartTagPr>
          <w:attr w:name="ProductID" w:val="1999 г"/>
        </w:smartTagPr>
        <w:r>
          <w:t>1999 г</w:t>
        </w:r>
      </w:smartTag>
      <w:r>
        <w:t xml:space="preserve">. - 66%, в </w:t>
      </w:r>
      <w:smartTag w:uri="urn:schemas-microsoft-com:office:smarttags" w:element="metricconverter">
        <w:smartTagPr>
          <w:attr w:name="ProductID" w:val="2000 г"/>
        </w:smartTagPr>
        <w:r>
          <w:t>2000 г</w:t>
        </w:r>
      </w:smartTag>
      <w:r>
        <w:t xml:space="preserve">. - всей стоимости сырья и материалов). Ставка налога в </w:t>
      </w:r>
      <w:smartTag w:uri="urn:schemas-microsoft-com:office:smarttags" w:element="metricconverter">
        <w:smartTagPr>
          <w:attr w:name="ProductID" w:val="1998 г"/>
        </w:smartTagPr>
        <w:r>
          <w:t>1998 г</w:t>
        </w:r>
      </w:smartTag>
      <w:r>
        <w:t xml:space="preserve">. -1,4 %, в </w:t>
      </w:r>
      <w:smartTag w:uri="urn:schemas-microsoft-com:office:smarttags" w:element="metricconverter">
        <w:smartTagPr>
          <w:attr w:name="ProductID" w:val="1999 г"/>
        </w:smartTagPr>
        <w:r>
          <w:t>1999 г</w:t>
        </w:r>
      </w:smartTag>
      <w:r>
        <w:t xml:space="preserve">. - 1,7% и в </w:t>
      </w:r>
      <w:smartTag w:uri="urn:schemas-microsoft-com:office:smarttags" w:element="metricconverter">
        <w:smartTagPr>
          <w:attr w:name="ProductID" w:val="2000 г"/>
        </w:smartTagPr>
        <w:r>
          <w:t>2000 г</w:t>
        </w:r>
      </w:smartTag>
      <w:r>
        <w:t>. - 2%.</w:t>
      </w:r>
      <w:r>
        <w:br/>
        <w:t xml:space="preserve">    Из налогов имущественного типа предприниматели облагаются налогом с построек и налогом со строительных участков. Основа определения налога с построек - полезная площадь здания или его оборотная стоимость, размер налога 900 Фт/м2 или 1,5%. Налог со строительного участка определяется по норме 200 Фт/м2, или 1,5% оборотной стоимости. Основа определения коммунального налога - число зарегистрированных штатных единиц, размер - 2000 Фт/чел.</w:t>
      </w:r>
      <w:r>
        <w:br/>
        <w:t xml:space="preserve">Местные налоги определяются местными органами самоуправления с учетом установленных законодательством лимитов. Опыт показывает, что большинство населенных пунктов пользуются промысловым налогом, прочие налоги взимаются относительно редко. </w:t>
      </w:r>
    </w:p>
    <w:p w:rsidR="0063422C" w:rsidRDefault="0063422C" w:rsidP="0063422C">
      <w:pPr>
        <w:pStyle w:val="style6"/>
      </w:pPr>
      <w:r>
        <w:rPr>
          <w:rStyle w:val="a5"/>
        </w:rPr>
        <w:t>Скидки для инвесторов</w:t>
      </w:r>
    </w:p>
    <w:p w:rsidR="0063422C" w:rsidRDefault="0063422C" w:rsidP="0063422C">
      <w:pPr>
        <w:pStyle w:val="a4"/>
      </w:pPr>
      <w:r>
        <w:t xml:space="preserve">В случае инвестирования в отстающий регион свыше 3 миллиардов форинтов (в течение 10 лет) при определенных условиях инвестор получает 100% налоговую скидку, для инвестиций до 31 декабря 2002. </w:t>
      </w:r>
      <w:r>
        <w:br/>
        <w:t xml:space="preserve">Инвестиции, способствующие производству товаров общей стоимостью более 10 миллиардов форинтов (в течение 10 лет) получают 100% налоговую скидку до 31 декабря </w:t>
      </w:r>
      <w:smartTag w:uri="urn:schemas-microsoft-com:office:smarttags" w:element="metricconverter">
        <w:smartTagPr>
          <w:attr w:name="ProductID" w:val="2002 г"/>
        </w:smartTagPr>
        <w:r>
          <w:t>2002 г</w:t>
        </w:r>
      </w:smartTag>
      <w:r>
        <w:t xml:space="preserve">. </w:t>
      </w:r>
      <w:r>
        <w:br/>
        <w:t>17 % убытка связанных с компенсацией кооператива и правопреемника. (1998-2006 гг).</w:t>
      </w:r>
    </w:p>
    <w:p w:rsidR="0063422C" w:rsidRDefault="0063422C" w:rsidP="0063422C">
      <w:pPr>
        <w:pStyle w:val="4"/>
      </w:pPr>
      <w:r>
        <w:rPr>
          <w:lang w:val="en-US"/>
        </w:rPr>
        <w:t>P</w:t>
      </w:r>
      <w:r w:rsidRPr="0063422C">
        <w:t>.</w:t>
      </w:r>
      <w:r>
        <w:rPr>
          <w:lang w:val="en-US"/>
        </w:rPr>
        <w:t>S</w:t>
      </w:r>
      <w:r w:rsidRPr="0063422C">
        <w:t xml:space="preserve">.  </w:t>
      </w:r>
      <w:r>
        <w:t>20 января венгерский Конституционный суд признал недействующим дискуссионный закон о налоге на недвижимость, ссылаясь на нарушение правовых гарантий.</w:t>
      </w:r>
    </w:p>
    <w:p w:rsidR="0063422C" w:rsidRPr="0063422C" w:rsidRDefault="0063422C" w:rsidP="0063422C">
      <w:pPr>
        <w:pStyle w:val="a4"/>
      </w:pPr>
      <w:r>
        <w:t xml:space="preserve">Единогласное и не имеющее обратной силы решение Конституционного суда означает, что центральное правительство не сможет взимать налог на недвижимость, введенный в прошлом году. Данное решение означает для государственного бюджета потерю 50 млрд. форинтов (около $260 млн.), которые планировалось получить в 2010 году, – сообщает новостное издание </w:t>
      </w:r>
      <w:hyperlink r:id="rId5" w:history="1">
        <w:r>
          <w:rPr>
            <w:rStyle w:val="a6"/>
          </w:rPr>
          <w:t>xinhuanet.com</w:t>
        </w:r>
      </w:hyperlink>
      <w:r>
        <w:t>.</w:t>
      </w:r>
    </w:p>
    <w:p w:rsidR="0063422C" w:rsidRPr="0063422C" w:rsidRDefault="0063422C" w:rsidP="0063422C">
      <w:pPr>
        <w:pStyle w:val="a4"/>
      </w:pPr>
      <w:r>
        <w:t>Правительство оставило решение Суда без комментариев, в то время как оппозиция, поддерживающая отмену закона, называя его несправедливым и бесчувственным, сочла решение Суда справедливым.</w:t>
      </w:r>
    </w:p>
    <w:p w:rsidR="0063422C" w:rsidRDefault="0063422C" w:rsidP="0063422C">
      <w:pPr>
        <w:pStyle w:val="a4"/>
      </w:pPr>
      <w:r>
        <w:t>Конституционный суд не считает саму концепцию налогообложения недвижимости неконституционной; возражения вызвал способ определения размера налога в зависимости от стоимости недвижимости. Налог определялся на основе рыночной стоимости недвижимости, а налогоплательщики были обязаны определять рыночную стоимость своей недвижимости самостоятельно и указывать ее в декларации, подаваемой в налоговый орган.</w:t>
      </w:r>
    </w:p>
    <w:p w:rsidR="0063422C" w:rsidRDefault="0063422C" w:rsidP="0063422C">
      <w:pPr>
        <w:pStyle w:val="a4"/>
      </w:pPr>
      <w:r>
        <w:t>Тем не менее, налоговые органы сохраняли за собой право производить свою собственную оценку недвижимости и штрафовать налогоплательщиков в случае, если оценка налогового органа более чем на 10% превышала стоимость, указанную налогоплательщиком в декларации.</w:t>
      </w:r>
    </w:p>
    <w:p w:rsidR="0063422C" w:rsidRDefault="0063422C" w:rsidP="0063422C">
      <w:pPr>
        <w:pStyle w:val="a4"/>
      </w:pPr>
      <w:r>
        <w:t>Отмечая, что рыночная стоимость является весьма относительным показателем, и что цены могут различаться на 30-40% в районах, где мало продаж и соответствующих налоговых платежей, которые могли бы использоваться в качестве основы для сравнения, суд признал утратившим силу закон, в соответствии с которым с первого января этого года началось бы налогообложение недвижимого имущества.</w:t>
      </w:r>
    </w:p>
    <w:p w:rsidR="0063422C" w:rsidRDefault="0063422C" w:rsidP="0063422C">
      <w:pPr>
        <w:pStyle w:val="a4"/>
      </w:pPr>
      <w:r>
        <w:t>При этом Суд оставил без изменений части закона, касающиеся налогообложения судов, самолетов и автомобилей.</w:t>
      </w:r>
    </w:p>
    <w:p w:rsidR="0063422C" w:rsidRDefault="0063422C" w:rsidP="0063422C">
      <w:pPr>
        <w:pStyle w:val="a4"/>
      </w:pPr>
      <w:r>
        <w:t>Местные органы власти, которые должны были бы уступить свои права на налогообложение недвижимости центральному правительству, что привело бы к значительным потерям в местных бюджетах, будут по-прежнему иметь право взимать налоги с владельцев недвижимости.</w:t>
      </w:r>
    </w:p>
    <w:p w:rsidR="0063422C" w:rsidRDefault="0063422C" w:rsidP="0063422C">
      <w:pPr>
        <w:pStyle w:val="a4"/>
      </w:pPr>
      <w:r>
        <w:br/>
      </w:r>
    </w:p>
    <w:p w:rsidR="0063422C" w:rsidRDefault="0063422C" w:rsidP="0063422C">
      <w:pPr>
        <w:pStyle w:val="a4"/>
        <w:ind w:left="1800"/>
        <w:jc w:val="center"/>
      </w:pPr>
    </w:p>
    <w:p w:rsidR="005E5570" w:rsidRPr="005E5570" w:rsidRDefault="005E5570" w:rsidP="005E5570">
      <w:pPr>
        <w:pStyle w:val="a4"/>
      </w:pPr>
    </w:p>
    <w:p w:rsidR="005E5570" w:rsidRPr="005E5570" w:rsidRDefault="005E5570" w:rsidP="00661DD7"/>
    <w:p w:rsidR="00661DD7" w:rsidRPr="00661DD7" w:rsidRDefault="00661DD7" w:rsidP="00661DD7"/>
    <w:p w:rsidR="00661DD7" w:rsidRPr="00661DD7" w:rsidRDefault="00661DD7" w:rsidP="00661DD7"/>
    <w:p w:rsidR="00661DD7" w:rsidRPr="00661DD7" w:rsidRDefault="00661DD7" w:rsidP="00661DD7"/>
    <w:p w:rsidR="000B2828" w:rsidRPr="000B2828" w:rsidRDefault="000B2828">
      <w:bookmarkStart w:id="0" w:name="_GoBack"/>
      <w:bookmarkEnd w:id="0"/>
    </w:p>
    <w:sectPr w:rsidR="000B2828" w:rsidRPr="000B2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B3442"/>
    <w:multiLevelType w:val="multilevel"/>
    <w:tmpl w:val="DFF67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335C90"/>
    <w:multiLevelType w:val="singleLevel"/>
    <w:tmpl w:val="8D48A52A"/>
    <w:lvl w:ilvl="0">
      <w:start w:val="1"/>
      <w:numFmt w:val="bullet"/>
      <w:lvlText w:val="-"/>
      <w:lvlJc w:val="left"/>
      <w:pPr>
        <w:tabs>
          <w:tab w:val="num" w:pos="1200"/>
        </w:tabs>
        <w:ind w:left="1200" w:hanging="480"/>
      </w:pPr>
      <w:rPr>
        <w:rFonts w:ascii="Times New Roman" w:hAnsi="Times New Roman" w:cs="Times New Roman" w:hint="default"/>
      </w:rPr>
    </w:lvl>
  </w:abstractNum>
  <w:abstractNum w:abstractNumId="2">
    <w:nsid w:val="566954DA"/>
    <w:multiLevelType w:val="multilevel"/>
    <w:tmpl w:val="8ACE6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E74524"/>
    <w:multiLevelType w:val="hybridMultilevel"/>
    <w:tmpl w:val="D40E9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16E"/>
    <w:rsid w:val="000B2828"/>
    <w:rsid w:val="00143F0E"/>
    <w:rsid w:val="0028116E"/>
    <w:rsid w:val="005E5570"/>
    <w:rsid w:val="0063422C"/>
    <w:rsid w:val="00661DD7"/>
    <w:rsid w:val="00767163"/>
    <w:rsid w:val="00B64A77"/>
    <w:rsid w:val="00D1002F"/>
    <w:rsid w:val="00DB6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BAB6D2-D6DC-460E-9CD8-7F9F1483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63422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B2828"/>
    <w:rPr>
      <w:i/>
      <w:iCs/>
    </w:rPr>
  </w:style>
  <w:style w:type="paragraph" w:styleId="a4">
    <w:name w:val="Normal (Web)"/>
    <w:basedOn w:val="a"/>
    <w:rsid w:val="000B2828"/>
    <w:pPr>
      <w:spacing w:before="100" w:beforeAutospacing="1" w:after="100" w:afterAutospacing="1"/>
    </w:pPr>
  </w:style>
  <w:style w:type="paragraph" w:customStyle="1" w:styleId="paragraf">
    <w:name w:val="paragraf"/>
    <w:basedOn w:val="a"/>
    <w:rsid w:val="000B2828"/>
    <w:pPr>
      <w:spacing w:before="100" w:beforeAutospacing="1" w:after="100" w:afterAutospacing="1"/>
    </w:pPr>
  </w:style>
  <w:style w:type="paragraph" w:customStyle="1" w:styleId="style6">
    <w:name w:val="style6"/>
    <w:basedOn w:val="a"/>
    <w:rsid w:val="00661DD7"/>
    <w:pPr>
      <w:spacing w:before="100" w:beforeAutospacing="1" w:after="100" w:afterAutospacing="1"/>
    </w:pPr>
  </w:style>
  <w:style w:type="character" w:styleId="a5">
    <w:name w:val="Strong"/>
    <w:basedOn w:val="a0"/>
    <w:qFormat/>
    <w:rsid w:val="0063422C"/>
    <w:rPr>
      <w:b/>
      <w:bCs/>
    </w:rPr>
  </w:style>
  <w:style w:type="character" w:styleId="a6">
    <w:name w:val="Hyperlink"/>
    <w:basedOn w:val="a0"/>
    <w:rsid w:val="00634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ws.xinhuanet.com/english2010/business/2010-01/27/c_1315219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24083</CharactersWithSpaces>
  <SharedDoc>false</SharedDoc>
  <HLinks>
    <vt:vector size="6" baseType="variant">
      <vt:variant>
        <vt:i4>8257618</vt:i4>
      </vt:variant>
      <vt:variant>
        <vt:i4>0</vt:i4>
      </vt:variant>
      <vt:variant>
        <vt:i4>0</vt:i4>
      </vt:variant>
      <vt:variant>
        <vt:i4>5</vt:i4>
      </vt:variant>
      <vt:variant>
        <vt:lpwstr>http://news.xinhuanet.com/english2010/business/2010-01/27/c_13152191.htm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2014-04-18T09:53:00Z</dcterms:created>
  <dcterms:modified xsi:type="dcterms:W3CDTF">2014-04-18T09:53:00Z</dcterms:modified>
</cp:coreProperties>
</file>