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FF" w:rsidRDefault="00F6378A">
      <w:pPr>
        <w:pStyle w:val="10"/>
        <w:spacing w:after="120" w:line="240" w:lineRule="auto"/>
        <w:ind w:firstLine="0"/>
        <w:jc w:val="center"/>
        <w:rPr>
          <w:b/>
          <w:noProof/>
          <w:sz w:val="24"/>
        </w:rPr>
      </w:pPr>
      <w:r>
        <w:rPr>
          <w:b/>
          <w:noProof/>
          <w:sz w:val="24"/>
        </w:rPr>
        <w:t>Аналіз стану і використання основних фондів підприємства</w:t>
      </w:r>
    </w:p>
    <w:p w:rsidR="00793AFF" w:rsidRDefault="00F6378A">
      <w:pPr>
        <w:pStyle w:val="10"/>
        <w:spacing w:before="120" w:after="120" w:line="240" w:lineRule="auto"/>
        <w:ind w:firstLine="567"/>
        <w:rPr>
          <w:b/>
          <w:noProof/>
          <w:sz w:val="22"/>
        </w:rPr>
      </w:pPr>
      <w:r>
        <w:rPr>
          <w:b/>
          <w:noProof/>
          <w:sz w:val="22"/>
        </w:rPr>
        <w:t>Аналіз складу, структури й технічного стану основних фондів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При аналізі основних фондів насамперед треба визначити їхню середньорічну вартість і динаміку зміни за ряд років. При цьому слід зіставляти темпи їх зміни з динамікою зростання вартості продукції або обсягів виробництва в натуральному вираженні. Останній показник повинен мати більш високі темпи зростання порівняно з основними фондами. Однак економічні труднощі, які мають місце в нашій країні, можуть показати і зворотні тенденції.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Основні фонди підприємства поділяють на виробничі й невиробничі основні засоби. Перші включають основні засоби основного виду діяльності (промисловості) та інших галузей народного господарства. Основні засоби основної діяльності складаються з будівель і споруд, устаткування, інструменту та інших основних фондів.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Аналізуючи склад основних виробничих фондів, їх слід поділити на активні й пасивні, визначивши частку кожної групи. Треба ретельно вивчити, як змінюється співвідношення цих груп упродовж останніх років. При цьому невпинне збільшення частки активних фондів у вигляді робочих і силових машин </w:t>
      </w:r>
      <w:r>
        <w:rPr>
          <w:sz w:val="22"/>
          <w:lang w:val="ru-RU"/>
        </w:rPr>
        <w:t>–</w:t>
      </w:r>
      <w:r>
        <w:rPr>
          <w:sz w:val="22"/>
        </w:rPr>
        <w:t xml:space="preserve"> нагальна мета кожного підприємства.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У сучасних ринкових умовах дуже важливо звернути увагу на те, яка частка основних фондів здана або взята в оренду, яку земельну площу займає підприємство і наскільки доцільно її використовує.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Інвестиційну діяльність підприємства можна оцінити, вивчивши суми залишків незавершених капітальних вкладень і устаткування, які числяться на бухгалтерському балансі (форма № 1), можна також поцікавитись, за рахунок яких коштів вони здійснюються (форма № 3, розділ 4 річного звіту), нарешті, чи є у підприємства довгобуд, якої він давності тощо.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Аналізуючи стан основних фондів, насамперед на підставі даних розділу І активу бухгалтерського балансу, розраховують коефіцієнт спрацювання (зносу) основних фондів і вивчають його динаміку за ряд років. Як допоміжні можна застосовувати коефіцієнти вибуття, оновлення основних засобів, показники вікового складу устаткування. Повсюдне погіршення цих показників свідчить про серйозні проблеми з оновленням устаткування на підприємствах країни, відсутністю коштів для фінансування цих потреб. До того ж спрацьовані основні засоби зумовлюють застосування застарілих технологічних процесів, що спричиняє неконкурентоздатність продукції більшості підприємств.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Розглядаючи рівень спрацювання основних засобів, мають на увазі насамперед їх фізичний знос. Проте не слід забувати ще й про моральне старіння фондів, яке набагато погіршує становище.</w:t>
      </w:r>
    </w:p>
    <w:p w:rsidR="00793AFF" w:rsidRDefault="00F6378A">
      <w:pPr>
        <w:pStyle w:val="10"/>
        <w:spacing w:before="360" w:after="120" w:line="240" w:lineRule="auto"/>
        <w:ind w:firstLine="567"/>
        <w:rPr>
          <w:b/>
          <w:noProof/>
          <w:sz w:val="22"/>
        </w:rPr>
      </w:pPr>
      <w:r>
        <w:rPr>
          <w:b/>
          <w:noProof/>
          <w:sz w:val="22"/>
        </w:rPr>
        <w:t>Аналіз використання виробничих потужностей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Обсяг випуску продукції безпосередньо пов’язаний з величиною виробничої потужності, яка характеризується максимально можливим річним (добовим) випуском продукції певного асортименту в незмінних умовах. Зрозуміло, виробнича потужність змінюється, якщо вводять у дію нові основні фонди, поліпшують стан діючих або ліквідують старе і непотрібне устаткування. Все це неважко передбачити при плануванні виробництва продукції.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Однак виробнича потужність залежить і від таких факторів: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якості й складу сировини;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трудової дисципліни та кваліфікації працівників;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інструментів і пристосувань, які використовують на виробництві;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асортиментно-структурних зрушень у випуску продукції;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кількості та якості ремонтів устаткування;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рівня організації праці й управління;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інших причин.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При аналізі використання виробничих потужностей треба розрізняти проектну (планову) і фактично діючу потужність. Остання може бути вищою за проектну у зв’язку з обставинами, названими вище, однак фактичний обсяг виробництва ніколи не може перевищити фактичну потужність підприємства.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У процесі аналізу визначають ступінь використання виробничої потужності. Якщо коефіцієнт завантаження менший як 0,5 – 0,6, ретельно досліджують причини такого становища і розробляють заходи для його виправлення. Проте не слід вимагати і повного використання основних фондів, </w:t>
      </w:r>
      <w:r>
        <w:rPr>
          <w:sz w:val="22"/>
        </w:rPr>
        <w:lastRenderedPageBreak/>
        <w:t>оскільки підприємство повинно мати резервні потужності, які забезпечують його стійку роботу і можливість швидко задовольнити короткострокові додаткові потреби ринку. Більш того, резервні потужності в деяких галузях народного господарства конче необхідні як засіб забезпечення надійності та безперервності роботи багатьох інших підприємств і навіть регіонів. Насамперед це стосується підприємств енергопостачання, зв’язку, транспорту.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Для нових підприємств аналіз завантаження потужностей – особливо важлива справа. При цьому вивчають не тільки ступінь освоєння відповідних виробничих потужностей, а й темпи і терміни згідно з планом або проектом. Основні причини негараздів такі: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неякісне і неповне виконання будівельно-монтажних робіт;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конструктивні недоліки в устаткуванні і його неякісний монтаж;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некомплексний пуск (за тимчасовими схемами);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недостача кваліфікованої робочої сили;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недостатня забезпеченість необхідними матеріалами та енергетичними ресурсами;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відсутність належного обсягу попиту на ринку;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інші неузгодження й помилки в організації та управлінні.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Недовикористання діючих виробничих потужностей значною мірою зумовлене незбалансованістю окремих ланок підприємства, які перебувають у єдиному технологічному ланцюгу. Тому реальна виробнича потужність підприємства визначається величиною найбільш “вузького” місця на виробництві (рис. 5). Виявлення та усунення таких місць – важливе завдання аналізу.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Резерви, пов’язані з недовантаженням виробничих потужностей, лише частково можна використати завдяки зусиллям колективу самого підприємства, щодо інших потрібні злагоджені дії та співробітництво багатьох підприємств і навіть галузей господарства країни. Розшивка “вузьких” місць на підприємстві, як правило, потребує значних капітальних вкладень і часу.</w:t>
      </w: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en-US"/>
        </w:rPr>
      </w:pPr>
    </w:p>
    <w:p w:rsidR="00793AFF" w:rsidRDefault="00F6378A">
      <w:pPr>
        <w:pStyle w:val="FR4"/>
        <w:spacing w:line="240" w:lineRule="auto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i w:val="0"/>
          <w:noProof/>
          <w:sz w:val="22"/>
        </w:rPr>
        <w:lastRenderedPageBreak/>
        <w:t>1</w:t>
      </w:r>
      <w:r>
        <w:rPr>
          <w:rFonts w:ascii="Times New Roman" w:hAnsi="Times New Roman"/>
          <w:b/>
          <w:i w:val="0"/>
          <w:noProof/>
          <w:sz w:val="22"/>
        </w:rPr>
        <w:t>.</w:t>
      </w:r>
      <w:r>
        <w:rPr>
          <w:rFonts w:ascii="Times New Roman" w:hAnsi="Times New Roman"/>
          <w:b/>
          <w:i w:val="0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Підприємство із збалансованими потужностями окремих виробництв</w:t>
      </w:r>
    </w:p>
    <w:p w:rsidR="00793AFF" w:rsidRDefault="003F4445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  <w:r>
        <w:rPr>
          <w:rFonts w:ascii="Times New Roman" w:hAnsi="Times New Roman"/>
          <w:bCs/>
          <w:i w:val="0"/>
          <w:noProof/>
          <w:snapToGrid/>
          <w:sz w:val="20"/>
          <w:lang w:val="ru-RU"/>
        </w:rPr>
        <w:pict>
          <v:group id="_x0000_s1142" style="position:absolute;left:0;text-align:left;margin-left:21.4pt;margin-top:4.7pt;width:426pt;height:138.95pt;z-index:251654144" coordorigin="1846,1704" coordsize="8520,277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2130;top:1704;width:1136;height:2272">
              <v:textbox>
                <w:txbxContent>
                  <w:p w:rsidR="00793AFF" w:rsidRDefault="00F6378A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</w:t>
                    </w:r>
                    <w:r>
                      <w:rPr>
                        <w:sz w:val="28"/>
                        <w:vertAlign w:val="subscript"/>
                        <w:lang w:val="uk-UA"/>
                      </w:rPr>
                      <w:t>п</w:t>
                    </w:r>
                  </w:p>
                </w:txbxContent>
              </v:textbox>
            </v:shape>
            <v:shape id="_x0000_s1136" type="#_x0000_t202" style="position:absolute;left:5396;top:1704;width:1136;height:2272">
              <v:textbox>
                <w:txbxContent>
                  <w:p w:rsidR="00793AFF" w:rsidRDefault="00F6378A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</w:t>
                    </w:r>
                    <w:r>
                      <w:rPr>
                        <w:sz w:val="28"/>
                        <w:vertAlign w:val="subscript"/>
                        <w:lang w:val="uk-UA"/>
                      </w:rPr>
                      <w:t>п</w:t>
                    </w:r>
                  </w:p>
                </w:txbxContent>
              </v:textbox>
            </v:shape>
            <v:shape id="_x0000_s1137" type="#_x0000_t202" style="position:absolute;left:8946;top:1704;width:1136;height:2272">
              <v:textbox>
                <w:txbxContent>
                  <w:p w:rsidR="00793AFF" w:rsidRDefault="00F6378A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</w:t>
                    </w:r>
                    <w:r>
                      <w:rPr>
                        <w:sz w:val="28"/>
                        <w:vertAlign w:val="subscript"/>
                        <w:lang w:val="uk-UA"/>
                      </w:rPr>
                      <w:t>п</w:t>
                    </w:r>
                  </w:p>
                </w:txbxContent>
              </v:textbox>
            </v:shape>
            <v:line id="_x0000_s1138" style="position:absolute;flip:x" from="6532,2698" to="8946,2698">
              <v:stroke endarrow="block" endarrowwidth="narrow" endarrowlength="long"/>
            </v:line>
            <v:line id="_x0000_s1139" style="position:absolute;flip:x" from="3266,2698" to="5396,2698">
              <v:stroke endarrow="block" endarrowwidth="narrow" endarrowlength="long"/>
            </v:line>
            <v:line id="_x0000_s1140" style="position:absolute" from="1846,4260" to="10366,4260"/>
            <v:line id="_x0000_s1141" style="position:absolute" from="1846,4483" to="10366,4483"/>
          </v:group>
        </w:pict>
      </w: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  <w:lang w:val="ru-RU"/>
        </w:rPr>
      </w:pPr>
    </w:p>
    <w:p w:rsidR="00793AFF" w:rsidRDefault="00793AFF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Cs/>
          <w:i w:val="0"/>
          <w:noProof/>
          <w:sz w:val="22"/>
        </w:rPr>
      </w:pPr>
    </w:p>
    <w:p w:rsidR="00793AFF" w:rsidRDefault="00F6378A">
      <w:pPr>
        <w:pStyle w:val="FR4"/>
        <w:spacing w:line="240" w:lineRule="auto"/>
        <w:ind w:left="567" w:hanging="567"/>
        <w:jc w:val="both"/>
        <w:rPr>
          <w:rFonts w:ascii="Times New Roman" w:hAnsi="Times New Roman"/>
          <w:b/>
          <w:iCs/>
          <w:noProof/>
          <w:sz w:val="22"/>
        </w:rPr>
      </w:pPr>
      <w:r>
        <w:rPr>
          <w:rFonts w:ascii="Times New Roman" w:hAnsi="Times New Roman"/>
          <w:bCs/>
          <w:i w:val="0"/>
          <w:noProof/>
          <w:sz w:val="22"/>
        </w:rPr>
        <w:t xml:space="preserve">2. </w:t>
      </w:r>
      <w:r>
        <w:rPr>
          <w:rFonts w:ascii="Times New Roman" w:hAnsi="Times New Roman"/>
          <w:b/>
          <w:iCs/>
          <w:noProof/>
          <w:sz w:val="22"/>
        </w:rPr>
        <w:t>Підприємство з окремими виробництвами різної потужності</w:t>
      </w: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3F4445">
      <w:pPr>
        <w:pStyle w:val="10"/>
        <w:spacing w:line="240" w:lineRule="auto"/>
        <w:ind w:firstLine="0"/>
        <w:rPr>
          <w:sz w:val="22"/>
          <w:lang w:val="ru-RU"/>
        </w:rPr>
      </w:pPr>
      <w:r>
        <w:rPr>
          <w:noProof/>
          <w:snapToGrid/>
          <w:lang w:val="ru-RU"/>
        </w:rPr>
        <w:pict>
          <v:group id="_x0000_s1174" style="position:absolute;left:0;text-align:left;margin-left:.1pt;margin-top:3.6pt;width:482.8pt;height:475.7pt;z-index:251655168" coordorigin="1420,4970" coordsize="9656,9514">
            <v:rect id="_x0000_s1143" style="position:absolute;left:4118;top:5964;width:994;height:710" fillcolor="black"/>
            <v:rect id="_x0000_s1144" style="position:absolute;left:6532;top:6674;width:994;height:1278"/>
            <v:rect id="_x0000_s1145" style="position:absolute;left:9230;top:6674;width:994;height:1278"/>
            <v:shape id="_x0000_s1146" type="#_x0000_t202" style="position:absolute;left:2276;top:8662;width:2272;height:1278">
              <v:textbox>
                <w:txbxContent>
                  <w:p w:rsidR="00793AFF" w:rsidRDefault="00F6378A">
                    <w:pPr>
                      <w:pStyle w:val="FR1"/>
                      <w:widowControl/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Незавантажені виробничі потужності</w:t>
                    </w:r>
                  </w:p>
                </w:txbxContent>
              </v:textbox>
            </v:shape>
            <v:shape id="_x0000_s1147" type="#_x0000_t202" style="position:absolute;left:1420;top:11218;width:2272;height:710">
              <v:textbox>
                <w:txbxContent>
                  <w:p w:rsidR="00793AFF" w:rsidRDefault="00F6378A">
                    <w:pPr>
                      <w:pStyle w:val="FR1"/>
                      <w:widowControl/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“Вузьке” місце</w:t>
                    </w:r>
                  </w:p>
                </w:txbxContent>
              </v:textbox>
            </v:shape>
            <v:shape id="_x0000_s1148" type="#_x0000_t202" style="position:absolute;left:4686;top:12212;width:994;height:1846">
              <v:textbox>
                <w:txbxContent>
                  <w:p w:rsidR="00793AFF" w:rsidRDefault="00F6378A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</w:t>
                    </w:r>
                    <w:r>
                      <w:rPr>
                        <w:sz w:val="28"/>
                        <w:vertAlign w:val="subscript"/>
                        <w:lang w:val="uk-UA"/>
                      </w:rPr>
                      <w:t>п</w:t>
                    </w:r>
                  </w:p>
                </w:txbxContent>
              </v:textbox>
            </v:shape>
            <v:rect id="_x0000_s1149" style="position:absolute;left:7242;top:12212;width:994;height:1846"/>
            <v:rect id="_x0000_s1150" style="position:absolute;left:9940;top:12212;width:994;height:1846"/>
            <v:rect id="_x0000_s1151" style="position:absolute;left:4118;top:6674;width:994;height:1278"/>
            <v:rect id="_x0000_s1152" style="position:absolute;left:9230;top:4970;width:994;height:1704" fillcolor="black"/>
            <v:rect id="_x0000_s1153" style="position:absolute;left:7242;top:11218;width:994;height:994" fillcolor="black"/>
            <v:rect id="_x0000_s1154" style="position:absolute;left:9940;top:10224;width:994;height:1988" fillcolor="black"/>
            <v:line id="_x0000_s1155" style="position:absolute" from="3834,8094" to="10508,8094"/>
            <v:line id="_x0000_s1156" style="position:absolute" from="3834,8378" to="10508,8378"/>
            <v:line id="_x0000_s1157" style="position:absolute;flip:x y" from="5538,5254" to="7026,6672"/>
            <v:line id="_x0000_s1158" style="position:absolute;flip:x" from="1704,5254" to="5538,5254"/>
            <v:line id="_x0000_s1159" style="position:absolute" from="1704,5254" to="1704,11218"/>
            <v:line id="_x0000_s1160" style="position:absolute;flip:y" from="3408,6324" to="3408,8662"/>
            <v:line id="_x0000_s1161" style="position:absolute" from="3408,6320" to="4118,6320"/>
            <v:line id="_x0000_s1162" style="position:absolute" from="2538,11928" to="4686,13140"/>
            <v:line id="_x0000_s1163" style="position:absolute" from="4544,14276" to="11076,14276"/>
            <v:line id="_x0000_s1164" style="position:absolute" from="4544,14484" to="11076,14484"/>
            <v:line id="_x0000_s1165" style="position:absolute" from="4554,9300" to="10934,9300"/>
            <v:line id="_x0000_s1166" style="position:absolute;flip:y" from="10934,5822" to="10934,9294"/>
            <v:line id="_x0000_s1167" style="position:absolute;flip:x" from="10224,5822" to="10934,5822"/>
            <v:line id="_x0000_s1168" style="position:absolute" from="4554,9306" to="9942,11214"/>
            <v:line id="_x0000_s1169" style="position:absolute" from="3396,9942" to="7242,11712"/>
            <v:line id="_x0000_s1170" style="position:absolute;flip:x" from="8236,12780" to="9940,12780">
              <v:stroke endarrow="block" endarrowwidth="narrow" endarrowlength="long"/>
            </v:line>
            <v:line id="_x0000_s1171" style="position:absolute;flip:x" from="5680,12780" to="7242,12780">
              <v:stroke endarrow="block" endarrowwidth="narrow" endarrowlength="long"/>
            </v:line>
            <v:line id="_x0000_s1172" style="position:absolute;flip:x" from="7526,7100" to="9230,7100">
              <v:stroke endarrow="block" endarrowwidth="narrow" endarrowlength="long"/>
            </v:line>
            <v:line id="_x0000_s1173" style="position:absolute;flip:x" from="5112,7100" to="6532,7100">
              <v:stroke endarrow="block" endarrowwidth="narrow" endarrowlength="long"/>
            </v:line>
          </v:group>
        </w:pict>
      </w: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793AFF">
      <w:pPr>
        <w:pStyle w:val="10"/>
        <w:spacing w:line="240" w:lineRule="auto"/>
        <w:ind w:firstLine="0"/>
        <w:rPr>
          <w:sz w:val="22"/>
          <w:lang w:val="ru-RU"/>
        </w:rPr>
      </w:pPr>
    </w:p>
    <w:p w:rsidR="00793AFF" w:rsidRDefault="00F6378A">
      <w:pPr>
        <w:pStyle w:val="10"/>
        <w:spacing w:after="240" w:line="240" w:lineRule="auto"/>
        <w:ind w:firstLine="0"/>
        <w:jc w:val="center"/>
        <w:rPr>
          <w:b/>
          <w:iCs/>
          <w:sz w:val="22"/>
        </w:rPr>
      </w:pPr>
      <w:r>
        <w:rPr>
          <w:bCs/>
          <w:i/>
          <w:sz w:val="22"/>
        </w:rPr>
        <w:t xml:space="preserve">Рис. 5. </w:t>
      </w:r>
      <w:r>
        <w:rPr>
          <w:b/>
          <w:iCs/>
          <w:sz w:val="22"/>
        </w:rPr>
        <w:t>Визначення виробничої потужності підприємства (П</w:t>
      </w:r>
      <w:r>
        <w:rPr>
          <w:b/>
          <w:iCs/>
          <w:sz w:val="24"/>
          <w:vertAlign w:val="subscript"/>
        </w:rPr>
        <w:t>п</w:t>
      </w:r>
      <w:r>
        <w:rPr>
          <w:b/>
          <w:iCs/>
          <w:sz w:val="22"/>
        </w:rPr>
        <w:t>)</w:t>
      </w:r>
    </w:p>
    <w:p w:rsidR="00793AFF" w:rsidRDefault="00F6378A">
      <w:pPr>
        <w:pStyle w:val="10"/>
        <w:spacing w:before="360" w:after="120" w:line="240" w:lineRule="auto"/>
        <w:ind w:firstLine="567"/>
        <w:rPr>
          <w:b/>
          <w:noProof/>
          <w:sz w:val="22"/>
        </w:rPr>
      </w:pPr>
      <w:r>
        <w:rPr>
          <w:b/>
          <w:noProof/>
          <w:sz w:val="22"/>
        </w:rPr>
        <w:lastRenderedPageBreak/>
        <w:t>Аналіз використання основних фондів</w:t>
      </w:r>
    </w:p>
    <w:p w:rsidR="00793AFF" w:rsidRDefault="00F6378A">
      <w:pPr>
        <w:pStyle w:val="10"/>
        <w:tabs>
          <w:tab w:val="num" w:pos="851"/>
        </w:tabs>
        <w:spacing w:line="240" w:lineRule="auto"/>
        <w:ind w:firstLine="567"/>
        <w:rPr>
          <w:sz w:val="22"/>
        </w:rPr>
      </w:pPr>
      <w:r>
        <w:rPr>
          <w:sz w:val="22"/>
        </w:rPr>
        <w:t>Усі показники використання основних фондів звичайно поділяються на дві групи показників: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екстенсивного використання;</w:t>
      </w:r>
    </w:p>
    <w:p w:rsidR="00793AFF" w:rsidRDefault="00F6378A">
      <w:pPr>
        <w:pStyle w:val="10"/>
        <w:numPr>
          <w:ilvl w:val="0"/>
          <w:numId w:val="5"/>
        </w:numPr>
        <w:tabs>
          <w:tab w:val="clear" w:pos="1040"/>
          <w:tab w:val="num" w:pos="851"/>
        </w:tabs>
        <w:spacing w:line="240" w:lineRule="auto"/>
        <w:ind w:left="0" w:firstLine="567"/>
        <w:rPr>
          <w:sz w:val="22"/>
        </w:rPr>
      </w:pPr>
      <w:r>
        <w:rPr>
          <w:sz w:val="22"/>
        </w:rPr>
        <w:t>інтенсивного використання.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Показники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екстенсивного</w:t>
      </w:r>
      <w:r>
        <w:rPr>
          <w:sz w:val="22"/>
        </w:rPr>
        <w:t xml:space="preserve"> використання характеризують роботу устаткування за часом або за кількістю (охопленням). Показники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інтенсивного</w:t>
      </w:r>
      <w:r>
        <w:rPr>
          <w:sz w:val="22"/>
        </w:rPr>
        <w:t xml:space="preserve"> використання пов’язані з його виробітком, тобто визначають рівень використання потужності. Останні показники обов’язково мають одиниці виміру (гривні, штуки, метри та ін.).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У процесі аналізу досліджуються склад і структура календарного фонду верстатного часу, співвідношення наявного, встановленого і діючого устаткування. Коефіцієнт змінності роботи устаткування дає змогу порівняти цей показник з плановим, вивчати його в динаміці та в порівнянні з іншими спорідненими підприємствами. За наявністю інформації аналізують також склад і використання виробничих та допоміжних площ.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Особливу увагу завжди звертають на розрахунки та аналіз показника фондовіддачі (фондомісткості продукції). Потрібно розібратися у тенденціях її зміни і вивчити фактори, які на неї впливають.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Після цього слід перейти до аналізу використання окремих типів устаткування і машин. Недоліки в їх використанні можуть бути пов’язані з: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наявністю диспропорцій у діючому парку верстатів;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змінами асортименту структури випуску продукції, а отже, і потреби у тих або інших видах устаткування;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noProof/>
          <w:sz w:val="22"/>
        </w:rPr>
        <w:t>3)</w:t>
      </w:r>
      <w:r>
        <w:rPr>
          <w:sz w:val="22"/>
        </w:rPr>
        <w:t xml:space="preserve"> рівнем забезпеченості матеріально-технічними ресурсами і кваліфікованою робочою силою;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noProof/>
          <w:sz w:val="22"/>
        </w:rPr>
        <w:t>4)</w:t>
      </w:r>
      <w:r>
        <w:rPr>
          <w:sz w:val="22"/>
        </w:rPr>
        <w:t xml:space="preserve"> технічним станом, якістю ремонтів і догляду за устаткуванням;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noProof/>
          <w:sz w:val="22"/>
        </w:rPr>
        <w:t>5)</w:t>
      </w:r>
      <w:r>
        <w:rPr>
          <w:sz w:val="22"/>
        </w:rPr>
        <w:t xml:space="preserve"> іншими причинами.</w:t>
      </w:r>
    </w:p>
    <w:p w:rsidR="00793AFF" w:rsidRDefault="00F6378A">
      <w:pPr>
        <w:pStyle w:val="10"/>
        <w:spacing w:before="60" w:after="60" w:line="240" w:lineRule="auto"/>
        <w:ind w:firstLine="0"/>
        <w:rPr>
          <w:b/>
          <w:iCs/>
          <w:sz w:val="22"/>
        </w:rPr>
      </w:pPr>
      <w:r>
        <w:rPr>
          <w:bCs/>
          <w:i/>
          <w:sz w:val="22"/>
        </w:rPr>
        <w:t xml:space="preserve"> </w:t>
      </w:r>
      <w:r>
        <w:rPr>
          <w:b/>
          <w:iCs/>
          <w:sz w:val="22"/>
        </w:rPr>
        <w:t>Дані для аналізу використання основних фондів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134"/>
        <w:gridCol w:w="1134"/>
      </w:tblGrid>
      <w:tr w:rsidR="00793AFF">
        <w:trPr>
          <w:trHeight w:hRule="exact" w:val="52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  <w:rPr>
                <w:sz w:val="12"/>
              </w:rPr>
            </w:pPr>
          </w:p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t>Показники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  <w:rPr>
                <w:sz w:val="12"/>
              </w:rPr>
            </w:pPr>
          </w:p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t>За планом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  <w:rPr>
                <w:sz w:val="12"/>
              </w:rPr>
            </w:pPr>
          </w:p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t>Фактично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t xml:space="preserve">Відхилення </w:t>
            </w:r>
            <w:r>
              <w:rPr>
                <w:noProof/>
              </w:rPr>
              <w:t>(+,–)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1.</w:t>
            </w:r>
            <w:r>
              <w:t xml:space="preserve"> Обсяг товарної продукції, тис.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+3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2.</w:t>
            </w:r>
            <w:r>
              <w:t xml:space="preserve"> Середньорічна вартість основних виробничих фондів, тис. грн.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660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969,3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+36,3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3.</w:t>
            </w:r>
            <w:r>
              <w:t xml:space="preserve"> Виробничі площі,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13 200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12 600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–600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4.</w:t>
            </w:r>
            <w:r>
              <w:t xml:space="preserve"> Кількість верстатів, шт.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75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80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+5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5.</w:t>
            </w:r>
            <w:r>
              <w:t xml:space="preserve"> Кількість годин, відпрацьованих усіма верстатами за рік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150 000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132 300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–17 700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6. З</w:t>
            </w:r>
            <w:r>
              <w:t xml:space="preserve"> них</w:t>
            </w:r>
            <w:r>
              <w:rPr>
                <w:lang w:val="ru-RU"/>
              </w:rPr>
              <w:t xml:space="preserve"> у першу</w:t>
            </w:r>
            <w:r>
              <w:t xml:space="preserve"> зміну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100 000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94 500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–5500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Розрахункові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793AFF">
            <w:pPr>
              <w:pStyle w:val="10"/>
              <w:spacing w:line="240" w:lineRule="auto"/>
              <w:ind w:firstLine="0"/>
              <w:jc w:val="center"/>
            </w:pP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7.</w:t>
            </w:r>
            <w:r>
              <w:t xml:space="preserve"> Фондовіддача (рядок</w:t>
            </w:r>
            <w:r>
              <w:rPr>
                <w:noProof/>
              </w:rPr>
              <w:t xml:space="preserve"> 1 </w:t>
            </w:r>
            <w:r>
              <w:rPr>
                <w:b/>
                <w:bCs/>
                <w:noProof/>
              </w:rPr>
              <w:t>:</w:t>
            </w:r>
            <w:r>
              <w:t xml:space="preserve"> рядок</w:t>
            </w:r>
            <w:r>
              <w:rPr>
                <w:noProof/>
              </w:rPr>
              <w:t xml:space="preserve"> 2)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–0,1</w:t>
            </w:r>
          </w:p>
        </w:tc>
      </w:tr>
      <w:tr w:rsidR="00793AFF">
        <w:trPr>
          <w:trHeight w:hRule="exact" w:val="511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8.</w:t>
            </w:r>
            <w:r>
              <w:t xml:space="preserve"> Кількість годин, відпрацьованих одним верстатом за рік (рядок</w:t>
            </w:r>
            <w:r>
              <w:rPr>
                <w:noProof/>
              </w:rPr>
              <w:t xml:space="preserve"> 5 </w:t>
            </w:r>
            <w:r>
              <w:rPr>
                <w:b/>
                <w:bCs/>
                <w:noProof/>
              </w:rPr>
              <w:t>:</w:t>
            </w:r>
            <w:r>
              <w:t xml:space="preserve"> рядок</w:t>
            </w:r>
            <w:r>
              <w:rPr>
                <w:noProof/>
              </w:rPr>
              <w:t xml:space="preserve"> 4)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2000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1653,75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–346,25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9.</w:t>
            </w:r>
            <w:r>
              <w:t xml:space="preserve"> Випуск продукції на одиницю площі, грн./м</w:t>
            </w:r>
            <w:r>
              <w:rPr>
                <w:vertAlign w:val="superscript"/>
              </w:rPr>
              <w:t>2</w:t>
            </w:r>
            <w:r>
              <w:t xml:space="preserve"> (рядок</w:t>
            </w:r>
            <w:r>
              <w:rPr>
                <w:noProof/>
              </w:rPr>
              <w:t xml:space="preserve"> 1 </w:t>
            </w:r>
            <w:r>
              <w:rPr>
                <w:b/>
                <w:bCs/>
                <w:noProof/>
              </w:rPr>
              <w:t>:</w:t>
            </w:r>
            <w:r>
              <w:t xml:space="preserve"> рядок</w:t>
            </w:r>
            <w:r>
              <w:rPr>
                <w:noProof/>
              </w:rPr>
              <w:t xml:space="preserve"> 3)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105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+5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10.</w:t>
            </w:r>
            <w:r>
              <w:t xml:space="preserve"> Середньорічний виробіток одного верстата, грн. (рядок</w:t>
            </w:r>
            <w:r>
              <w:rPr>
                <w:noProof/>
              </w:rPr>
              <w:t xml:space="preserve"> 1 </w:t>
            </w:r>
            <w:r>
              <w:rPr>
                <w:b/>
                <w:bCs/>
                <w:noProof/>
              </w:rPr>
              <w:t>:</w:t>
            </w:r>
            <w:r>
              <w:t xml:space="preserve"> рядок</w:t>
            </w:r>
            <w:r>
              <w:rPr>
                <w:noProof/>
              </w:rPr>
              <w:t xml:space="preserve"> 4)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17600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16537,5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–1062,5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11.</w:t>
            </w:r>
            <w:r>
              <w:t xml:space="preserve"> Середній виробіток за</w:t>
            </w:r>
            <w:r>
              <w:rPr>
                <w:noProof/>
              </w:rPr>
              <w:t xml:space="preserve"> 1</w:t>
            </w:r>
            <w:r>
              <w:t xml:space="preserve"> верстато-год, грн.(рядок</w:t>
            </w:r>
            <w:r>
              <w:rPr>
                <w:noProof/>
              </w:rPr>
              <w:t xml:space="preserve"> 1 </w:t>
            </w:r>
            <w:r>
              <w:rPr>
                <w:b/>
                <w:bCs/>
                <w:noProof/>
              </w:rPr>
              <w:t>:</w:t>
            </w:r>
            <w:r>
              <w:t xml:space="preserve"> рядок</w:t>
            </w:r>
            <w:r>
              <w:rPr>
                <w:noProof/>
              </w:rPr>
              <w:t xml:space="preserve"> 5)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8,8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+1,2</w:t>
            </w:r>
          </w:p>
        </w:tc>
      </w:tr>
      <w:tr w:rsidR="00793AFF">
        <w:trPr>
          <w:trHeight w:hRule="exact" w:val="284"/>
        </w:trPr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</w:pPr>
            <w:r>
              <w:rPr>
                <w:noProof/>
              </w:rPr>
              <w:t>12.</w:t>
            </w:r>
            <w:r>
              <w:t xml:space="preserve"> Коефіцієнт змінності (рядок</w:t>
            </w:r>
            <w:r>
              <w:rPr>
                <w:noProof/>
              </w:rPr>
              <w:t xml:space="preserve"> 5 </w:t>
            </w:r>
            <w:r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r>
              <w:t>рядок</w:t>
            </w:r>
            <w:r>
              <w:rPr>
                <w:noProof/>
              </w:rPr>
              <w:t xml:space="preserve"> 6)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1,5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1,4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FF" w:rsidRDefault="00F6378A">
            <w:pPr>
              <w:pStyle w:val="10"/>
              <w:spacing w:line="240" w:lineRule="auto"/>
              <w:ind w:firstLine="0"/>
              <w:jc w:val="center"/>
            </w:pPr>
            <w:r>
              <w:rPr>
                <w:noProof/>
              </w:rPr>
              <w:t>–0,1</w:t>
            </w:r>
          </w:p>
        </w:tc>
      </w:tr>
    </w:tbl>
    <w:p w:rsidR="00793AFF" w:rsidRDefault="00793AFF">
      <w:pPr>
        <w:pStyle w:val="10"/>
        <w:spacing w:line="240" w:lineRule="auto"/>
        <w:ind w:firstLine="0"/>
        <w:jc w:val="left"/>
        <w:rPr>
          <w:sz w:val="16"/>
        </w:rPr>
      </w:pPr>
    </w:p>
    <w:p w:rsidR="00793AFF" w:rsidRDefault="00F6378A">
      <w:pPr>
        <w:pStyle w:val="10"/>
        <w:spacing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Розрахунок впливу факторів на обсяг товарної продукції за даними, наведеними в табл. 7.2</w:t>
      </w:r>
    </w:p>
    <w:p w:rsidR="00793AFF" w:rsidRDefault="00F6378A">
      <w:pPr>
        <w:pStyle w:val="10"/>
        <w:spacing w:line="240" w:lineRule="auto"/>
        <w:ind w:firstLine="567"/>
        <w:rPr>
          <w:i/>
          <w:iCs/>
          <w:sz w:val="22"/>
        </w:rPr>
      </w:pPr>
      <w:r>
        <w:rPr>
          <w:sz w:val="22"/>
        </w:rPr>
        <w:t>І</w:t>
      </w:r>
      <w:r>
        <w:rPr>
          <w:i/>
          <w:iCs/>
          <w:sz w:val="22"/>
        </w:rPr>
        <w:t>. З використанням величини основних фондів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1) зміна величини виробничих основних фондів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36,3 • 2 = 72,6 тис.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2) зміна фондовіддачі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(–20,1) • 696,3 =–69,63 тис. грн.</w:t>
      </w:r>
    </w:p>
    <w:p w:rsidR="00793AFF" w:rsidRDefault="003F4445">
      <w:pPr>
        <w:pStyle w:val="10"/>
        <w:spacing w:before="120" w:after="120" w:line="240" w:lineRule="auto"/>
        <w:ind w:firstLine="567"/>
        <w:rPr>
          <w:sz w:val="22"/>
        </w:rPr>
      </w:pPr>
      <w:r>
        <w:rPr>
          <w:noProof/>
          <w:snapToGrid/>
          <w:lang w:val="ru-RU"/>
        </w:rPr>
        <w:pict>
          <v:line id="_x0000_s1175" style="position:absolute;left:0;text-align:left;z-index:251656192" from="28.5pt,3.7pt" to="482.9pt,3.7pt"/>
        </w:pict>
      </w:r>
      <w:r w:rsidR="00F6378A">
        <w:rPr>
          <w:spacing w:val="40"/>
          <w:sz w:val="22"/>
        </w:rPr>
        <w:t>Разом</w:t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  <w:t>+3,03 тис. грн.</w:t>
      </w:r>
    </w:p>
    <w:p w:rsidR="00793AFF" w:rsidRDefault="00F6378A">
      <w:pPr>
        <w:pStyle w:val="10"/>
        <w:spacing w:before="120" w:line="240" w:lineRule="auto"/>
        <w:ind w:firstLine="567"/>
        <w:rPr>
          <w:i/>
          <w:iCs/>
          <w:sz w:val="22"/>
        </w:rPr>
      </w:pPr>
      <w:r>
        <w:rPr>
          <w:sz w:val="22"/>
        </w:rPr>
        <w:t>II</w:t>
      </w:r>
      <w:r>
        <w:rPr>
          <w:i/>
          <w:iCs/>
          <w:sz w:val="22"/>
        </w:rPr>
        <w:t>. З використанням виробничих площ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1) зміна виробничих площ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(–600) • 100 = –60,0 тис.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2) зміна випуску продукції в розрахунку на одиницю площі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5 • 12 600 = 63,0 тис. грн.</w:t>
      </w:r>
    </w:p>
    <w:p w:rsidR="00793AFF" w:rsidRDefault="003F4445">
      <w:pPr>
        <w:pStyle w:val="10"/>
        <w:spacing w:before="120" w:after="120" w:line="240" w:lineRule="auto"/>
        <w:ind w:firstLine="567"/>
        <w:rPr>
          <w:sz w:val="22"/>
        </w:rPr>
      </w:pPr>
      <w:r>
        <w:rPr>
          <w:noProof/>
          <w:snapToGrid/>
          <w:spacing w:val="40"/>
          <w:lang w:val="ru-RU"/>
        </w:rPr>
        <w:pict>
          <v:line id="_x0000_s1176" style="position:absolute;left:0;text-align:left;z-index:251657216" from="28.5pt,3.2pt" to="475.8pt,3.2pt"/>
        </w:pict>
      </w:r>
      <w:r w:rsidR="00F6378A">
        <w:rPr>
          <w:noProof/>
          <w:snapToGrid/>
          <w:spacing w:val="40"/>
          <w:lang w:val="ru-RU"/>
        </w:rPr>
        <w:t>Разом</w:t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</w:r>
      <w:r w:rsidR="00F6378A">
        <w:rPr>
          <w:sz w:val="22"/>
        </w:rPr>
        <w:tab/>
        <w:t>3,0 тис. грн.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 xml:space="preserve">III. </w:t>
      </w:r>
      <w:r>
        <w:rPr>
          <w:i/>
          <w:iCs/>
          <w:sz w:val="22"/>
        </w:rPr>
        <w:t>З використанням кількості верстатів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1) зміна кількості верстатів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5 • 17,6 = 88 тис.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2) зміна середньорічного виробітку одного верстата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(–1062,5) • 80 = –85 тис. грн.</w:t>
      </w:r>
    </w:p>
    <w:p w:rsidR="00793AFF" w:rsidRDefault="003F4445">
      <w:pPr>
        <w:pStyle w:val="10"/>
        <w:spacing w:before="120" w:after="120" w:line="240" w:lineRule="auto"/>
        <w:ind w:firstLine="567"/>
        <w:rPr>
          <w:noProof/>
          <w:snapToGrid/>
          <w:spacing w:val="40"/>
        </w:rPr>
      </w:pPr>
      <w:r>
        <w:rPr>
          <w:noProof/>
          <w:snapToGrid/>
          <w:spacing w:val="40"/>
          <w:lang w:val="ru-RU"/>
        </w:rPr>
        <w:pict>
          <v:line id="_x0000_s1177" style="position:absolute;left:0;text-align:left;z-index:251658240" from="28.5pt,3.1pt" to="475.8pt,3.1pt"/>
        </w:pict>
      </w:r>
      <w:r w:rsidR="00F6378A">
        <w:rPr>
          <w:noProof/>
          <w:snapToGrid/>
          <w:spacing w:val="40"/>
        </w:rPr>
        <w:t>Разом</w:t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z w:val="22"/>
        </w:rPr>
        <w:t>3,0 тис.грн.</w:t>
      </w:r>
    </w:p>
    <w:p w:rsidR="00793AFF" w:rsidRDefault="00F6378A">
      <w:pPr>
        <w:pStyle w:val="10"/>
        <w:spacing w:line="240" w:lineRule="auto"/>
        <w:ind w:firstLine="567"/>
        <w:rPr>
          <w:i/>
          <w:iCs/>
          <w:sz w:val="22"/>
        </w:rPr>
      </w:pPr>
      <w:r>
        <w:rPr>
          <w:sz w:val="22"/>
        </w:rPr>
        <w:t xml:space="preserve">IV. </w:t>
      </w:r>
      <w:r>
        <w:rPr>
          <w:i/>
          <w:iCs/>
          <w:sz w:val="22"/>
        </w:rPr>
        <w:t>З використанням відпрацьованого часу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1) зміна кількості відпрацьованих годин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(–17 700) • 8,8 = –155,76 тис.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2) зміна виробітку за 1 верстато-годину: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1,2 • 13 200 = 158,76 тис. грн.</w:t>
      </w:r>
    </w:p>
    <w:p w:rsidR="00793AFF" w:rsidRDefault="003F4445">
      <w:pPr>
        <w:pStyle w:val="10"/>
        <w:spacing w:before="120" w:after="120" w:line="240" w:lineRule="auto"/>
        <w:ind w:firstLine="567"/>
        <w:rPr>
          <w:noProof/>
          <w:snapToGrid/>
          <w:spacing w:val="40"/>
        </w:rPr>
      </w:pPr>
      <w:r>
        <w:rPr>
          <w:noProof/>
          <w:snapToGrid/>
          <w:lang w:val="ru-RU"/>
        </w:rPr>
        <w:pict>
          <v:line id="_x0000_s1178" style="position:absolute;left:0;text-align:left;z-index:251659264" from="28.5pt,4.45pt" to="475.8pt,4.45pt"/>
        </w:pict>
      </w:r>
      <w:r w:rsidR="00F6378A">
        <w:rPr>
          <w:noProof/>
          <w:snapToGrid/>
          <w:spacing w:val="40"/>
        </w:rPr>
        <w:t>Разом</w:t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z w:val="22"/>
        </w:rPr>
        <w:t>3,0 тис.грн.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Те саме, але з трьома факторами можна подати так: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1) зміна кількості верстатів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5 • 2000 • 8,8 = 88 000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2) зміна кількості годин, відпрацьованих одним верстатом за рік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(–346,25) • 80 • 8,8 = –243 760 грн.;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3) зміна середнього виробітку за 1 верстато-годину</w:t>
      </w:r>
    </w:p>
    <w:p w:rsidR="00793AFF" w:rsidRDefault="00F6378A">
      <w:pPr>
        <w:pStyle w:val="10"/>
        <w:spacing w:line="240" w:lineRule="auto"/>
        <w:ind w:firstLine="0"/>
        <w:jc w:val="center"/>
        <w:rPr>
          <w:noProof/>
          <w:sz w:val="22"/>
        </w:rPr>
      </w:pPr>
      <w:r>
        <w:rPr>
          <w:noProof/>
          <w:sz w:val="22"/>
        </w:rPr>
        <w:t>1,2 • 1653,75 • 80 = 158 760 грн.</w:t>
      </w:r>
    </w:p>
    <w:p w:rsidR="00793AFF" w:rsidRDefault="003F4445">
      <w:pPr>
        <w:pStyle w:val="10"/>
        <w:spacing w:before="120" w:after="120" w:line="240" w:lineRule="auto"/>
        <w:ind w:firstLine="567"/>
        <w:rPr>
          <w:noProof/>
          <w:snapToGrid/>
          <w:spacing w:val="40"/>
        </w:rPr>
      </w:pPr>
      <w:r>
        <w:rPr>
          <w:noProof/>
          <w:snapToGrid/>
          <w:lang w:val="ru-RU"/>
        </w:rPr>
        <w:pict>
          <v:line id="_x0000_s1179" style="position:absolute;left:0;text-align:left;z-index:251660288" from="28.5pt,3.5pt" to="482.9pt,3.5pt"/>
        </w:pict>
      </w:r>
      <w:r w:rsidR="00F6378A">
        <w:rPr>
          <w:noProof/>
          <w:snapToGrid/>
          <w:spacing w:val="40"/>
        </w:rPr>
        <w:t>Разом</w:t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napToGrid/>
          <w:spacing w:val="40"/>
        </w:rPr>
        <w:tab/>
      </w:r>
      <w:r w:rsidR="00F6378A">
        <w:rPr>
          <w:noProof/>
          <w:sz w:val="22"/>
        </w:rPr>
        <w:t>+3000 грн.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b/>
          <w:bCs/>
          <w:i/>
          <w:iCs/>
          <w:sz w:val="22"/>
        </w:rPr>
        <w:t>Зведення резервів,</w:t>
      </w:r>
      <w:r>
        <w:rPr>
          <w:sz w:val="22"/>
        </w:rPr>
        <w:t xml:space="preserve"> тис. грн.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1. Підвищення фондовіддачі до планового рівня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69,63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2. Доведення виробничих площ до планового рівня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60,0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3. Підвищення середньорічного виробітку одного верстата до планового</w:t>
      </w:r>
      <w:r>
        <w:rPr>
          <w:sz w:val="22"/>
        </w:rPr>
        <w:tab/>
      </w:r>
      <w:r>
        <w:rPr>
          <w:sz w:val="22"/>
        </w:rPr>
        <w:tab/>
        <w:t>85,0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4. Більш повне використання часу роботи верстатів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155,76</w:t>
      </w:r>
    </w:p>
    <w:p w:rsidR="00793AFF" w:rsidRDefault="00F6378A">
      <w:pPr>
        <w:pStyle w:val="10"/>
        <w:spacing w:line="240" w:lineRule="auto"/>
        <w:ind w:firstLine="567"/>
        <w:rPr>
          <w:sz w:val="22"/>
        </w:rPr>
      </w:pPr>
      <w:r>
        <w:rPr>
          <w:sz w:val="22"/>
        </w:rPr>
        <w:t>5. Доведення часу роботи кожного верстата до запланованого рівня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243,76</w:t>
      </w:r>
    </w:p>
    <w:p w:rsidR="00793AFF" w:rsidRDefault="003F4445">
      <w:pPr>
        <w:pStyle w:val="10"/>
        <w:spacing w:before="120" w:after="120" w:line="240" w:lineRule="auto"/>
        <w:ind w:firstLine="567"/>
        <w:rPr>
          <w:noProof/>
          <w:snapToGrid/>
          <w:lang w:val="ru-RU"/>
        </w:rPr>
      </w:pPr>
      <w:r>
        <w:rPr>
          <w:noProof/>
          <w:snapToGrid/>
          <w:spacing w:val="40"/>
          <w:lang w:val="ru-RU"/>
        </w:rPr>
        <w:pict>
          <v:line id="_x0000_s1180" style="position:absolute;left:0;text-align:left;z-index:251661312" from="28.5pt,3.5pt" to="482.9pt,3.5pt"/>
        </w:pict>
      </w:r>
      <w:r w:rsidR="00F6378A">
        <w:rPr>
          <w:noProof/>
          <w:snapToGrid/>
          <w:spacing w:val="40"/>
          <w:lang w:val="ru-RU"/>
        </w:rPr>
        <w:t>Всього</w:t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</w:r>
      <w:r w:rsidR="00F6378A">
        <w:rPr>
          <w:noProof/>
          <w:snapToGrid/>
          <w:lang w:val="ru-RU"/>
        </w:rPr>
        <w:tab/>
        <w:t>243,76</w:t>
      </w:r>
    </w:p>
    <w:p w:rsidR="00793AFF" w:rsidRDefault="00F6378A">
      <w:pPr>
        <w:pStyle w:val="10"/>
        <w:spacing w:line="240" w:lineRule="auto"/>
        <w:ind w:firstLine="567"/>
      </w:pPr>
      <w:r>
        <w:rPr>
          <w:i/>
        </w:rPr>
        <w:t>Примітка.</w:t>
      </w:r>
      <w:r>
        <w:t xml:space="preserve"> Оскільки всі резерви, крім другого, дублюють один одного, то слід брати тільки найбільший. Зменшення обсягу продукції за рахунок площ (екстенсивний фактор) не може бути резервом у разі виконання плану виробництва.</w:t>
      </w:r>
    </w:p>
    <w:p w:rsidR="00793AFF" w:rsidRDefault="00793AFF">
      <w:pPr>
        <w:pStyle w:val="10"/>
        <w:spacing w:before="360" w:after="120" w:line="240" w:lineRule="auto"/>
        <w:ind w:firstLine="567"/>
        <w:rPr>
          <w:b/>
          <w:noProof/>
          <w:sz w:val="24"/>
        </w:rPr>
      </w:pPr>
      <w:bookmarkStart w:id="0" w:name="_GoBack"/>
      <w:bookmarkEnd w:id="0"/>
    </w:p>
    <w:sectPr w:rsidR="00793AFF">
      <w:footerReference w:type="even" r:id="rId7"/>
      <w:footerReference w:type="default" r:id="rId8"/>
      <w:pgSz w:w="11907" w:h="16840" w:code="9"/>
      <w:pgMar w:top="1134" w:right="851" w:bottom="1134" w:left="1418" w:header="284" w:footer="284" w:gutter="0"/>
      <w:paperSrc w:first="1072" w:other="1072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FF" w:rsidRDefault="00F6378A">
      <w:r>
        <w:separator/>
      </w:r>
    </w:p>
  </w:endnote>
  <w:endnote w:type="continuationSeparator" w:id="0">
    <w:p w:rsidR="00793AFF" w:rsidRDefault="00F6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AFF" w:rsidRDefault="00F6378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3AFF" w:rsidRDefault="00793AF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AFF" w:rsidRDefault="00F6378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4445">
      <w:rPr>
        <w:rStyle w:val="a4"/>
        <w:noProof/>
      </w:rPr>
      <w:t>1</w:t>
    </w:r>
    <w:r>
      <w:rPr>
        <w:rStyle w:val="a4"/>
      </w:rPr>
      <w:fldChar w:fldCharType="end"/>
    </w:r>
  </w:p>
  <w:p w:rsidR="00793AFF" w:rsidRDefault="00793AF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FF" w:rsidRDefault="00F6378A">
      <w:r>
        <w:separator/>
      </w:r>
    </w:p>
  </w:footnote>
  <w:footnote w:type="continuationSeparator" w:id="0">
    <w:p w:rsidR="00793AFF" w:rsidRDefault="00F6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074A"/>
    <w:multiLevelType w:val="hybridMultilevel"/>
    <w:tmpl w:val="F5DC988E"/>
    <w:lvl w:ilvl="0" w:tplc="148C9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3E23A5"/>
    <w:multiLevelType w:val="hybridMultilevel"/>
    <w:tmpl w:val="F5DC988E"/>
    <w:lvl w:ilvl="0" w:tplc="C9320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8A2BEE"/>
    <w:multiLevelType w:val="hybridMultilevel"/>
    <w:tmpl w:val="0678620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>
    <w:nsid w:val="7B390CFA"/>
    <w:multiLevelType w:val="hybridMultilevel"/>
    <w:tmpl w:val="F5DC988E"/>
    <w:lvl w:ilvl="0" w:tplc="C1567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234763"/>
    <w:multiLevelType w:val="hybridMultilevel"/>
    <w:tmpl w:val="ACACB4B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hideGrammaticalErrors/>
  <w:revisionView w:markup="0"/>
  <w:doNotTrackMoves/>
  <w:doNotTrackFormatting/>
  <w:defaultTabStop w:val="720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78A"/>
    <w:rsid w:val="003F4445"/>
    <w:rsid w:val="00793AFF"/>
    <w:rsid w:val="00F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061B8BEB-C580-4186-88EF-DAC83DA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80" w:lineRule="auto"/>
      <w:ind w:firstLine="260"/>
      <w:jc w:val="both"/>
    </w:pPr>
    <w:rPr>
      <w:snapToGrid w:val="0"/>
      <w:lang w:val="uk-UA"/>
    </w:rPr>
  </w:style>
  <w:style w:type="paragraph" w:customStyle="1" w:styleId="FR1">
    <w:name w:val="FR1"/>
    <w:pPr>
      <w:widowControl w:val="0"/>
    </w:pPr>
    <w:rPr>
      <w:snapToGrid w:val="0"/>
      <w:sz w:val="24"/>
      <w:lang w:val="en-US"/>
    </w:rPr>
  </w:style>
  <w:style w:type="paragraph" w:customStyle="1" w:styleId="FR2">
    <w:name w:val="FR2"/>
    <w:pPr>
      <w:widowControl w:val="0"/>
      <w:ind w:left="120"/>
      <w:jc w:val="both"/>
    </w:pPr>
    <w:rPr>
      <w:rFonts w:ascii="Arial" w:hAnsi="Arial"/>
      <w:snapToGrid w:val="0"/>
      <w:sz w:val="44"/>
      <w:lang w:val="en-US"/>
    </w:rPr>
  </w:style>
  <w:style w:type="paragraph" w:customStyle="1" w:styleId="FR3">
    <w:name w:val="FR3"/>
    <w:pPr>
      <w:widowControl w:val="0"/>
      <w:spacing w:line="300" w:lineRule="auto"/>
    </w:pPr>
    <w:rPr>
      <w:snapToGrid w:val="0"/>
      <w:sz w:val="28"/>
      <w:lang w:val="uk-UA"/>
    </w:rPr>
  </w:style>
  <w:style w:type="paragraph" w:customStyle="1" w:styleId="FR4">
    <w:name w:val="FR4"/>
    <w:pPr>
      <w:widowControl w:val="0"/>
      <w:spacing w:line="320" w:lineRule="auto"/>
      <w:ind w:left="560" w:hanging="260"/>
    </w:pPr>
    <w:rPr>
      <w:rFonts w:ascii="Arial" w:hAnsi="Arial"/>
      <w:i/>
      <w:snapToGrid w:val="0"/>
      <w:sz w:val="18"/>
      <w:lang w:val="uk-UA"/>
    </w:rPr>
  </w:style>
  <w:style w:type="paragraph" w:customStyle="1" w:styleId="FR5">
    <w:name w:val="FR5"/>
    <w:pPr>
      <w:widowControl w:val="0"/>
      <w:spacing w:line="300" w:lineRule="auto"/>
      <w:jc w:val="both"/>
    </w:pPr>
    <w:rPr>
      <w:rFonts w:ascii="Courier New" w:hAnsi="Courier New"/>
      <w:snapToGrid w:val="0"/>
      <w:sz w:val="16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10269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2014-08-15T05:45:00Z</dcterms:created>
  <dcterms:modified xsi:type="dcterms:W3CDTF">2014-08-15T05:45:00Z</dcterms:modified>
  <cp:category>Економіка. Банківська справа</cp:category>
</cp:coreProperties>
</file>