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F9" w:rsidRDefault="00EA39F9" w:rsidP="00164485">
      <w:pPr>
        <w:pStyle w:val="Style6"/>
        <w:widowControl/>
        <w:tabs>
          <w:tab w:val="left" w:pos="226"/>
        </w:tabs>
        <w:spacing w:before="82"/>
        <w:rPr>
          <w:rStyle w:val="FontStyle13"/>
          <w:b w:val="0"/>
          <w:sz w:val="28"/>
          <w:szCs w:val="28"/>
        </w:rPr>
      </w:pPr>
    </w:p>
    <w:p w:rsidR="00BE5CB6" w:rsidRPr="00D7307A" w:rsidRDefault="00BE5CB6" w:rsidP="00164485">
      <w:pPr>
        <w:pStyle w:val="Style6"/>
        <w:widowControl/>
        <w:tabs>
          <w:tab w:val="left" w:pos="226"/>
        </w:tabs>
        <w:spacing w:before="82"/>
        <w:rPr>
          <w:rStyle w:val="FontStyle11"/>
          <w:b w:val="0"/>
          <w:sz w:val="28"/>
          <w:szCs w:val="28"/>
        </w:rPr>
      </w:pPr>
      <w:r w:rsidRPr="00D7307A">
        <w:rPr>
          <w:rStyle w:val="FontStyle13"/>
          <w:b w:val="0"/>
          <w:sz w:val="28"/>
          <w:szCs w:val="28"/>
        </w:rPr>
        <w:t>Введение</w:t>
      </w:r>
    </w:p>
    <w:p w:rsidR="00BE5CB6" w:rsidRPr="00D7307A" w:rsidRDefault="00BE5CB6" w:rsidP="00872931">
      <w:pPr>
        <w:pStyle w:val="Style4"/>
        <w:widowControl/>
        <w:numPr>
          <w:ilvl w:val="0"/>
          <w:numId w:val="1"/>
        </w:numPr>
        <w:tabs>
          <w:tab w:val="left" w:pos="226"/>
        </w:tabs>
        <w:spacing w:before="168"/>
        <w:rPr>
          <w:rStyle w:val="FontStyle12"/>
          <w:sz w:val="28"/>
          <w:szCs w:val="28"/>
        </w:rPr>
      </w:pPr>
      <w:r w:rsidRPr="00D7307A">
        <w:rPr>
          <w:rStyle w:val="FontStyle13"/>
          <w:b w:val="0"/>
          <w:sz w:val="28"/>
          <w:szCs w:val="28"/>
        </w:rPr>
        <w:t xml:space="preserve">Содержание </w:t>
      </w:r>
      <w:r w:rsidRPr="00D7307A">
        <w:rPr>
          <w:rStyle w:val="FontStyle11"/>
          <w:b w:val="0"/>
          <w:sz w:val="28"/>
          <w:szCs w:val="28"/>
        </w:rPr>
        <w:t>радиоэлектронной промышленности</w:t>
      </w:r>
    </w:p>
    <w:p w:rsidR="00BE5CB6" w:rsidRPr="00D7307A" w:rsidRDefault="00BE5CB6">
      <w:pPr>
        <w:widowControl/>
        <w:rPr>
          <w:sz w:val="28"/>
          <w:szCs w:val="28"/>
        </w:rPr>
      </w:pPr>
    </w:p>
    <w:p w:rsidR="00BE5CB6" w:rsidRPr="00D7307A" w:rsidRDefault="00BE5CB6" w:rsidP="00872931">
      <w:pPr>
        <w:pStyle w:val="Style5"/>
        <w:widowControl/>
        <w:numPr>
          <w:ilvl w:val="0"/>
          <w:numId w:val="2"/>
        </w:numPr>
        <w:tabs>
          <w:tab w:val="left" w:pos="350"/>
        </w:tabs>
        <w:spacing w:before="178"/>
        <w:ind w:left="350"/>
        <w:rPr>
          <w:rStyle w:val="FontStyle12"/>
          <w:sz w:val="28"/>
          <w:szCs w:val="28"/>
        </w:rPr>
      </w:pPr>
      <w:r w:rsidRPr="00D7307A">
        <w:rPr>
          <w:rStyle w:val="FontStyle12"/>
          <w:sz w:val="28"/>
          <w:szCs w:val="28"/>
        </w:rPr>
        <w:t>Место радиоэлектронной промышленности ее продукции в Экономике страны, региона.</w:t>
      </w:r>
    </w:p>
    <w:p w:rsidR="00BE5CB6" w:rsidRPr="00D7307A" w:rsidRDefault="00BE5CB6" w:rsidP="00872931">
      <w:pPr>
        <w:pStyle w:val="Style5"/>
        <w:widowControl/>
        <w:numPr>
          <w:ilvl w:val="0"/>
          <w:numId w:val="2"/>
        </w:numPr>
        <w:tabs>
          <w:tab w:val="left" w:pos="350"/>
        </w:tabs>
        <w:ind w:left="350"/>
        <w:rPr>
          <w:rStyle w:val="FontStyle12"/>
          <w:sz w:val="28"/>
          <w:szCs w:val="28"/>
        </w:rPr>
      </w:pPr>
      <w:r w:rsidRPr="00D7307A">
        <w:rPr>
          <w:rStyle w:val="FontStyle12"/>
          <w:sz w:val="28"/>
          <w:szCs w:val="28"/>
        </w:rPr>
        <w:t>Объемы производства (млн. руб.) номенклатура - натуральные показатели, численность занятых.</w:t>
      </w:r>
    </w:p>
    <w:p w:rsidR="00BE5CB6" w:rsidRPr="00D7307A" w:rsidRDefault="00BE5CB6" w:rsidP="00872931">
      <w:pPr>
        <w:pStyle w:val="Style5"/>
        <w:widowControl/>
        <w:numPr>
          <w:ilvl w:val="0"/>
          <w:numId w:val="2"/>
        </w:numPr>
        <w:tabs>
          <w:tab w:val="left" w:pos="350"/>
        </w:tabs>
        <w:ind w:firstLine="0"/>
        <w:rPr>
          <w:rStyle w:val="FontStyle12"/>
          <w:sz w:val="28"/>
          <w:szCs w:val="28"/>
        </w:rPr>
      </w:pPr>
      <w:r w:rsidRPr="00D7307A">
        <w:rPr>
          <w:rStyle w:val="FontStyle12"/>
          <w:sz w:val="28"/>
          <w:szCs w:val="28"/>
        </w:rPr>
        <w:t>Структура предприятия:</w:t>
      </w:r>
    </w:p>
    <w:p w:rsidR="00BE5CB6" w:rsidRPr="00D7307A" w:rsidRDefault="00BE5CB6">
      <w:pPr>
        <w:widowControl/>
        <w:rPr>
          <w:sz w:val="28"/>
          <w:szCs w:val="28"/>
        </w:rPr>
      </w:pPr>
    </w:p>
    <w:p w:rsidR="00BE5CB6" w:rsidRPr="00D7307A" w:rsidRDefault="00BE5CB6" w:rsidP="00872931">
      <w:pPr>
        <w:pStyle w:val="Style3"/>
        <w:widowControl/>
        <w:numPr>
          <w:ilvl w:val="0"/>
          <w:numId w:val="3"/>
        </w:numPr>
        <w:tabs>
          <w:tab w:val="left" w:pos="730"/>
        </w:tabs>
        <w:spacing w:line="322" w:lineRule="exact"/>
        <w:ind w:left="365"/>
        <w:rPr>
          <w:rStyle w:val="FontStyle12"/>
          <w:sz w:val="28"/>
          <w:szCs w:val="28"/>
        </w:rPr>
      </w:pPr>
      <w:r w:rsidRPr="00D7307A">
        <w:rPr>
          <w:rStyle w:val="FontStyle12"/>
          <w:sz w:val="28"/>
          <w:szCs w:val="28"/>
        </w:rPr>
        <w:t>- Крупные (%)</w:t>
      </w:r>
    </w:p>
    <w:p w:rsidR="00BE5CB6" w:rsidRPr="00D7307A" w:rsidRDefault="00BE5CB6" w:rsidP="00872931">
      <w:pPr>
        <w:pStyle w:val="Style3"/>
        <w:widowControl/>
        <w:numPr>
          <w:ilvl w:val="0"/>
          <w:numId w:val="3"/>
        </w:numPr>
        <w:tabs>
          <w:tab w:val="left" w:pos="730"/>
        </w:tabs>
        <w:spacing w:line="322" w:lineRule="exact"/>
        <w:ind w:left="365"/>
        <w:rPr>
          <w:rStyle w:val="FontStyle12"/>
          <w:sz w:val="28"/>
          <w:szCs w:val="28"/>
        </w:rPr>
      </w:pPr>
      <w:r w:rsidRPr="00D7307A">
        <w:rPr>
          <w:rStyle w:val="FontStyle12"/>
          <w:sz w:val="28"/>
          <w:szCs w:val="28"/>
        </w:rPr>
        <w:t>- Средние (%)</w:t>
      </w:r>
    </w:p>
    <w:p w:rsidR="00BE5CB6" w:rsidRPr="00D7307A" w:rsidRDefault="00BE5CB6" w:rsidP="00872931">
      <w:pPr>
        <w:pStyle w:val="Style3"/>
        <w:widowControl/>
        <w:numPr>
          <w:ilvl w:val="0"/>
          <w:numId w:val="3"/>
        </w:numPr>
        <w:tabs>
          <w:tab w:val="left" w:pos="730"/>
        </w:tabs>
        <w:spacing w:line="322" w:lineRule="exact"/>
        <w:ind w:left="365"/>
        <w:rPr>
          <w:rStyle w:val="FontStyle12"/>
          <w:sz w:val="28"/>
          <w:szCs w:val="28"/>
        </w:rPr>
      </w:pPr>
      <w:r w:rsidRPr="00D7307A">
        <w:rPr>
          <w:rStyle w:val="FontStyle12"/>
          <w:sz w:val="28"/>
          <w:szCs w:val="28"/>
        </w:rPr>
        <w:t>- Мелкие (%)</w:t>
      </w:r>
    </w:p>
    <w:p w:rsidR="00BE5CB6" w:rsidRPr="00D7307A" w:rsidRDefault="00BE5CB6" w:rsidP="00872931">
      <w:pPr>
        <w:pStyle w:val="Style7"/>
        <w:widowControl/>
        <w:numPr>
          <w:ilvl w:val="0"/>
          <w:numId w:val="4"/>
        </w:numPr>
        <w:tabs>
          <w:tab w:val="left" w:pos="350"/>
        </w:tabs>
        <w:spacing w:line="480" w:lineRule="exact"/>
        <w:ind w:left="350"/>
        <w:rPr>
          <w:rStyle w:val="FontStyle12"/>
          <w:sz w:val="28"/>
          <w:szCs w:val="28"/>
        </w:rPr>
      </w:pPr>
      <w:r w:rsidRPr="00D7307A">
        <w:rPr>
          <w:rStyle w:val="FontStyle12"/>
          <w:sz w:val="28"/>
          <w:szCs w:val="28"/>
        </w:rPr>
        <w:t>Монополизации,     цены,     издержки,     конкуренция, конкурентно способность, объемы реализации.</w:t>
      </w:r>
    </w:p>
    <w:p w:rsidR="00BE5CB6" w:rsidRPr="00D7307A" w:rsidRDefault="00BE5CB6" w:rsidP="00872931">
      <w:pPr>
        <w:pStyle w:val="Style5"/>
        <w:widowControl/>
        <w:numPr>
          <w:ilvl w:val="0"/>
          <w:numId w:val="4"/>
        </w:numPr>
        <w:tabs>
          <w:tab w:val="left" w:pos="350"/>
        </w:tabs>
        <w:spacing w:line="480" w:lineRule="exact"/>
        <w:ind w:firstLine="0"/>
        <w:rPr>
          <w:rStyle w:val="FontStyle12"/>
          <w:sz w:val="28"/>
          <w:szCs w:val="28"/>
        </w:rPr>
      </w:pPr>
      <w:r w:rsidRPr="00D7307A">
        <w:rPr>
          <w:rStyle w:val="FontStyle12"/>
          <w:sz w:val="28"/>
          <w:szCs w:val="28"/>
        </w:rPr>
        <w:t>Главные субъекты радиоэлектронной промышленности и их перспективы</w:t>
      </w:r>
    </w:p>
    <w:p w:rsidR="00BE5CB6" w:rsidRPr="00D7307A" w:rsidRDefault="00BE5CB6" w:rsidP="00872931">
      <w:pPr>
        <w:pStyle w:val="Style5"/>
        <w:widowControl/>
        <w:numPr>
          <w:ilvl w:val="0"/>
          <w:numId w:val="4"/>
        </w:numPr>
        <w:tabs>
          <w:tab w:val="left" w:pos="350"/>
        </w:tabs>
        <w:spacing w:line="480" w:lineRule="exact"/>
        <w:ind w:firstLine="0"/>
        <w:rPr>
          <w:rStyle w:val="FontStyle12"/>
          <w:sz w:val="28"/>
          <w:szCs w:val="28"/>
        </w:rPr>
      </w:pPr>
      <w:r w:rsidRPr="00D7307A">
        <w:rPr>
          <w:rStyle w:val="FontStyle12"/>
          <w:sz w:val="28"/>
          <w:szCs w:val="28"/>
        </w:rPr>
        <w:t>Жизненный цикл отросли</w:t>
      </w:r>
    </w:p>
    <w:p w:rsidR="00BE5CB6" w:rsidRPr="00D7307A" w:rsidRDefault="00BE5CB6" w:rsidP="00872931">
      <w:pPr>
        <w:pStyle w:val="Style5"/>
        <w:widowControl/>
        <w:numPr>
          <w:ilvl w:val="0"/>
          <w:numId w:val="4"/>
        </w:numPr>
        <w:tabs>
          <w:tab w:val="left" w:pos="350"/>
        </w:tabs>
        <w:spacing w:before="10" w:line="480" w:lineRule="exact"/>
        <w:ind w:firstLine="0"/>
        <w:rPr>
          <w:rStyle w:val="FontStyle12"/>
          <w:sz w:val="28"/>
          <w:szCs w:val="28"/>
        </w:rPr>
      </w:pPr>
      <w:r w:rsidRPr="00D7307A">
        <w:rPr>
          <w:rStyle w:val="FontStyle12"/>
          <w:sz w:val="28"/>
          <w:szCs w:val="28"/>
        </w:rPr>
        <w:t>Кадровое обеспечение, развитие на будущее.</w:t>
      </w:r>
    </w:p>
    <w:p w:rsidR="00BE5CB6" w:rsidRPr="00D7307A" w:rsidRDefault="00BE5CB6" w:rsidP="00872931">
      <w:pPr>
        <w:pStyle w:val="Style5"/>
        <w:widowControl/>
        <w:numPr>
          <w:ilvl w:val="0"/>
          <w:numId w:val="4"/>
        </w:numPr>
        <w:tabs>
          <w:tab w:val="left" w:pos="350"/>
        </w:tabs>
        <w:spacing w:line="480" w:lineRule="exact"/>
        <w:ind w:firstLine="0"/>
        <w:rPr>
          <w:rStyle w:val="FontStyle12"/>
          <w:sz w:val="28"/>
          <w:szCs w:val="28"/>
        </w:rPr>
      </w:pPr>
      <w:r w:rsidRPr="00D7307A">
        <w:rPr>
          <w:rStyle w:val="FontStyle12"/>
          <w:sz w:val="28"/>
          <w:szCs w:val="28"/>
        </w:rPr>
        <w:t>Маркетинг, логистика, брэндинг радиоэлектронной промышленности</w:t>
      </w:r>
    </w:p>
    <w:p w:rsidR="00BE5CB6" w:rsidRPr="00D7307A" w:rsidRDefault="00BE5CB6" w:rsidP="00872931">
      <w:pPr>
        <w:pStyle w:val="Style5"/>
        <w:widowControl/>
        <w:numPr>
          <w:ilvl w:val="0"/>
          <w:numId w:val="4"/>
        </w:numPr>
        <w:tabs>
          <w:tab w:val="left" w:pos="350"/>
        </w:tabs>
        <w:spacing w:line="480" w:lineRule="exact"/>
        <w:ind w:firstLine="0"/>
        <w:rPr>
          <w:rStyle w:val="FontStyle12"/>
          <w:sz w:val="28"/>
          <w:szCs w:val="28"/>
        </w:rPr>
      </w:pPr>
      <w:r w:rsidRPr="00D7307A">
        <w:rPr>
          <w:rStyle w:val="FontStyle12"/>
          <w:sz w:val="28"/>
          <w:szCs w:val="28"/>
        </w:rPr>
        <w:t>Варианты инвестиций в отрасль, в ее сырьевые ресурсы, науку</w:t>
      </w:r>
    </w:p>
    <w:p w:rsidR="00BE5CB6" w:rsidRPr="00D7307A" w:rsidRDefault="00BE5CB6">
      <w:pPr>
        <w:pStyle w:val="Style5"/>
        <w:widowControl/>
        <w:tabs>
          <w:tab w:val="left" w:pos="682"/>
        </w:tabs>
        <w:spacing w:before="5" w:line="480" w:lineRule="exact"/>
        <w:ind w:firstLine="0"/>
        <w:rPr>
          <w:rStyle w:val="FontStyle12"/>
          <w:sz w:val="28"/>
          <w:szCs w:val="28"/>
        </w:rPr>
      </w:pPr>
      <w:r w:rsidRPr="00D7307A">
        <w:rPr>
          <w:rStyle w:val="FontStyle12"/>
          <w:sz w:val="28"/>
          <w:szCs w:val="28"/>
        </w:rPr>
        <w:t>10)</w:t>
      </w:r>
      <w:r w:rsidRPr="00D7307A">
        <w:rPr>
          <w:rStyle w:val="FontStyle12"/>
          <w:sz w:val="28"/>
          <w:szCs w:val="28"/>
        </w:rPr>
        <w:tab/>
        <w:t>Государственное регулирование и стимулирование.</w:t>
      </w:r>
    </w:p>
    <w:p w:rsidR="00BE5CB6" w:rsidRPr="00D7307A" w:rsidRDefault="00BE5CB6" w:rsidP="00872931">
      <w:pPr>
        <w:pStyle w:val="Style6"/>
        <w:widowControl/>
        <w:numPr>
          <w:ilvl w:val="0"/>
          <w:numId w:val="5"/>
        </w:numPr>
        <w:tabs>
          <w:tab w:val="left" w:pos="226"/>
        </w:tabs>
        <w:spacing w:before="10" w:line="480" w:lineRule="exact"/>
        <w:rPr>
          <w:rStyle w:val="FontStyle12"/>
          <w:sz w:val="28"/>
          <w:szCs w:val="28"/>
        </w:rPr>
      </w:pPr>
      <w:r w:rsidRPr="00D7307A">
        <w:rPr>
          <w:rStyle w:val="FontStyle13"/>
          <w:b w:val="0"/>
          <w:sz w:val="28"/>
          <w:szCs w:val="28"/>
        </w:rPr>
        <w:t>3аключение</w:t>
      </w:r>
    </w:p>
    <w:p w:rsidR="00BE5CB6" w:rsidRPr="00D7307A" w:rsidRDefault="00BE5CB6" w:rsidP="00872931">
      <w:pPr>
        <w:pStyle w:val="Style6"/>
        <w:widowControl/>
        <w:numPr>
          <w:ilvl w:val="0"/>
          <w:numId w:val="5"/>
        </w:numPr>
        <w:tabs>
          <w:tab w:val="left" w:pos="226"/>
        </w:tabs>
        <w:spacing w:line="480" w:lineRule="exact"/>
        <w:rPr>
          <w:rStyle w:val="FontStyle13"/>
          <w:b w:val="0"/>
          <w:bCs w:val="0"/>
          <w:sz w:val="28"/>
          <w:szCs w:val="28"/>
        </w:rPr>
      </w:pPr>
      <w:r w:rsidRPr="00D7307A">
        <w:rPr>
          <w:rStyle w:val="FontStyle13"/>
          <w:b w:val="0"/>
          <w:sz w:val="28"/>
          <w:szCs w:val="28"/>
        </w:rPr>
        <w:t>Список использованной литературы и источников</w:t>
      </w:r>
    </w:p>
    <w:p w:rsidR="00102B76" w:rsidRPr="00D7307A" w:rsidRDefault="00102B76" w:rsidP="00102B76">
      <w:pPr>
        <w:pStyle w:val="Style6"/>
        <w:widowControl/>
        <w:tabs>
          <w:tab w:val="left" w:pos="226"/>
        </w:tabs>
        <w:spacing w:line="480" w:lineRule="exact"/>
        <w:rPr>
          <w:rStyle w:val="FontStyle13"/>
          <w:b w:val="0"/>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102B76" w:rsidP="00102B76">
      <w:pPr>
        <w:pStyle w:val="Style6"/>
        <w:widowControl/>
        <w:tabs>
          <w:tab w:val="left" w:pos="226"/>
        </w:tabs>
        <w:spacing w:line="480" w:lineRule="exact"/>
        <w:rPr>
          <w:rStyle w:val="FontStyle12"/>
          <w:sz w:val="28"/>
          <w:szCs w:val="28"/>
        </w:rPr>
      </w:pPr>
    </w:p>
    <w:p w:rsidR="00102B76" w:rsidRPr="00D7307A" w:rsidRDefault="008F046C" w:rsidP="00102B76">
      <w:pPr>
        <w:pStyle w:val="Style1"/>
        <w:widowControl/>
        <w:spacing w:before="82"/>
        <w:jc w:val="both"/>
        <w:rPr>
          <w:rStyle w:val="FontStyle11"/>
          <w:b w:val="0"/>
          <w:sz w:val="28"/>
          <w:szCs w:val="28"/>
          <w:u w:val="single"/>
        </w:rPr>
      </w:pPr>
      <w:r w:rsidRPr="00D7307A">
        <w:rPr>
          <w:rStyle w:val="FontStyle11"/>
          <w:b w:val="0"/>
          <w:sz w:val="28"/>
          <w:szCs w:val="28"/>
          <w:u w:val="single"/>
        </w:rPr>
        <w:t>1)</w:t>
      </w:r>
      <w:r w:rsidR="00102B76" w:rsidRPr="00D7307A">
        <w:rPr>
          <w:rStyle w:val="FontStyle11"/>
          <w:b w:val="0"/>
          <w:sz w:val="28"/>
          <w:szCs w:val="28"/>
          <w:u w:val="single"/>
        </w:rPr>
        <w:t>Введение.</w:t>
      </w:r>
    </w:p>
    <w:p w:rsidR="00102B76" w:rsidRPr="00D7307A" w:rsidRDefault="00102B76" w:rsidP="00102B76">
      <w:pPr>
        <w:pStyle w:val="Style2"/>
        <w:widowControl/>
        <w:spacing w:before="173"/>
        <w:rPr>
          <w:rStyle w:val="FontStyle12"/>
          <w:sz w:val="28"/>
          <w:szCs w:val="28"/>
        </w:rPr>
      </w:pPr>
      <w:r w:rsidRPr="00D7307A">
        <w:rPr>
          <w:rStyle w:val="FontStyle12"/>
          <w:sz w:val="28"/>
          <w:szCs w:val="28"/>
        </w:rPr>
        <w:t>Электронная промышленность - одна из важнейших для любого государства, поскольку она обеспечивает электронной компонентной базой (ЭКБ) практически все остальные отрасли экономики. В 2002 году Президент РФ своим Указом утвердил "Основы политики Российской Федерации в области развития электронной компонентной базы в период до 2010 года и дальнейшую перспективу". В этом документе сформулирована основная цель политики РФ в области развития электронной промышленности на среднесрочный период -достижение технологической независимости от иностранных государств в разработке, производстве и применении ЭКБ, используемой в радиоэлектронных системах стратегического значения. Этот документ заложил идеологию развития и реформирования отрасли. Отметим, что критическая ситуация в области электроники сформировалась еще во времена СССР. Но если в 80-90х годах прошлого столетия технологическое отставание в микроэлектронике составляло одно поколение (в среднем - пять лет), то за первую половину 90-х мы отстали на несколько поколений (до 15 лет). В результате началось тотальное внедрение зарубежной ЭКБ во все сферы промышленности, как военные, так и гражданские.</w:t>
      </w:r>
    </w:p>
    <w:p w:rsidR="00102B76" w:rsidRPr="00D7307A" w:rsidRDefault="00102B76" w:rsidP="00102B76">
      <w:pPr>
        <w:pStyle w:val="Style2"/>
        <w:widowControl/>
        <w:rPr>
          <w:rStyle w:val="FontStyle12"/>
          <w:sz w:val="28"/>
          <w:szCs w:val="28"/>
        </w:rPr>
      </w:pPr>
      <w:r w:rsidRPr="00D7307A">
        <w:rPr>
          <w:rStyle w:val="FontStyle12"/>
          <w:sz w:val="28"/>
          <w:szCs w:val="28"/>
        </w:rPr>
        <w:t>Еще в 1990 году средства вооружений, военная и специальная техника (ВВСТ), равно как и гражданская продукция, были на 100% укомплектованы отечественной ЭКБ. Объем серийных поставок всей номенклатуры ЭКБ (свыше 20 тыс. наименований) составлял порядка 104 млрд. руб. в сопоставимых ценах. Наибольших объемов ЭКБ в военной области требовали авионика, средства ПВО и связи, в гражданской области - телевизоры и радиоприемники. Сегодня при производстве военной и специальной продукции используется 65% импортной ЭКБ. С изделиями микроэлектроники для ВВСТ ситуация еще хуже - импортные микросхемы составляют 90%. Элементная база отечественного производства значительно устарела и технически отстала от мирового уровня. Только 3% ЭКБ, применяемой в ВВСТ, разработано после 1990 года. В основном же в спецтехнике используются электронные компоненты 80-х и даже 70-х годов. Общий уровень закупок ЭКБ в 2005 году упал до 35,1 млрд. руб. причем производство изделий отечественной микроэлектроники оценивается лишь в 1,2 млрд. руб.</w:t>
      </w:r>
    </w:p>
    <w:p w:rsidR="00102B76" w:rsidRPr="00D7307A" w:rsidRDefault="00102B76"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02B76">
      <w:pPr>
        <w:pStyle w:val="Style6"/>
        <w:widowControl/>
        <w:tabs>
          <w:tab w:val="left" w:pos="226"/>
        </w:tabs>
        <w:spacing w:line="480" w:lineRule="exact"/>
        <w:rPr>
          <w:rStyle w:val="FontStyle12"/>
          <w:sz w:val="28"/>
          <w:szCs w:val="28"/>
        </w:rPr>
      </w:pPr>
    </w:p>
    <w:p w:rsidR="00164485" w:rsidRPr="00D7307A" w:rsidRDefault="00164485" w:rsidP="00164485">
      <w:pPr>
        <w:pStyle w:val="Style1"/>
        <w:widowControl/>
        <w:rPr>
          <w:rStyle w:val="FontStyle12"/>
          <w:sz w:val="28"/>
          <w:szCs w:val="28"/>
          <w:u w:val="single"/>
        </w:rPr>
      </w:pPr>
      <w:r w:rsidRPr="00D7307A">
        <w:rPr>
          <w:rStyle w:val="FontStyle12"/>
          <w:sz w:val="28"/>
          <w:szCs w:val="28"/>
          <w:u w:val="single"/>
        </w:rPr>
        <w:t xml:space="preserve">2.1 Место </w:t>
      </w:r>
      <w:r w:rsidRPr="00D7307A">
        <w:rPr>
          <w:rStyle w:val="FontStyle11"/>
          <w:b w:val="0"/>
          <w:sz w:val="28"/>
          <w:szCs w:val="28"/>
          <w:u w:val="single"/>
        </w:rPr>
        <w:t xml:space="preserve">радиоэлектронной промышленности </w:t>
      </w:r>
      <w:r w:rsidRPr="00D7307A">
        <w:rPr>
          <w:rStyle w:val="FontStyle12"/>
          <w:sz w:val="28"/>
          <w:szCs w:val="28"/>
          <w:u w:val="single"/>
        </w:rPr>
        <w:t>ее продукции в Экономике страны, региона.</w:t>
      </w:r>
    </w:p>
    <w:p w:rsidR="00164485" w:rsidRPr="00D7307A" w:rsidRDefault="00164485" w:rsidP="00164485">
      <w:pPr>
        <w:pStyle w:val="Style2"/>
        <w:widowControl/>
        <w:rPr>
          <w:rStyle w:val="FontStyle13"/>
          <w:b w:val="0"/>
          <w:sz w:val="28"/>
          <w:szCs w:val="28"/>
        </w:rPr>
      </w:pPr>
      <w:r w:rsidRPr="00D7307A">
        <w:rPr>
          <w:rStyle w:val="FontStyle13"/>
          <w:b w:val="0"/>
          <w:sz w:val="28"/>
          <w:szCs w:val="28"/>
        </w:rPr>
        <w:t>Основные микроэлектронные производства (более 80% объемов выпуска) сосредоточены в Зеленограде, а производство СВЧ-техники - во Фрязино и Москве. Поэтому инвестиции должны быть направлены в ключевые предприятия отрасли.</w:t>
      </w:r>
    </w:p>
    <w:p w:rsidR="00164485" w:rsidRPr="00D7307A" w:rsidRDefault="00164485" w:rsidP="00164485">
      <w:pPr>
        <w:pStyle w:val="Style2"/>
        <w:widowControl/>
        <w:rPr>
          <w:rStyle w:val="FontStyle13"/>
          <w:b w:val="0"/>
          <w:sz w:val="28"/>
          <w:szCs w:val="28"/>
        </w:rPr>
      </w:pPr>
      <w:r w:rsidRPr="00D7307A">
        <w:rPr>
          <w:rStyle w:val="FontStyle13"/>
          <w:b w:val="0"/>
          <w:sz w:val="28"/>
          <w:szCs w:val="28"/>
        </w:rPr>
        <w:t>В стране сохранились два мощных государственных центра по производству СВЧ-компонентов, в том числе твердотельных: ФГУП "Исток" и ФГУП "Пульсар". Причем иных источников этих важнейших для обороноспособности приборов нет - современные СВЧ-компоненты никто не продает. Эти предприятия потенциально способны обеспечить основные потребности (более 80%) заказчиков в данном сегменте рынка ЭКБ. Поэтому именно им и планируется направить государственные инвестиции для модернизации производства. Не менее важно для страны и направление радиационно стойкой ЭКБ. Развивать его возможно только при государственном содействии. В этой сфере важно скоординировать работу трех федеральных агентств: Росатома, Роскосмоса и Роспрома, чтобы предотвратить дублирование работ и их перекрестное субсидирование. Это позволит консолидировать средства для создания к 20</w:t>
      </w:r>
      <w:r w:rsidRPr="00D7307A">
        <w:rPr>
          <w:rStyle w:val="FontStyle11"/>
          <w:b w:val="0"/>
          <w:sz w:val="28"/>
          <w:szCs w:val="28"/>
        </w:rPr>
        <w:t xml:space="preserve">11 </w:t>
      </w:r>
      <w:r w:rsidRPr="00D7307A">
        <w:rPr>
          <w:rStyle w:val="FontStyle13"/>
          <w:b w:val="0"/>
          <w:sz w:val="28"/>
          <w:szCs w:val="28"/>
        </w:rPr>
        <w:t>году полностью отечественной компонентной базы требуемого уровня радиационной стойкости.</w:t>
      </w:r>
    </w:p>
    <w:p w:rsidR="00164485" w:rsidRPr="00D7307A" w:rsidRDefault="00164485"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8F046C">
      <w:pPr>
        <w:pStyle w:val="Style1"/>
        <w:widowControl/>
        <w:rPr>
          <w:rStyle w:val="FontStyle11"/>
          <w:b w:val="0"/>
          <w:sz w:val="28"/>
          <w:szCs w:val="28"/>
          <w:u w:val="single"/>
        </w:rPr>
      </w:pPr>
      <w:r w:rsidRPr="00D7307A">
        <w:rPr>
          <w:rStyle w:val="FontStyle11"/>
          <w:b w:val="0"/>
          <w:sz w:val="28"/>
          <w:szCs w:val="28"/>
          <w:u w:val="single"/>
        </w:rPr>
        <w:t>2.2Объемы производства (млн. руб.) номенклатура</w:t>
      </w:r>
      <w:r w:rsidRPr="00D7307A">
        <w:rPr>
          <w:rStyle w:val="FontStyle11"/>
          <w:b w:val="0"/>
          <w:sz w:val="28"/>
          <w:szCs w:val="28"/>
        </w:rPr>
        <w:t xml:space="preserve"> - </w:t>
      </w:r>
      <w:r w:rsidRPr="00D7307A">
        <w:rPr>
          <w:rStyle w:val="FontStyle11"/>
          <w:b w:val="0"/>
          <w:sz w:val="28"/>
          <w:szCs w:val="28"/>
          <w:u w:val="single"/>
        </w:rPr>
        <w:t>натуральные показатели, численность занятых</w:t>
      </w:r>
    </w:p>
    <w:p w:rsidR="008F046C" w:rsidRPr="00D7307A" w:rsidRDefault="008F046C" w:rsidP="008F046C">
      <w:pPr>
        <w:pStyle w:val="Style2"/>
        <w:widowControl/>
        <w:rPr>
          <w:rStyle w:val="FontStyle12"/>
          <w:sz w:val="28"/>
          <w:szCs w:val="28"/>
        </w:rPr>
      </w:pPr>
      <w:r w:rsidRPr="00D7307A">
        <w:rPr>
          <w:rStyle w:val="FontStyle12"/>
          <w:sz w:val="28"/>
          <w:szCs w:val="28"/>
        </w:rPr>
        <w:t>Производство микроэлектроники требует очень больших начальных капиталовложений - стоимость современной микроэлектронной фабрики превышает 2 млрд. долларов, срок окупаемости - примерно три года. Однако из государственного бюджета в 2007-2011 годах планируется направить на реализацию Стратегии около 23 млрд. руб. Из них на НИОКР по приоритетным направлениям -15,9 млрд. руб. По статье "капитальное строительство" выделяется 7,3 млрд. руб.: 4,3 млрд. руб. - на реконструкцию и техническое перевооружение основных производств и 3 млрд. руб. - на создание сети новых дизайн-центров на ведущих предприятиях ОПК. Последние позволят качественно изменить ситуацию в проектировании радиоэлектроники и реально упростить проблему импортозамещения.</w:t>
      </w:r>
    </w:p>
    <w:p w:rsidR="008F046C" w:rsidRPr="00D7307A" w:rsidRDefault="008F046C" w:rsidP="008F046C">
      <w:pPr>
        <w:pStyle w:val="Style2"/>
        <w:widowControl/>
        <w:rPr>
          <w:rStyle w:val="FontStyle12"/>
          <w:sz w:val="28"/>
          <w:szCs w:val="28"/>
        </w:rPr>
      </w:pPr>
      <w:r w:rsidRPr="00D7307A">
        <w:rPr>
          <w:rStyle w:val="FontStyle12"/>
          <w:sz w:val="28"/>
          <w:szCs w:val="28"/>
        </w:rPr>
        <w:t>Очевидно, что объем предполагаемого государственного финансирования электронной промышленности минимален. Для сравнения, в проектах создания двух полупроводниковых производств в Германии и Сингапуре доля государственного участия составляет 62% и 30%, соответственно. Чтобы снизить нагрузку на федеральный бюджет, целесообразно модернизировать уже имеющиеся чистые помещения микроэлектронных производств, без нового строительства. Также необходимо более эффективно использовать принцип государственно-частного партнерства. Здесь должны работать косвенные инструменты стимулирования предприятий, прежде всего -частного сектора. Стратегия предусматривает инвестиции внебюджетных средств в размере 15,26 млрд. руб., в основном привлеченных организациями электронной промышленности. Дополнительно к этому свыше 20 млрд. руб. составят вложения частного капитала в модернизацию микроэлектронного производства на заводах "Микрон" и "Ангстрем" (проект "Ангстрем-Т"). Акционерным обществам без государственного контрольного пакета акций (например, микроэлектронным предприятиям Зеленограда) нужно создавать необходимые условия для достижения бизнес-целей. Это кредитные гарантии со стороны государства, формирование государственного заказа на отечественную ЭКБ, совершенствование нормативно-правовой базы. Такие шаги повышают инвестиционную привлекательность отрасли, обеспечивают приток капитала и снижают нагрузку на бюджет. Мировая практика создания радиоэлектронной аппаратуры показывает, что 1 доллар, вложенный в электронные материалы и оборудование, превращается в 6 долларов при создании ЭКБ и в 20 долларов - на рынке финальных изделий (рис.8). В передовых странах электроника по уровню добавленной стоимости, прибыли и рентабельности стоит на первом месте, опережая такие отрасли, как автомобилестроение, медицина, алкоголь, табак и т.д.</w:t>
      </w: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164485">
      <w:pPr>
        <w:pStyle w:val="Style3"/>
        <w:widowControl/>
        <w:rPr>
          <w:rStyle w:val="FontStyle12"/>
          <w:bCs/>
          <w:sz w:val="28"/>
          <w:szCs w:val="28"/>
        </w:rPr>
      </w:pPr>
    </w:p>
    <w:p w:rsidR="008F046C" w:rsidRPr="00D7307A" w:rsidRDefault="008F046C" w:rsidP="008F046C">
      <w:pPr>
        <w:pStyle w:val="Style1"/>
        <w:widowControl/>
        <w:rPr>
          <w:rStyle w:val="FontStyle11"/>
          <w:b w:val="0"/>
          <w:sz w:val="28"/>
          <w:szCs w:val="28"/>
        </w:rPr>
      </w:pPr>
      <w:r w:rsidRPr="00D7307A">
        <w:rPr>
          <w:rStyle w:val="FontStyle11"/>
          <w:b w:val="0"/>
          <w:sz w:val="28"/>
          <w:szCs w:val="28"/>
        </w:rPr>
        <w:t>В России уже есть определенный опыт, подтверждающий эффективность сочетания прямого и косвенного государственного воздействия на электронную отрасль. Так, решение о предоставлении государственных гарантий (3,4 млрд. руб.) для проекта "Ангстрем-Т" позволяет рассчитывать на ввод в строй в 2008 году современного серийного микроэлектронного производства общей стоимостью свыше 20 млрд. руб. Относительно небольшая бюджетная поддержка - 274 млн. руб. - в 2006 году явилась катализатором для проекта модернизации микроэлектронного производства ОАО "НИИМЭ и завод "Микрон" общей стоимостью свыше 4 млрд. руб. Его планируется ввести в строй в середине 2007 года. Успешное завершение этих проектов сократит технологическое отставание в микроэлектронике и создаст конкурентные условия для российских предприятий на внутреннем и внешнем рынках. Кроме того, в Стратегии сделан акцент на те секторы рынка, где государство способно влиять на спрос и предложение, т.е. где возможно сформировать солидный государственный заказ, который обеспечит гарантированную и долгосрочную загрузку электронных производств. Это такие сферы, как военная и специальная электроника, проект "Электронный паспорт", Глобальная навигационная система ГЛОНАСС и цифровое телевидение. Сектор военной и специальной электроники способен обеспечить стабильную загрузку современного микроэлектронного производства (ориентировочно на 30%). Его особенности:</w:t>
      </w:r>
    </w:p>
    <w:p w:rsidR="008F046C" w:rsidRPr="00D7307A" w:rsidRDefault="008F046C" w:rsidP="008F046C">
      <w:pPr>
        <w:pStyle w:val="Style3"/>
        <w:widowControl/>
        <w:rPr>
          <w:rStyle w:val="FontStyle11"/>
          <w:b w:val="0"/>
          <w:sz w:val="28"/>
          <w:szCs w:val="28"/>
        </w:rPr>
      </w:pPr>
      <w:r w:rsidRPr="00D7307A">
        <w:rPr>
          <w:rStyle w:val="FontStyle11"/>
          <w:b w:val="0"/>
          <w:sz w:val="28"/>
          <w:szCs w:val="28"/>
        </w:rPr>
        <w:t>• широкая номенклатура (свыше 25 тыс. типономиналов);</w:t>
      </w:r>
    </w:p>
    <w:p w:rsidR="008F046C" w:rsidRPr="00D7307A" w:rsidRDefault="008F046C" w:rsidP="008F046C">
      <w:pPr>
        <w:pStyle w:val="Style3"/>
        <w:widowControl/>
        <w:rPr>
          <w:rStyle w:val="FontStyle11"/>
          <w:b w:val="0"/>
          <w:sz w:val="28"/>
          <w:szCs w:val="28"/>
        </w:rPr>
      </w:pPr>
      <w:r w:rsidRPr="00D7307A">
        <w:rPr>
          <w:rStyle w:val="FontStyle11"/>
          <w:b w:val="0"/>
          <w:sz w:val="28"/>
          <w:szCs w:val="28"/>
        </w:rPr>
        <w:t>• повышенные эксплуатационные требования (температура, влажность, устойчивость к механическим воздействиям, радиационная стойкость, повышенная надежность и т.п.);</w:t>
      </w:r>
    </w:p>
    <w:p w:rsidR="008F046C" w:rsidRPr="00D7307A" w:rsidRDefault="008F046C" w:rsidP="008F046C">
      <w:pPr>
        <w:pStyle w:val="Style1"/>
        <w:widowControl/>
        <w:rPr>
          <w:rStyle w:val="FontStyle11"/>
          <w:b w:val="0"/>
          <w:sz w:val="28"/>
          <w:szCs w:val="28"/>
        </w:rPr>
      </w:pPr>
      <w:r w:rsidRPr="00D7307A">
        <w:rPr>
          <w:rStyle w:val="FontStyle11"/>
          <w:b w:val="0"/>
          <w:sz w:val="28"/>
          <w:szCs w:val="28"/>
        </w:rPr>
        <w:t>• относительно небольшие серии, но длительный жизненный цикл изделий (необходимо воспроизводить в течение 10-15 лет). Объем произведенной продукции по сравнению с прошлым годом составил 117%, объем научных исследований и разработок — 116,2%, что выше средних показателей по стране. Рост объемов промышленного производства, активизация научно-технической деятельности позволили существенно улучшить и социально-экономическое положение работников: так, средняя зарплата выросла на 25,8%. Между тем нынешний кризис не обошел стороной и РЭК. Например, существенно урезаны масштабы государственного инвестирования в рамках программы внедрения цифрового телерадиовещания в стране. В пятой редакции концепции федеральной целевой программы (ФЦП) "Развитие телерадиовещания в Российской Федерации" на 2009 —2015 гг. от 22 августа 2008 г. предусматривалось бюджетное финансирование на эти цели в сумме 243,919 млрд. руб., в том числе на закупку для населения цифровых приставок. Объем выпуска продукции составил 121,0% по отношению к соответствующему периоду прошлого года, при этом объем выпуска продукции специального назначения вырос на 25,7%, а объем выпуска продукции гражданского назначения вырос на 14,4%. Среди продукции гражданского назначения возросло производство оборудования для торговли и общественного питания (в 1,3 раза), оборудования для топливно-энергетического комплекса (в 1,4 раза), средств вычислительной техники (в 1,3 раза), товаров народного потребления (на 7,9 %). Из разработок гражданского назначения можно отметить кластерные вычислительные системы, программное обеспечение, оборудование цифрового телевидения, связное и телекоммуникационное оборудование, медицинскую технику, средства и комплексы Единой системы организации воздушного движения, системы и средства обеспечения охраны, безопасности и борьбы с терроризмом, оборудование для топливно-энергетического и агропромышленного комплексов, ЖКХ и др.</w:t>
      </w:r>
    </w:p>
    <w:p w:rsidR="004B52B2" w:rsidRPr="00D7307A" w:rsidRDefault="004B52B2" w:rsidP="004B52B2">
      <w:pPr>
        <w:pStyle w:val="Style1"/>
        <w:widowControl/>
        <w:rPr>
          <w:rStyle w:val="FontStyle11"/>
          <w:b w:val="0"/>
          <w:sz w:val="28"/>
          <w:szCs w:val="28"/>
          <w:u w:val="single"/>
        </w:rPr>
      </w:pPr>
      <w:r w:rsidRPr="00D7307A">
        <w:rPr>
          <w:rStyle w:val="FontStyle11"/>
          <w:b w:val="0"/>
          <w:sz w:val="28"/>
          <w:szCs w:val="28"/>
          <w:u w:val="single"/>
        </w:rPr>
        <w:t>2.3 Структура предприятия:</w:t>
      </w:r>
    </w:p>
    <w:p w:rsidR="004B52B2" w:rsidRPr="00D7307A" w:rsidRDefault="004B52B2" w:rsidP="004B52B2">
      <w:pPr>
        <w:pStyle w:val="Style3"/>
        <w:widowControl/>
        <w:rPr>
          <w:rStyle w:val="FontStyle12"/>
          <w:sz w:val="28"/>
          <w:szCs w:val="28"/>
        </w:rPr>
      </w:pPr>
      <w:r w:rsidRPr="00D7307A">
        <w:rPr>
          <w:rStyle w:val="FontStyle12"/>
          <w:sz w:val="28"/>
          <w:szCs w:val="28"/>
        </w:rPr>
        <w:t>На сегодня Роспрому (УРЭП и СУ) подведомственны 105 ФГУП. Кроме того, рассматривается вопрос о подведомственности Роспрому либо о приватизации еще 43 ФГУП. УРЭП и СУ взаимодействует с 397 акционерными обществами, из них 237 - с государственным участием, причем у 140 из этих АО федеральный пакет составляет более 25%. На предприятиях и в организациях РЭП занято 362,4 тыс. человек, из них 258,2 тыс. - в промышленности и 104,2 тыс. - в научных организациях. В 2004 году общий объем произведенной продукции, товаров и услуг предприятий отрасли составил около 100 млрд. руб, из которых около 340 млн. долл. - объем экспорта. Среднегодовая выработка на одного работающего в отрасли - порядка 10 тыс. долларов. В РЭП входят шесть крупных структур, объединяющих 94 предприятия, в том числе три интегрированные структуры — ОАО "Концерн ПВО "Алмаз-Антей", ОАО "Концерн радиостроения "Вега" и ОАО "Концерн "Созвездие", созданные в период действия Федеральной целевой программы (ФЦП) "Реформирование и развитие ОПК (2002-2006 годы)". В результате интеграции улучшилось финансово-экономическое состояние предприятий, повысились объемы производства. В частности, можно отметить высокую динамику развития концерна "Вега": объем выполненных им в 2004 году работ увеличился на 35% по сравнению с 2003 годом, при этом средняя выработка на одного сотрудника выросла на 5%, отмечен существенный рост прибыли по основной продукции. Благодаря деятельности ОАО "Концерн ПВО "Алмаз-Антей" выведены из предбанкротного состояния ОАО "Государственный Обуховский завод" (Санкт-Петербург) и ОАО "Московский машиностроительный завод "Авангард".</w:t>
      </w:r>
    </w:p>
    <w:p w:rsidR="004B52B2" w:rsidRPr="00D7307A" w:rsidRDefault="004B52B2" w:rsidP="004B52B2">
      <w:pPr>
        <w:pStyle w:val="Style3"/>
        <w:widowControl/>
        <w:rPr>
          <w:rStyle w:val="FontStyle12"/>
          <w:sz w:val="28"/>
          <w:szCs w:val="28"/>
        </w:rPr>
      </w:pPr>
      <w:r w:rsidRPr="00D7307A">
        <w:rPr>
          <w:rStyle w:val="FontStyle12"/>
          <w:sz w:val="28"/>
          <w:szCs w:val="28"/>
        </w:rPr>
        <w:t>Увеличение в последние годы объема оборонного заказа приносит определенные положительные результаты: выпуск промышленной и научно-технической продукции в 2004 году возрос по отношению к 2000 году в 1,7 раза, доля военной продукции в объеме промышленной продукции составила 48,9%, в объеме научно-технической продукции - 87,7%. За период 2001-2004 годов на предприятиях РЭП ежегодно проводилось 850-950 НИОКР, из них в среднем около 20% - НИР. Для выполнения НИОКР по государственному оборонному заказу (ГОЗ) было задействовано порядка 170 предприятий и организаций ("прямой" госзаказ).</w:t>
      </w:r>
    </w:p>
    <w:p w:rsidR="004B52B2" w:rsidRPr="00D7307A" w:rsidRDefault="004B52B2" w:rsidP="004B52B2">
      <w:pPr>
        <w:pStyle w:val="Style3"/>
        <w:widowControl/>
        <w:rPr>
          <w:rStyle w:val="FontStyle12"/>
          <w:sz w:val="28"/>
          <w:szCs w:val="28"/>
        </w:rPr>
      </w:pPr>
      <w:r w:rsidRPr="00D7307A">
        <w:rPr>
          <w:rStyle w:val="FontStyle12"/>
          <w:sz w:val="28"/>
          <w:szCs w:val="28"/>
        </w:rPr>
        <w:t>В 2005 году основное внимание уделяется завершению проводимых работ. Объем финансирования в рамках ГОЗ на текущий год увеличился по сравнению с предыдущим годом на 24%, планируется завершить 51 % НИОКР, объем поставок ВВТ возрастет на 23%.</w:t>
      </w:r>
    </w:p>
    <w:p w:rsidR="004B52B2" w:rsidRPr="00D7307A" w:rsidRDefault="004B52B2" w:rsidP="004B52B2">
      <w:pPr>
        <w:pStyle w:val="Style1"/>
        <w:widowControl/>
        <w:rPr>
          <w:rStyle w:val="FontStyle11"/>
          <w:b w:val="0"/>
          <w:sz w:val="28"/>
          <w:szCs w:val="28"/>
        </w:rPr>
      </w:pPr>
      <w:r w:rsidRPr="00D7307A">
        <w:rPr>
          <w:rStyle w:val="FontStyle12"/>
          <w:sz w:val="28"/>
          <w:szCs w:val="28"/>
        </w:rPr>
        <w:t>Среднегодовой темп прироста промышленной продукции РЭП за последние четыре года составил 12,9% против 5,2% в целом по промышленности РФ. Развивается и производство продукции гражданского назначения, прежде всего</w:t>
      </w:r>
      <w:r w:rsidRPr="00D7307A">
        <w:rPr>
          <w:rStyle w:val="FontStyle11"/>
          <w:b w:val="0"/>
          <w:sz w:val="28"/>
          <w:szCs w:val="28"/>
        </w:rPr>
        <w:t>- средств вычислительной техники, связи, контрольно-измерительной аппаратуры и медицинской техники.</w:t>
      </w:r>
    </w:p>
    <w:p w:rsidR="004B52B2" w:rsidRPr="00D7307A" w:rsidRDefault="004B52B2" w:rsidP="004B52B2">
      <w:pPr>
        <w:pStyle w:val="Style1"/>
        <w:widowControl/>
        <w:rPr>
          <w:rStyle w:val="FontStyle11"/>
          <w:b w:val="0"/>
          <w:sz w:val="28"/>
          <w:szCs w:val="28"/>
        </w:rPr>
      </w:pPr>
      <w:r w:rsidRPr="00D7307A">
        <w:rPr>
          <w:rStyle w:val="FontStyle11"/>
          <w:b w:val="0"/>
          <w:sz w:val="28"/>
          <w:szCs w:val="28"/>
        </w:rPr>
        <w:t>Однако в первой половине 2005 года РЭК не удалось в полной мере сохранить завоеванные позиции. Объем промышленного производства за первую половину года составил в сопоставимых ценах 99,8% от уровня соответствующего периода 2004 года, выпуск продукции специального назначения снизился на 10%</w:t>
      </w:r>
    </w:p>
    <w:p w:rsidR="004B52B2" w:rsidRPr="00D7307A" w:rsidRDefault="004B52B2" w:rsidP="004B52B2">
      <w:pPr>
        <w:pStyle w:val="Style1"/>
        <w:widowControl/>
        <w:rPr>
          <w:rStyle w:val="FontStyle11"/>
          <w:b w:val="0"/>
          <w:sz w:val="28"/>
          <w:szCs w:val="28"/>
        </w:rPr>
      </w:pPr>
      <w:r w:rsidRPr="00D7307A">
        <w:rPr>
          <w:rStyle w:val="FontStyle11"/>
          <w:b w:val="0"/>
          <w:sz w:val="28"/>
          <w:szCs w:val="28"/>
        </w:rPr>
        <w:t>Сегодня прибыльны около 60% промышленных предприятий и 75% научных организаций. Объем полученной ими прибыли превысил 3,1 млрд. руб. Вместе с тем в РЭК много убыточных организаций: 108 в промышленности и 55 в науке. Причем если в науке убытки составляют около 11% от объема полученной прибыли, то в промышленности - 78%.</w:t>
      </w:r>
    </w:p>
    <w:p w:rsidR="008F046C" w:rsidRPr="00D7307A" w:rsidRDefault="008F046C" w:rsidP="008F046C">
      <w:pPr>
        <w:pStyle w:val="Style3"/>
        <w:widowControl/>
        <w:rPr>
          <w:rStyle w:val="FontStyle11"/>
          <w:b w:val="0"/>
          <w:bCs w:val="0"/>
          <w:sz w:val="28"/>
          <w:szCs w:val="28"/>
        </w:rPr>
      </w:pPr>
    </w:p>
    <w:p w:rsidR="004B52B2" w:rsidRPr="00D7307A" w:rsidRDefault="004B52B2" w:rsidP="004B52B2">
      <w:pPr>
        <w:pStyle w:val="Style1"/>
        <w:widowControl/>
        <w:rPr>
          <w:rStyle w:val="FontStyle11"/>
          <w:b w:val="0"/>
          <w:sz w:val="28"/>
          <w:szCs w:val="28"/>
          <w:u w:val="single"/>
        </w:rPr>
      </w:pPr>
      <w:r w:rsidRPr="00D7307A">
        <w:rPr>
          <w:rStyle w:val="FontStyle11"/>
          <w:b w:val="0"/>
          <w:sz w:val="28"/>
          <w:szCs w:val="28"/>
          <w:u w:val="single"/>
        </w:rPr>
        <w:t>2.4 Монополизации, цены, издержки, конкуренция, конкурентно способность, объемы реализации.</w:t>
      </w:r>
    </w:p>
    <w:p w:rsidR="004B52B2" w:rsidRPr="00D7307A" w:rsidRDefault="004B52B2" w:rsidP="004B52B2">
      <w:pPr>
        <w:pStyle w:val="Style2"/>
        <w:widowControl/>
        <w:rPr>
          <w:rStyle w:val="FontStyle12"/>
          <w:sz w:val="28"/>
          <w:szCs w:val="28"/>
        </w:rPr>
      </w:pPr>
      <w:r w:rsidRPr="00D7307A">
        <w:rPr>
          <w:rStyle w:val="FontStyle12"/>
          <w:sz w:val="28"/>
          <w:szCs w:val="28"/>
        </w:rPr>
        <w:t>Технологический уровень российских серийных микроэлектронных производств не превышает 0,8 мкм, а на мировом рынке ЭКБ наибольшим спросом пользуется продукция, изготовленная по технологии с разрешением 0,18-0,13 мк. За рубежом в ВВСТ широко используется ЭКБ с топологическими нормами 0,5-0,35 мкм, которые мы только начинаем осваивать. В середине 90-х годов по инициативе военных ведомств создана пилотная микроэлектронная фабрика 1X1 на территории Курчатовского Научного центра. Аналогичный проект развивает и Росатом - фабрика 1X2 в ФНПЦ "НИИИС им. Седакова" (Нижний Новгород). На фабрике 1X1 уже достигнут технологический уровень 0,35 мкм. Это, безусловно, шаг вперед. Вместе с тем, мощностей этих производств не достаточно даже для задач силовых ведомств. Показательно, что затраты на разработку отечественной ЭКБ в 2005 г. составили только 1,5 млрд. руб., а объем затрат на закупку и испытание ЭКБ иностранного производства - более 6 млрд. руб. Вместе с тем ежегодные темпы роста потребления продукции электроники в России (20-23%) выше среднемировых (10-12%). Это позволяет оценить общий объем российского рынка ЭКБ в 2011 году в 105 млрд. руб., а рынка микроэлектроники - в 60 млрд. руб. Реализация Стратегии позволит добиться равных долей импортной и отечественной микроэлектроники в специальной продукции, а в гражданской сфере поднять уровень отечественной микроэлектроники до 15%. Это эквивалентно увеличению объемов продаж отечественной микроэлектроники по сравнению с 2005 годом в 10 и -15 раз, соответственно. Одна из наиболее серьезных проблем, без решения которой реализация программ и планов научно-технического развития отрасли затруднительна, - обеспечение качества продукции предприятий РЭП как оборонного, так и гражданского назначения. Вопросы качества, прежде всего вооружения и военной техники, выходят за рамки какой-либо одной отрасли и являются критическими для большинства предприятий отечественного ОПК</w:t>
      </w:r>
    </w:p>
    <w:p w:rsidR="004B52B2" w:rsidRPr="00D7307A" w:rsidRDefault="004B52B2" w:rsidP="004B52B2">
      <w:pPr>
        <w:pStyle w:val="Style2"/>
        <w:widowControl/>
        <w:rPr>
          <w:rStyle w:val="FontStyle12"/>
          <w:sz w:val="28"/>
          <w:szCs w:val="28"/>
        </w:rPr>
      </w:pPr>
      <w:r w:rsidRPr="00D7307A">
        <w:rPr>
          <w:rStyle w:val="FontStyle12"/>
          <w:sz w:val="28"/>
          <w:szCs w:val="28"/>
        </w:rPr>
        <w:t>Состояние работ по обеспечению качества в РЭК было подробно рассмотрено на состоявшейся год назад в Омске конференции*, а также на Всероссийской конференции по качеству ВВТ, прошедшей в феврале 2005 г. в Ростове. На сегодня большинство мероприятий, предусмотренных согласованным с МО РФ планом работ по реализации решений Омской конференции, выполнены. Заложена организационная структура работ - выпущены приказы Роспрома, определившие головные организации отрасли в области технического регулирования (ФГУП "Промтехаэро", ОАО "РНИИ "Электронстандарт", ОАО "ВНИИ "Эталон", ЗАО "Радиостандарт - ЦНИИРЭС"). Назначена головная организация отрасли по метрологии - Нижегородский НИИПИ "Кварц". Совместно с МО принято решение о порядке сбора информации о качестве ЭКБ и РЭА, создана межведомственная рабочая группа по проблемам качества и</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надежности ЭКБ и РЭА с участием представителей МО, Роскосмоса и Рособоронэкспорта. Создан Совет главных контролеров отрасли, в который вошли, по представлению предприятий, наиболее квалифицированные специалисты, много лет отдавшие делу обеспечения качества. Представители УРЭП и СУ делегированы в составы экспертных групп по проведению технической экспертизы проектов технических регламентов, профильных РЭП. В рамках реализации Омского плана совместно с Омским правительством предусмотрено создание в Омске регионального центра ИПИ-технологий, который будет содействовать внедрению современных электронных технологий на предприятиях региона. К аналогичным работам приступает Воронежская область. Видимо, такой крупный промышленный регион, как Санкт-Петербург и Ленинградская область, также нуждается в создании своего регионального Центра. Совместно с Администрацией города эта проблема может быть решена. Номенклатура экспортируемых товаров достаточно широка и включает 36 групп изделий. В их числе: аппаратура связи; оружие, боеприпасы и их комплектующие, зенитно-ракетные и авиационные системы и оборудование; интегральные микросхемы; контрольно-измерительные приборы и аппаратура; коммутационные изделия (прерыватели, разъединители, переключатели).</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Наиболее крупные поставки ВВТ в 2004 году на счету:</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ФГУП "НПО "Алмаз" - элементы ЗРС С 300 - ПМУ1 в Китай;</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ОАО "Корпорация "Фазотрон-НИИР" - БРЛС-"Копье 21" в Индию;</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ФГУП "РКБ "Глобус" - комплекс подготовки авиасредств ОКА-Э1 в Китай, Мьянму, Индию;</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ОАО "НПК "НИИДАР" - береговой загоризонтный радиолокатор поверхностной волны</w:t>
      </w:r>
    </w:p>
    <w:p w:rsidR="00CF3626" w:rsidRPr="00D7307A" w:rsidRDefault="00CF3626" w:rsidP="00CF3626">
      <w:pPr>
        <w:pStyle w:val="Style1"/>
        <w:widowControl/>
        <w:rPr>
          <w:rStyle w:val="FontStyle11"/>
          <w:b w:val="0"/>
          <w:sz w:val="28"/>
          <w:szCs w:val="28"/>
          <w:u w:val="single"/>
        </w:rPr>
      </w:pPr>
      <w:r w:rsidRPr="00D7307A">
        <w:rPr>
          <w:rStyle w:val="FontStyle11"/>
          <w:b w:val="0"/>
          <w:sz w:val="28"/>
          <w:szCs w:val="28"/>
          <w:u w:val="single"/>
        </w:rPr>
        <w:t>2.5 Главные субъекты радиоэлектронной промышленности и их перспективы</w:t>
      </w:r>
    </w:p>
    <w:p w:rsidR="00CF3626" w:rsidRPr="00D7307A" w:rsidRDefault="00CF3626" w:rsidP="00CF3626">
      <w:pPr>
        <w:pStyle w:val="Style2"/>
        <w:widowControl/>
        <w:rPr>
          <w:rStyle w:val="FontStyle12"/>
          <w:sz w:val="28"/>
          <w:szCs w:val="28"/>
        </w:rPr>
      </w:pPr>
      <w:r w:rsidRPr="00D7307A">
        <w:rPr>
          <w:rStyle w:val="FontStyle12"/>
          <w:sz w:val="28"/>
          <w:szCs w:val="28"/>
        </w:rPr>
        <w:t>Сектор военной и специальной электроники способен обеспечить стабильную загрузку современного микроэлектронного производства (ориентировочно на 30%). Его особенности:</w:t>
      </w:r>
    </w:p>
    <w:p w:rsidR="00CF3626" w:rsidRPr="00D7307A" w:rsidRDefault="00CF3626" w:rsidP="00CF3626">
      <w:pPr>
        <w:pStyle w:val="Style4"/>
        <w:widowControl/>
        <w:rPr>
          <w:rStyle w:val="FontStyle12"/>
          <w:sz w:val="28"/>
          <w:szCs w:val="28"/>
        </w:rPr>
      </w:pPr>
      <w:r w:rsidRPr="00D7307A">
        <w:rPr>
          <w:rStyle w:val="FontStyle12"/>
          <w:sz w:val="28"/>
          <w:szCs w:val="28"/>
        </w:rPr>
        <w:t>• широкая номенклатура (свыше 25 тыс. типономиналов);</w:t>
      </w:r>
    </w:p>
    <w:p w:rsidR="00CF3626" w:rsidRPr="00D7307A" w:rsidRDefault="00CF3626" w:rsidP="00CF3626">
      <w:pPr>
        <w:pStyle w:val="Style4"/>
        <w:widowControl/>
        <w:rPr>
          <w:rStyle w:val="FontStyle12"/>
          <w:sz w:val="28"/>
          <w:szCs w:val="28"/>
        </w:rPr>
      </w:pPr>
      <w:r w:rsidRPr="00D7307A">
        <w:rPr>
          <w:rStyle w:val="FontStyle12"/>
          <w:sz w:val="28"/>
          <w:szCs w:val="28"/>
        </w:rPr>
        <w:t>• повышенные эксплуатационные требования (температура, влажность, устойчивость к механическим воздействиям, радиационная стойкость, повышенная надежность и т.п.);</w:t>
      </w:r>
    </w:p>
    <w:p w:rsidR="00CF3626" w:rsidRPr="00D7307A" w:rsidRDefault="00CF3626" w:rsidP="00CF3626">
      <w:pPr>
        <w:pStyle w:val="Style4"/>
        <w:widowControl/>
        <w:rPr>
          <w:rStyle w:val="FontStyle12"/>
          <w:sz w:val="28"/>
          <w:szCs w:val="28"/>
        </w:rPr>
      </w:pPr>
      <w:r w:rsidRPr="00D7307A">
        <w:rPr>
          <w:rStyle w:val="FontStyle12"/>
          <w:sz w:val="28"/>
          <w:szCs w:val="28"/>
        </w:rPr>
        <w:t>• относительно небольшие серии, но длительный жизненный цикл изделий (необходимо воспроизводить в течение 10-15 лет).</w:t>
      </w:r>
    </w:p>
    <w:p w:rsidR="00CF3626" w:rsidRPr="00D7307A" w:rsidRDefault="00CF3626" w:rsidP="00CF3626">
      <w:pPr>
        <w:pStyle w:val="Style2"/>
        <w:widowControl/>
        <w:rPr>
          <w:rStyle w:val="FontStyle12"/>
          <w:sz w:val="28"/>
          <w:szCs w:val="28"/>
        </w:rPr>
      </w:pPr>
      <w:r w:rsidRPr="00D7307A">
        <w:rPr>
          <w:rStyle w:val="FontStyle12"/>
          <w:sz w:val="28"/>
          <w:szCs w:val="28"/>
        </w:rPr>
        <w:t>Катализатором промышленного подъема микроэлектроники может стать проект "Электронный паспорт". Это гарантированный, массовый, однотипный, долгосрочный продукт - именно такой, который и нужен для рентабельного микроэлектронного производства. Технология изготовления чипов для электронного паспорта подойдет и для создания других электронных документов и идентификационных меток (например, денежных купюр, в системах учета движения грузов), что значительно расширит данный сегмент рынка ЭКБ. Достаточно отметить, что аналогичный сектор рынка ЭКБ был основным при создании электронной промышленности Китая. Россия - владелец Глобальной навигационной спутниковой системы ГЛОНАСС, наряду с США (</w:t>
      </w:r>
      <w:r w:rsidRPr="00D7307A">
        <w:rPr>
          <w:rStyle w:val="FontStyle12"/>
          <w:sz w:val="28"/>
          <w:szCs w:val="28"/>
          <w:lang w:val="en-US"/>
        </w:rPr>
        <w:t>GPS</w:t>
      </w:r>
      <w:r w:rsidRPr="00D7307A">
        <w:rPr>
          <w:rStyle w:val="FontStyle12"/>
          <w:sz w:val="28"/>
          <w:szCs w:val="28"/>
        </w:rPr>
        <w:t>) и Европой (</w:t>
      </w:r>
      <w:r w:rsidRPr="00D7307A">
        <w:rPr>
          <w:rStyle w:val="FontStyle12"/>
          <w:sz w:val="28"/>
          <w:szCs w:val="28"/>
          <w:lang w:val="en-US"/>
        </w:rPr>
        <w:t>Galileo</w:t>
      </w:r>
      <w:r w:rsidRPr="00D7307A">
        <w:rPr>
          <w:rStyle w:val="FontStyle12"/>
          <w:sz w:val="28"/>
          <w:szCs w:val="28"/>
        </w:rPr>
        <w:t>). Однако реально эффективной она станет только при выпуске широкого ряда навигационных приборов для конечных потребителей. Для электронных производств это означает массовый, гарантированный, долгосрочный заказ. В соответствии с планами, до 2015 года предусмотрен переход на цифровой стандарт телевизионного вещания. Оценки показывают, что объем рынка аппаратуры цифрового телевидения до 2015 года составит около 700 млрд. руб. (оборудование для эфирного, спутникового, кабельного телевещания). Только емкость рынка телевизоров и приставок составляет порядка 80 млн. шт. Безусловно, в этом сегменте развернется серьезная конкуренция с ведущими мировыми производителями. Но не использовать его для развития ЭКБ экономически недопустимо.</w:t>
      </w:r>
    </w:p>
    <w:p w:rsidR="00CF3626" w:rsidRPr="00D7307A" w:rsidRDefault="00CF3626" w:rsidP="00CF3626">
      <w:pPr>
        <w:pStyle w:val="Style2"/>
        <w:widowControl/>
        <w:rPr>
          <w:rStyle w:val="FontStyle12"/>
          <w:sz w:val="28"/>
          <w:szCs w:val="28"/>
        </w:rPr>
      </w:pPr>
      <w:r w:rsidRPr="00D7307A">
        <w:rPr>
          <w:rStyle w:val="FontStyle12"/>
          <w:sz w:val="28"/>
          <w:szCs w:val="28"/>
        </w:rPr>
        <w:t>Другие сегменты рынка потребителей ЭКБ - это автомобильная и промышленная электроника, электроника для реализации национальных проектов, энергетическое оборудование, связь, системы безопасности, бытовая техника, торговое оборудование и т.д. Они также могут существенно увеличить загрузку развиваемого производства ЭКБ.</w:t>
      </w:r>
    </w:p>
    <w:p w:rsidR="00CF3626" w:rsidRPr="00D7307A" w:rsidRDefault="00CF3626" w:rsidP="00CF3626">
      <w:pPr>
        <w:pStyle w:val="Style2"/>
        <w:widowControl/>
        <w:rPr>
          <w:rStyle w:val="FontStyle12"/>
          <w:sz w:val="28"/>
          <w:szCs w:val="28"/>
        </w:rPr>
      </w:pPr>
      <w:r w:rsidRPr="00D7307A">
        <w:rPr>
          <w:rStyle w:val="FontStyle12"/>
          <w:sz w:val="28"/>
          <w:szCs w:val="28"/>
        </w:rPr>
        <w:t>Для российских инвесторов наиболее перспективны (и относительно быстроокупаемы) два направления в развитии гражданской микроэлектроники.</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Это массовый выпуск чиповых карт и идентификационных документов на их основе (частный случай - электронный паспорт), а также силовая электроника. Общий объем поставок на российский рынок ЭКБ силовой электроники оценивается в 150-200 млн. долл. в год. Из них до 95% приходится на импортные изделия. Серьезно расширить спрос на силовую электронику можно, внедрив меры технического регулирования в рамках программы "Энергосберегающая экономика". К примеру, если подключить к двигателю частотный регулятор, осуществляющий мягкий пуск, мягкую остановку и тонкое управление режимами, энергопотребление двигателей снизится примерно в полтора раза.</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Государство могло бы поддержать развитие силовой электроники и в рамах национального проекта "Доступное жилье". Для этого достаточно прописать в нем положение, согласно которому государственные инвестиции возможны только в проекты, предусматривающие применение энергосберегающих технологий при эксплуатации жилого фонда. Энергетика, железнодорожный транспорт, ЖКХ - сфера ответственности государственных компаний или акционерных обществ со значительным государственным участием. Поэтому возможно ускоренное формирование спроса именно на российскую силовую электронику.</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Затраты на создание современного производства силовой электроники составляют порядка 150 млн. долл. При указанном объеме рынка и получении заказа от государственных компаний инвестиции в такое производство станут экономически эффективными.</w:t>
      </w:r>
    </w:p>
    <w:p w:rsidR="00CF3626" w:rsidRPr="00D7307A" w:rsidRDefault="00CF3626" w:rsidP="00CF3626">
      <w:pPr>
        <w:pStyle w:val="Style1"/>
        <w:widowControl/>
        <w:rPr>
          <w:rStyle w:val="FontStyle11"/>
          <w:b w:val="0"/>
          <w:sz w:val="28"/>
          <w:szCs w:val="28"/>
        </w:rPr>
      </w:pPr>
      <w:r w:rsidRPr="00D7307A">
        <w:rPr>
          <w:rStyle w:val="FontStyle11"/>
          <w:b w:val="0"/>
          <w:sz w:val="28"/>
          <w:szCs w:val="28"/>
        </w:rPr>
        <w:t>Государственное содействие расширению спроса во всех перечисленных сегментах рынка стимулирует привлечение серьезных частных инвестиций, необходимых для создания в России собственной фабрики по производству современных сверхбольших интегральных схем (СБИС). Наличие такой фабрики не только откроет совершенно новые возможности для производства микроэлектроники и развития современной промышленности, но и создаст абсолютно новую культуру производства, своеобразный интеллектуальный центр притяжения всех высоких технологий, главная стратегическая задача радиоэлектронной промышленности - придание развитию отрасли инновационного характера, обеспечение интенсивной реконструкции и модернизации производства, разработку, освоение и выпуск наукоемкой конкурентоспособной радиоэлектронной продукции для наполнения отечественного рынка. Основой инновационного пути развития является необходимость качественных преобразований во всех видах деятельности радиоэлектронных предприятий, как научной сферы при получении знаний, так и при материализации этих знаний. Согласно Военной доктрине Российской Федерации, к приоритетным задачам военного обеспечения относятся "разработка и производство унифицированных высокоэффективных систем управления войсками и оружием, систем связи, разведки, стратегического предупреждения, радиоэлектронной борьбы, высокоточных мобильных безъядерных средств поражения, а также систем их информационного обеспечения". По сути, речь идет о номенклатуре спецтехники, которую производит радиоэлектронный комплекс (РЭК), а именно:</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связи и автоматизированные системы боевого управления;</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радиоэлектронной разведки (РЭР);</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и средства противовоздушной обороны;</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и средства ракетно-космической обороны;</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и средства радиоэлектронной борьбы (РЭБ);</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системы и средства государственного опознавания, управления воздушным движением, радионавигации и единого времени;</w:t>
      </w:r>
    </w:p>
    <w:p w:rsidR="00CF3626" w:rsidRPr="00D7307A" w:rsidRDefault="00CF3626" w:rsidP="00CF3626">
      <w:pPr>
        <w:pStyle w:val="Style3"/>
        <w:widowControl/>
        <w:rPr>
          <w:rStyle w:val="FontStyle11"/>
          <w:b w:val="0"/>
          <w:sz w:val="28"/>
          <w:szCs w:val="28"/>
        </w:rPr>
      </w:pPr>
      <w:r w:rsidRPr="00D7307A">
        <w:rPr>
          <w:rStyle w:val="FontStyle11"/>
          <w:b w:val="0"/>
          <w:sz w:val="28"/>
          <w:szCs w:val="28"/>
        </w:rPr>
        <w:t>• обеспечивающие системы и средства (специальная вычислительная техника, шифротехника, радиоизмерительная техника, авионика)</w:t>
      </w:r>
    </w:p>
    <w:p w:rsidR="00CF3626" w:rsidRPr="00D7307A" w:rsidRDefault="00CF3626" w:rsidP="00CF3626">
      <w:pPr>
        <w:pStyle w:val="Style1"/>
        <w:widowControl/>
        <w:rPr>
          <w:rStyle w:val="FontStyle11"/>
          <w:b w:val="0"/>
          <w:sz w:val="28"/>
          <w:szCs w:val="28"/>
          <w:u w:val="single"/>
        </w:rPr>
      </w:pPr>
      <w:r w:rsidRPr="00D7307A">
        <w:rPr>
          <w:rStyle w:val="FontStyle11"/>
          <w:b w:val="0"/>
          <w:sz w:val="28"/>
          <w:szCs w:val="28"/>
          <w:u w:val="single"/>
        </w:rPr>
        <w:t>2.6 Жизненный цикл отросли</w:t>
      </w:r>
    </w:p>
    <w:p w:rsidR="00CF3626" w:rsidRPr="00D7307A" w:rsidRDefault="00CF3626" w:rsidP="00CF3626">
      <w:pPr>
        <w:pStyle w:val="Style2"/>
        <w:widowControl/>
        <w:rPr>
          <w:rStyle w:val="FontStyle12"/>
          <w:sz w:val="28"/>
          <w:szCs w:val="28"/>
        </w:rPr>
      </w:pPr>
      <w:r w:rsidRPr="00D7307A">
        <w:rPr>
          <w:rStyle w:val="FontStyle12"/>
          <w:sz w:val="28"/>
          <w:szCs w:val="28"/>
        </w:rPr>
        <w:t>Прежде всего, несмотря на определенные изменения в отрасли за последние 10-12 лет, радиоэлектронная промышленность ОПК сохраняет структурный принцип "натурального хозяйства", во многом заложенный в период "мобилизационной экономики". До сих пор в состав большинства предприятий помимо основных производств входят вспомогательные цеха и участки -инструментальные, ремонтные, гальванические, обрабатывающие, заготовительные и т.п., многочисленные обеспечивающие структуры. Подобный способ организации производства хотя и укрепляет независимость и устойчивость, но снижает эффективность предприятия, а значит - качество и конкурентоспособность его продукции. При переходе к рыночной экономике это породило излишние неиспользуемые производственные мощности, влекущие большие издержки. В результате загрузка производственных мощностей предприятий сегодня составляет 20-30%. Сложившаяся структура производства и избыточные мощности при резком сокращении финансирования ГОЗ в последние 10 лет стали для многих предприятий главной причиной неустойчивого финансового состояния. Это усугубляется низким техническим уровнем их основных фондов, ухудшением качества выпускаемой продукции, старением и уходом профессиональных кадров, ограниченными инновационными возможностями. Сдерживающими факторами дальнейшего развития научно-производственной деятельности РЭП по-прежнему остаются:</w:t>
      </w:r>
    </w:p>
    <w:p w:rsidR="00CF3626" w:rsidRPr="00D7307A" w:rsidRDefault="00CF3626" w:rsidP="00CF3626">
      <w:pPr>
        <w:pStyle w:val="Style3"/>
        <w:widowControl/>
        <w:rPr>
          <w:rStyle w:val="FontStyle12"/>
          <w:sz w:val="28"/>
          <w:szCs w:val="28"/>
        </w:rPr>
      </w:pPr>
      <w:r w:rsidRPr="00D7307A">
        <w:rPr>
          <w:rStyle w:val="FontStyle12"/>
          <w:sz w:val="28"/>
          <w:szCs w:val="28"/>
        </w:rPr>
        <w:t>• опережающий рост цен на энергоносители, сырье, материалы, полуфабрикаты и покупные изделия при сдерживании роста цен на собственную продукцию в целях сохранения позиций на внутреннем и внешнем рынках. В 2004 году по сравнению с 2003 годом цены на промышленную продукцию РЭП ОПК увеличились на 0,7%, в то время как в среднем по промышленности РФ - на 24,3%;</w:t>
      </w:r>
    </w:p>
    <w:p w:rsidR="00CF3626" w:rsidRPr="00D7307A" w:rsidRDefault="00CF3626" w:rsidP="00CF3626">
      <w:pPr>
        <w:pStyle w:val="Style3"/>
        <w:widowControl/>
        <w:rPr>
          <w:rStyle w:val="FontStyle12"/>
          <w:sz w:val="28"/>
          <w:szCs w:val="28"/>
        </w:rPr>
      </w:pPr>
      <w:r w:rsidRPr="00D7307A">
        <w:rPr>
          <w:rStyle w:val="FontStyle12"/>
          <w:sz w:val="28"/>
          <w:szCs w:val="28"/>
        </w:rPr>
        <w:t>• несовершенство системы ценообразования на продукцию, поставляемую по Гособоронзаказу;</w:t>
      </w:r>
    </w:p>
    <w:p w:rsidR="00CF3626" w:rsidRPr="00D7307A" w:rsidRDefault="00CF3626" w:rsidP="00CF3626">
      <w:pPr>
        <w:pStyle w:val="Style3"/>
        <w:widowControl/>
        <w:rPr>
          <w:rStyle w:val="FontStyle12"/>
          <w:sz w:val="28"/>
          <w:szCs w:val="28"/>
        </w:rPr>
      </w:pPr>
      <w:r w:rsidRPr="00D7307A">
        <w:rPr>
          <w:rStyle w:val="FontStyle12"/>
          <w:sz w:val="28"/>
          <w:szCs w:val="28"/>
        </w:rPr>
        <w:t>• полное отсутствие отечественной базы производства специального технологического оборудования, что затрудняет разработку технологий новых уровней.</w:t>
      </w:r>
    </w:p>
    <w:p w:rsidR="005806F0" w:rsidRPr="00D7307A" w:rsidRDefault="00CF3626" w:rsidP="005806F0">
      <w:pPr>
        <w:pStyle w:val="Style1"/>
        <w:widowControl/>
        <w:rPr>
          <w:rStyle w:val="FontStyle11"/>
          <w:b w:val="0"/>
          <w:sz w:val="28"/>
          <w:szCs w:val="28"/>
        </w:rPr>
      </w:pPr>
      <w:r w:rsidRPr="00D7307A">
        <w:rPr>
          <w:rStyle w:val="FontStyle12"/>
          <w:sz w:val="28"/>
          <w:szCs w:val="28"/>
        </w:rPr>
        <w:t>Для устранения основных противоречий в развитии РЭП ОПК и разрешения возникающих в связи с ними проблем необходимо глубо-ко изучить и проанализировать состояние и возможности предприятий отрасли. На основании результатов такого анализа следует комплексно и поэтапно реформировать и реструктуризовать отрасль. Делать это следует путем организационно-структурных и институциональных преобразований обоих секторов производства: оборонно-ориентированного, требующего государственного управления, контроля и бюджетного финансирования, и</w:t>
      </w:r>
      <w:r w:rsidR="005806F0" w:rsidRPr="00D7307A">
        <w:rPr>
          <w:rStyle w:val="FontStyle12"/>
          <w:sz w:val="28"/>
          <w:szCs w:val="28"/>
        </w:rPr>
        <w:t xml:space="preserve"> </w:t>
      </w:r>
      <w:r w:rsidR="005806F0" w:rsidRPr="00D7307A">
        <w:rPr>
          <w:rStyle w:val="FontStyle11"/>
          <w:b w:val="0"/>
          <w:sz w:val="28"/>
          <w:szCs w:val="28"/>
        </w:rPr>
        <w:t>рыночного, ориентированного в первую очередь на существенное развитие производства гражданской радиоэлектронной продукции с привлечением как отечественных, так и зарубежных инвестиций. Предшествующие планы реформирования в соответствии с ФЦП "Реформирование и развитие ОПК (2002-2006 г.)", ориентированные в основном на сохранение кооперационных цепочек, не были выполнены и затронули лишь часть институциональных преобразований (созданы отдельные интегрированные структуры, построенные, как правило, по вертикальному типу). Это не смогло обеспечить коренные структурные преобразования в РЭП.</w:t>
      </w:r>
    </w:p>
    <w:p w:rsidR="006A1F93" w:rsidRPr="00D7307A" w:rsidRDefault="006A1F93" w:rsidP="006A1F93">
      <w:pPr>
        <w:pStyle w:val="Style1"/>
        <w:widowControl/>
        <w:rPr>
          <w:rStyle w:val="FontStyle11"/>
          <w:b w:val="0"/>
          <w:sz w:val="28"/>
          <w:szCs w:val="28"/>
          <w:u w:val="single"/>
        </w:rPr>
      </w:pPr>
      <w:r w:rsidRPr="00D7307A">
        <w:rPr>
          <w:rStyle w:val="FontStyle11"/>
          <w:b w:val="0"/>
          <w:sz w:val="28"/>
          <w:szCs w:val="28"/>
          <w:u w:val="single"/>
        </w:rPr>
        <w:t>2.7Кадровое обеспечение, развитие на будущее.</w:t>
      </w:r>
    </w:p>
    <w:p w:rsidR="006A1F93" w:rsidRPr="00D7307A" w:rsidRDefault="006A1F93" w:rsidP="006A1F93">
      <w:pPr>
        <w:pStyle w:val="Style2"/>
        <w:widowControl/>
        <w:rPr>
          <w:rStyle w:val="FontStyle12"/>
          <w:sz w:val="28"/>
          <w:szCs w:val="28"/>
        </w:rPr>
      </w:pPr>
      <w:r w:rsidRPr="00D7307A">
        <w:rPr>
          <w:rStyle w:val="FontStyle12"/>
          <w:sz w:val="28"/>
          <w:szCs w:val="28"/>
        </w:rPr>
        <w:t>В 2009 году предприятия радиоэлектронной промышленности должны существенно расширить фронт работ на перспективных рынках радиоэлектронной аппаратуры, а именно: создании оборудования для цифрового телевидения, систем и средств радиочастотной идентификации, разнообразной навигационной аппаратуры пользователей системы ГЛОНАСС, а также радиоэлектронной аппаратуры, необходимой для реализации национальных проектов,— отметил директор департамента радиоэлектронной промышленности Минпромторга Владимир Минаев.</w:t>
      </w:r>
    </w:p>
    <w:p w:rsidR="006A1F93" w:rsidRPr="00D7307A" w:rsidRDefault="006A1F93" w:rsidP="006A1F93">
      <w:pPr>
        <w:pStyle w:val="Style1"/>
        <w:widowControl/>
        <w:rPr>
          <w:rStyle w:val="FontStyle11"/>
          <w:b w:val="0"/>
          <w:sz w:val="28"/>
          <w:szCs w:val="28"/>
          <w:u w:val="single"/>
        </w:rPr>
      </w:pPr>
      <w:r w:rsidRPr="00D7307A">
        <w:rPr>
          <w:rStyle w:val="FontStyle11"/>
          <w:b w:val="0"/>
          <w:sz w:val="28"/>
          <w:szCs w:val="28"/>
          <w:u w:val="single"/>
        </w:rPr>
        <w:t>2.8 Маркетинг, логистика, брэндинг радиоэлектронной промышленности</w:t>
      </w:r>
    </w:p>
    <w:p w:rsidR="006A1F93" w:rsidRPr="00D7307A" w:rsidRDefault="006A1F93" w:rsidP="006A1F93">
      <w:pPr>
        <w:pStyle w:val="Style3"/>
        <w:widowControl/>
        <w:rPr>
          <w:rStyle w:val="FontStyle12"/>
          <w:sz w:val="28"/>
          <w:szCs w:val="28"/>
        </w:rPr>
      </w:pPr>
      <w:r w:rsidRPr="00D7307A">
        <w:rPr>
          <w:rStyle w:val="FontStyle12"/>
          <w:sz w:val="28"/>
          <w:szCs w:val="28"/>
        </w:rPr>
        <w:t>Наша модель развития (и Стратегия как "дизайн-проект" этой модели) должны решать двойную задачу: с одной стороны снизить риски, связанные с обороноспособностью России, с другой - создать экономически эффективный сегмент гражданской электроники.</w:t>
      </w:r>
    </w:p>
    <w:p w:rsidR="006A1F93" w:rsidRPr="00D7307A" w:rsidRDefault="006A1F93" w:rsidP="006A1F93">
      <w:pPr>
        <w:pStyle w:val="Style3"/>
        <w:widowControl/>
        <w:rPr>
          <w:rStyle w:val="FontStyle12"/>
          <w:sz w:val="28"/>
          <w:szCs w:val="28"/>
        </w:rPr>
      </w:pPr>
      <w:r w:rsidRPr="00D7307A">
        <w:rPr>
          <w:rStyle w:val="FontStyle12"/>
          <w:sz w:val="28"/>
          <w:szCs w:val="28"/>
        </w:rPr>
        <w:t xml:space="preserve">Очевидно, что амбициозная задача - быстро создать вертикально-интегрированные российские компании по образу </w:t>
      </w:r>
      <w:r w:rsidRPr="00D7307A">
        <w:rPr>
          <w:rStyle w:val="FontStyle12"/>
          <w:sz w:val="28"/>
          <w:szCs w:val="28"/>
          <w:lang w:val="en-US"/>
        </w:rPr>
        <w:t>Intel</w:t>
      </w:r>
      <w:r w:rsidRPr="00D7307A">
        <w:rPr>
          <w:rStyle w:val="FontStyle12"/>
          <w:sz w:val="28"/>
          <w:szCs w:val="28"/>
        </w:rPr>
        <w:t xml:space="preserve"> (американо-японско-корейский путь) с учетом нынешнего состояния отрасли до 2011 года (первый этап Стратегии) - вряд ли реализуема. Вместе с тем, сохранившийся научный потенциал позволяет ставить перед отраслью несколько более серьезные задачи, чем просто работа по контракту (а ситуация в ОПК и просто требует). К 2011 году ключевые отечественные предприятия должны преодолеть глубокое технологическое отставание. После этого, на втором этапе Стратегии, необходимо ставить вопрос о создании крупной российской вертикально-интегрированной компании с привлечением средств Инвестфонда. Речь идет о том, продолжать ли развитие по пути </w:t>
      </w:r>
      <w:r w:rsidRPr="00D7307A">
        <w:rPr>
          <w:rStyle w:val="FontStyle12"/>
          <w:sz w:val="28"/>
          <w:szCs w:val="28"/>
          <w:lang w:val="en-US"/>
        </w:rPr>
        <w:t>fabless</w:t>
      </w:r>
      <w:r w:rsidRPr="00D7307A">
        <w:rPr>
          <w:rStyle w:val="FontStyle12"/>
          <w:sz w:val="28"/>
          <w:szCs w:val="28"/>
        </w:rPr>
        <w:t>-компаний (т.е. дизайн-центров, передающих свой продукт на зарубежные кремниевые фабрики) или же создавать отечественные полупроводниковые производства (</w:t>
      </w:r>
      <w:r w:rsidRPr="00D7307A">
        <w:rPr>
          <w:rStyle w:val="FontStyle12"/>
          <w:sz w:val="28"/>
          <w:szCs w:val="28"/>
          <w:lang w:val="en-US"/>
        </w:rPr>
        <w:t>foundry</w:t>
      </w:r>
      <w:r w:rsidRPr="00D7307A">
        <w:rPr>
          <w:rStyle w:val="FontStyle12"/>
          <w:sz w:val="28"/>
          <w:szCs w:val="28"/>
        </w:rPr>
        <w:t>). И отвечать на этот вопрос следует утвердительно.</w:t>
      </w:r>
    </w:p>
    <w:p w:rsidR="000869F2" w:rsidRPr="00D7307A" w:rsidRDefault="000869F2" w:rsidP="000869F2">
      <w:pPr>
        <w:pStyle w:val="Style1"/>
        <w:widowControl/>
        <w:rPr>
          <w:rStyle w:val="FontStyle11"/>
          <w:b w:val="0"/>
          <w:sz w:val="28"/>
          <w:szCs w:val="28"/>
          <w:u w:val="single"/>
        </w:rPr>
      </w:pPr>
      <w:r w:rsidRPr="00D7307A">
        <w:rPr>
          <w:rStyle w:val="FontStyle11"/>
          <w:b w:val="0"/>
          <w:sz w:val="28"/>
          <w:szCs w:val="28"/>
          <w:u w:val="single"/>
        </w:rPr>
        <w:t>2.9Варианты инвестиций в отрасль, в ее сырьевые ресурсы, науку</w:t>
      </w:r>
    </w:p>
    <w:p w:rsidR="000869F2" w:rsidRPr="00D7307A" w:rsidRDefault="000869F2" w:rsidP="000869F2">
      <w:pPr>
        <w:pStyle w:val="Style3"/>
        <w:widowControl/>
        <w:rPr>
          <w:rStyle w:val="FontStyle12"/>
          <w:sz w:val="28"/>
          <w:szCs w:val="28"/>
        </w:rPr>
      </w:pPr>
      <w:r w:rsidRPr="00D7307A">
        <w:rPr>
          <w:rStyle w:val="FontStyle12"/>
          <w:sz w:val="28"/>
          <w:szCs w:val="28"/>
        </w:rPr>
        <w:t>Большая часть инвестиций в 2005-2006 годах направляется на импортозамещение изделий микроэлектроники, СВЧ-электроники, пьезотехники, радиокомпонентов, спецматериалов и развитие современной ЭКБ для ликвидации отставания в этой области от мирового уровня. Капитальные вложения предназначены в первую очередь для создания производств по выпуску мощных видов радиоэлектронных вооружений, зенитных ракетных комплексов, систем РЭР и РЭБ и др., а также нового поколения мощных кремниевых СВЧ-транзисторов и модулей.</w:t>
      </w:r>
    </w:p>
    <w:p w:rsidR="00BE3F1A" w:rsidRPr="00D7307A" w:rsidRDefault="00BE3F1A" w:rsidP="00BE3F1A">
      <w:pPr>
        <w:pStyle w:val="Style1"/>
        <w:widowControl/>
        <w:rPr>
          <w:rStyle w:val="FontStyle11"/>
          <w:b w:val="0"/>
          <w:sz w:val="28"/>
          <w:szCs w:val="28"/>
          <w:u w:val="single"/>
        </w:rPr>
      </w:pPr>
      <w:r w:rsidRPr="00D7307A">
        <w:rPr>
          <w:rStyle w:val="FontStyle11"/>
          <w:b w:val="0"/>
          <w:sz w:val="28"/>
          <w:szCs w:val="28"/>
          <w:u w:val="single"/>
        </w:rPr>
        <w:t>2.10 Государственное регулирование и стимулирование.</w:t>
      </w:r>
    </w:p>
    <w:p w:rsidR="00BE3F1A" w:rsidRPr="00D7307A" w:rsidRDefault="00BE3F1A" w:rsidP="00BE3F1A">
      <w:pPr>
        <w:pStyle w:val="Style2"/>
        <w:widowControl/>
        <w:rPr>
          <w:rStyle w:val="FontStyle12"/>
          <w:sz w:val="28"/>
          <w:szCs w:val="28"/>
        </w:rPr>
      </w:pPr>
      <w:r w:rsidRPr="00D7307A">
        <w:rPr>
          <w:rStyle w:val="FontStyle12"/>
          <w:sz w:val="28"/>
          <w:szCs w:val="28"/>
        </w:rPr>
        <w:t>Предприятия радиоэлектронного комплекса (РЭК) страны, работающие под эгидой министерства промышленности и торговли Российской Федерации, успешно завершили задания прошлого года. Как отмечается в официальном сообщении Минпромторга, в настоящее время по большинству технико-экономических показателей радиоэлектронный комплекс занимает одно из ведущих мест в структуре оборонно-промышленных отраслей экономики. Темпы обновления основных производственных фондов большинства предприятий РЭК за последнее десятилетие не превышали 1,5-2% в год при минимально необходимом уровне в 5-6%. Это обусловлено их материальным положением и недостаточными объемами государственных капитальных вложений. Определенная поддержка техническому перевооружению и реконструкции предприятий РЭК оказывается через Государственную программу вооружений на 2001-2010 годы, а также через ассигнования из средств федерального бюджета по разделу "Промышленность, энергетика и строительство", ФЦП "Реформирование и развитие ОПК (2002-2006 годы)" и в меньшей степени - ФЦП "Национальная технологическая база на 2002-2006 годы". Для создания производственных мощностей по выпуску продукции, по качеству и объемам отвечающей задачам реализации Государственной программы вооружения 2001-2010 годов, в 2005 году предусматриваются инвестиции в основной капитал 27 действующих предприятий РЭП. Однако выделенные инвестиции составляют около 23% потребности на эти цели. В 2006 году предусматриваются инвестиции в основной капитал 26 действующих предприятий. Важной составляющей научно-технической политики является выполнение целевых программ. Предприятия УРЭП и СУ участвуют в реализации программных мероприятий следующих ФЦП, государственным заказчиком которых является Федеральное агентство по промышленности: "Национальная технологическая база на 2002-2006 годы" (НТБ), "Реформирование и развитие ОПК (2002-2006 годы)", "Глобальная навигационная система" (2002-2011 годы)" (ГЛОНАСС), "Развитие гражданской авиационной техники России на 2002-2010 годы и на период до 2015 года".</w:t>
      </w:r>
    </w:p>
    <w:p w:rsidR="00BE3F1A" w:rsidRPr="00D7307A" w:rsidRDefault="00BE3F1A" w:rsidP="00BE3F1A">
      <w:pPr>
        <w:pStyle w:val="Style2"/>
        <w:widowControl/>
        <w:rPr>
          <w:rStyle w:val="FontStyle12"/>
          <w:sz w:val="28"/>
          <w:szCs w:val="28"/>
        </w:rPr>
      </w:pPr>
      <w:r w:rsidRPr="00D7307A">
        <w:rPr>
          <w:rStyle w:val="FontStyle12"/>
          <w:sz w:val="28"/>
          <w:szCs w:val="28"/>
        </w:rPr>
        <w:t>В 2005 году в результате проведения конкурсов в рамках данных ФЦП по направлениям деятельности УРЭП и СУ определены победители по 42 проектам НИОКР на сумму 252,5 млн. руб., в том числе по ФЦП НТБ -победители по 16 проектам на сумму 114 млн. руб., по ФЦП "Реформирование ОПК" - по 23 проектам на 102 млн. руб., по ФЦП "Развитие гражданской авиационной техники" - по трем проектам на 36,5 млн. руб. Впервые удалось добиться целевого финансирования НИОКР по ФЦП "Развитие гражданской авиационной техники".</w:t>
      </w:r>
    </w:p>
    <w:p w:rsidR="00BE3F1A" w:rsidRPr="00D7307A" w:rsidRDefault="00BE3F1A" w:rsidP="00BE3F1A">
      <w:pPr>
        <w:pStyle w:val="Style1"/>
        <w:widowControl/>
        <w:rPr>
          <w:rStyle w:val="FontStyle11"/>
          <w:b w:val="0"/>
          <w:sz w:val="28"/>
          <w:szCs w:val="28"/>
        </w:rPr>
      </w:pPr>
      <w:r w:rsidRPr="00D7307A">
        <w:rPr>
          <w:rStyle w:val="FontStyle11"/>
          <w:b w:val="0"/>
          <w:sz w:val="28"/>
          <w:szCs w:val="28"/>
        </w:rPr>
        <w:t>Следует отметить, что по ФЦП НТБ пришлось проводить повторный конкурс по четырем проектам в связи с тем, что представленные конкурсные документы оказались некачественными или не были представлены. В 2006 г. планируется увеличить объемы финансирования НИОКР по ФЦП НТБ, поскольку в нее введены дополнительные программные мероприятия по созданию ЭКБ по направлениям разработки и внедрения:</w:t>
      </w:r>
    </w:p>
    <w:p w:rsidR="00BE3F1A" w:rsidRPr="00D7307A" w:rsidRDefault="00BE3F1A" w:rsidP="00BE3F1A">
      <w:pPr>
        <w:pStyle w:val="Style2"/>
        <w:widowControl/>
        <w:rPr>
          <w:rStyle w:val="FontStyle11"/>
          <w:b w:val="0"/>
          <w:sz w:val="28"/>
          <w:szCs w:val="28"/>
        </w:rPr>
      </w:pPr>
      <w:r w:rsidRPr="00D7307A">
        <w:rPr>
          <w:rStyle w:val="FontStyle11"/>
          <w:b w:val="0"/>
          <w:sz w:val="28"/>
          <w:szCs w:val="28"/>
        </w:rPr>
        <w:t>• перспективных твердотельных и комплексированных СВЧ-приборов на основе сложных соединений кремния-германия, арсенида галлия и нитрида галлия;</w:t>
      </w:r>
    </w:p>
    <w:p w:rsidR="00BE3F1A" w:rsidRPr="00D7307A" w:rsidRDefault="00BE3F1A" w:rsidP="00BE3F1A">
      <w:pPr>
        <w:pStyle w:val="Style2"/>
        <w:widowControl/>
        <w:rPr>
          <w:rStyle w:val="FontStyle11"/>
          <w:b w:val="0"/>
          <w:sz w:val="28"/>
          <w:szCs w:val="28"/>
        </w:rPr>
      </w:pPr>
      <w:r w:rsidRPr="00D7307A">
        <w:rPr>
          <w:rStyle w:val="FontStyle11"/>
          <w:b w:val="0"/>
          <w:sz w:val="28"/>
          <w:szCs w:val="28"/>
        </w:rPr>
        <w:t>• систем автоматизированного проектирования радиационно стойкой ЭКБ на основе структур "кремний на изоляторе", в том числе "кремний на сапфире", с проектными нормами 0,5-0,8 мкм и КМОП-структур с проектными нормами 0,35-0,5 мкм;</w:t>
      </w:r>
    </w:p>
    <w:p w:rsidR="00BE3F1A" w:rsidRPr="00D7307A" w:rsidRDefault="00BE3F1A" w:rsidP="00BE3F1A">
      <w:pPr>
        <w:pStyle w:val="Style2"/>
        <w:widowControl/>
        <w:rPr>
          <w:rStyle w:val="FontStyle11"/>
          <w:b w:val="0"/>
          <w:sz w:val="28"/>
          <w:szCs w:val="28"/>
        </w:rPr>
      </w:pPr>
      <w:r w:rsidRPr="00D7307A">
        <w:rPr>
          <w:rStyle w:val="FontStyle11"/>
          <w:b w:val="0"/>
          <w:sz w:val="28"/>
          <w:szCs w:val="28"/>
        </w:rPr>
        <w:t>• систем автоматизированного проектирования сложнофункциональной ЭКБ, в том числе СБИС типа "система на кристалле", на основе КМОП-структур с проектными нормами 0,18-0,25 мкм.</w:t>
      </w:r>
    </w:p>
    <w:p w:rsidR="00BE3F1A" w:rsidRPr="00D7307A" w:rsidRDefault="00BE3F1A" w:rsidP="00BE3F1A">
      <w:pPr>
        <w:pStyle w:val="Style1"/>
        <w:widowControl/>
        <w:rPr>
          <w:rStyle w:val="FontStyle11"/>
          <w:b w:val="0"/>
          <w:sz w:val="28"/>
          <w:szCs w:val="28"/>
        </w:rPr>
      </w:pPr>
      <w:r w:rsidRPr="00D7307A">
        <w:rPr>
          <w:rStyle w:val="FontStyle11"/>
          <w:b w:val="0"/>
          <w:sz w:val="28"/>
          <w:szCs w:val="28"/>
        </w:rPr>
        <w:t>Конкурсы в 2006 году в основном предполагается проводить по этим направлениям.</w:t>
      </w:r>
    </w:p>
    <w:p w:rsidR="00BE3F1A" w:rsidRPr="00D7307A" w:rsidRDefault="00BE3F1A" w:rsidP="00BE3F1A">
      <w:pPr>
        <w:pStyle w:val="Style1"/>
        <w:widowControl/>
        <w:rPr>
          <w:rStyle w:val="FontStyle11"/>
          <w:b w:val="0"/>
          <w:sz w:val="28"/>
          <w:szCs w:val="28"/>
        </w:rPr>
      </w:pPr>
      <w:r w:rsidRPr="00D7307A">
        <w:rPr>
          <w:rStyle w:val="FontStyle11"/>
          <w:b w:val="0"/>
          <w:sz w:val="28"/>
          <w:szCs w:val="28"/>
        </w:rPr>
        <w:t>Планируемое финансирование по ФЦП "Глобальная навигационная система" на 2006 год в объеме 296 млн.руб. позволит решить проблему недофинансирования программы в предыдущие годы, в значительной мере сократить отставание по ее выполнению и уже в 2006 году завершить разработку еще восьми образцов навигационной аппаратуры. В 2005 году впервые, в соответствии с "Соглашением о взаимодействии между Российским фондом фундаментальных исследований и Федеральным агентством по промышленности", РФФИ провел конкурс ориентированных фундаментальных исследований по направлениям деятельности, закрепленным за Роспромом. Общая стоимость лотов составила 53 млн. рублей. Предприятия Роспрома были определены победителями по 36 работам общей стоимостью 24 млн. рублей, из которых 18 работ стоимостью 11,6 млн. рублей выиграли предприятия УРЭП и СУ. Можно надеяться, что в 2006 году расширится тематика и увеличится общая стоимость конкурсных работ. Результаты фундаментальных исследований должны стать основой для создания базовых технологий, необходимых для разработки широкого спектра наукоемкой, конкурентоспособной продукции.</w:t>
      </w:r>
    </w:p>
    <w:p w:rsidR="00BE3F1A" w:rsidRPr="00D7307A" w:rsidRDefault="00BE3F1A" w:rsidP="00BE3F1A">
      <w:pPr>
        <w:pStyle w:val="Style1"/>
        <w:widowControl/>
        <w:rPr>
          <w:rStyle w:val="FontStyle11"/>
          <w:b w:val="0"/>
          <w:sz w:val="28"/>
          <w:szCs w:val="28"/>
          <w:u w:val="single"/>
        </w:rPr>
      </w:pPr>
      <w:r w:rsidRPr="00D7307A">
        <w:rPr>
          <w:rStyle w:val="FontStyle11"/>
          <w:b w:val="0"/>
          <w:sz w:val="28"/>
          <w:szCs w:val="28"/>
          <w:u w:val="single"/>
        </w:rPr>
        <w:t>3. Заключение</w:t>
      </w:r>
    </w:p>
    <w:p w:rsidR="00BE3F1A" w:rsidRPr="00D7307A" w:rsidRDefault="00BE3F1A" w:rsidP="00BE3F1A">
      <w:pPr>
        <w:pStyle w:val="Style2"/>
        <w:widowControl/>
        <w:rPr>
          <w:rStyle w:val="FontStyle12"/>
          <w:sz w:val="28"/>
          <w:szCs w:val="28"/>
        </w:rPr>
      </w:pPr>
      <w:r w:rsidRPr="00D7307A">
        <w:rPr>
          <w:rStyle w:val="FontStyle12"/>
          <w:sz w:val="28"/>
          <w:szCs w:val="28"/>
        </w:rPr>
        <w:t>Мы надеемся, что реализация Стратегии, подпрограммы, а впоследствии - и Программы "Развитие электронной компонентной базы" значительно сократит отставание России по приоритетным технологическим направлениям и создаст условия для дальнейшего подъема отечественной радиоэлектроники как базиса развития всей экономики нашего государства.</w:t>
      </w:r>
    </w:p>
    <w:p w:rsidR="00584BDD" w:rsidRPr="00D7307A" w:rsidRDefault="00584BDD" w:rsidP="00584BDD">
      <w:pPr>
        <w:pStyle w:val="Style1"/>
        <w:widowControl/>
        <w:rPr>
          <w:rStyle w:val="FontStyle11"/>
          <w:b w:val="0"/>
          <w:sz w:val="28"/>
          <w:szCs w:val="28"/>
          <w:u w:val="single"/>
        </w:rPr>
      </w:pPr>
      <w:r w:rsidRPr="00D7307A">
        <w:rPr>
          <w:rStyle w:val="FontStyle11"/>
          <w:b w:val="0"/>
          <w:sz w:val="28"/>
          <w:szCs w:val="28"/>
          <w:u w:val="single"/>
        </w:rPr>
        <w:t>4 Список используемой литературы:</w:t>
      </w:r>
    </w:p>
    <w:p w:rsidR="00584BDD" w:rsidRPr="00D7307A" w:rsidRDefault="00584BDD" w:rsidP="00584BDD">
      <w:pPr>
        <w:pStyle w:val="Style3"/>
        <w:widowControl/>
        <w:rPr>
          <w:rStyle w:val="FontStyle12"/>
          <w:sz w:val="28"/>
          <w:szCs w:val="28"/>
        </w:rPr>
      </w:pPr>
      <w:r w:rsidRPr="00D7307A">
        <w:rPr>
          <w:rStyle w:val="FontStyle12"/>
          <w:sz w:val="28"/>
          <w:szCs w:val="28"/>
        </w:rPr>
        <w:t>1) Концепция развития радиоэлектронного комплекса. Доклад на научно-практической конференции 27 сентября 2005 года в Санкт-Петербурге.</w:t>
      </w:r>
    </w:p>
    <w:p w:rsidR="00584BDD" w:rsidRPr="00D7307A" w:rsidRDefault="00584BDD" w:rsidP="00584BDD">
      <w:pPr>
        <w:pStyle w:val="Style4"/>
        <w:widowControl/>
        <w:rPr>
          <w:rStyle w:val="FontStyle12"/>
          <w:sz w:val="28"/>
          <w:szCs w:val="28"/>
        </w:rPr>
      </w:pPr>
      <w:r w:rsidRPr="00D7307A">
        <w:rPr>
          <w:rStyle w:val="FontStyle12"/>
          <w:sz w:val="28"/>
          <w:szCs w:val="28"/>
        </w:rPr>
        <w:t xml:space="preserve">2) 23 сентября в Санкт-Петербурге </w:t>
      </w:r>
      <w:r w:rsidRPr="00D7307A">
        <w:rPr>
          <w:rStyle w:val="FontStyle12"/>
          <w:sz w:val="28"/>
          <w:szCs w:val="28"/>
          <w:lang w:val="en-US"/>
        </w:rPr>
        <w:t>VII</w:t>
      </w:r>
      <w:r w:rsidRPr="00D7307A">
        <w:rPr>
          <w:rStyle w:val="FontStyle12"/>
          <w:sz w:val="28"/>
          <w:szCs w:val="28"/>
        </w:rPr>
        <w:t>-я научно-практическая конференция «Инновационные технологии радиоэлектронного комплекса — регионам России»,</w:t>
      </w:r>
    </w:p>
    <w:p w:rsidR="00CF3626" w:rsidRPr="00D7307A" w:rsidRDefault="00CF3626" w:rsidP="005806F0">
      <w:pPr>
        <w:pStyle w:val="Style2"/>
        <w:widowControl/>
        <w:rPr>
          <w:rStyle w:val="FontStyle11"/>
          <w:b w:val="0"/>
          <w:bCs w:val="0"/>
          <w:sz w:val="28"/>
          <w:szCs w:val="28"/>
        </w:rPr>
      </w:pPr>
    </w:p>
    <w:p w:rsidR="008F046C" w:rsidRPr="00D7307A" w:rsidRDefault="008F046C" w:rsidP="008F046C">
      <w:pPr>
        <w:pStyle w:val="Style2"/>
        <w:widowControl/>
        <w:rPr>
          <w:rStyle w:val="FontStyle12"/>
          <w:sz w:val="28"/>
          <w:szCs w:val="28"/>
        </w:rPr>
      </w:pPr>
      <w:bookmarkStart w:id="0" w:name="_GoBack"/>
      <w:bookmarkEnd w:id="0"/>
    </w:p>
    <w:sectPr w:rsidR="008F046C" w:rsidRPr="00D7307A">
      <w:headerReference w:type="default" r:id="rId7"/>
      <w:footerReference w:type="default" r:id="rId8"/>
      <w:type w:val="continuous"/>
      <w:pgSz w:w="11905" w:h="16837"/>
      <w:pgMar w:top="2198" w:right="776" w:bottom="1440" w:left="149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B6" w:rsidRDefault="00BE5CB6">
      <w:r>
        <w:separator/>
      </w:r>
    </w:p>
  </w:endnote>
  <w:endnote w:type="continuationSeparator" w:id="0">
    <w:p w:rsidR="00BE5CB6" w:rsidRDefault="00BE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B6" w:rsidRDefault="00BE5CB6">
    <w:pPr>
      <w:pStyle w:val="Style2"/>
      <w:widowControl/>
      <w:ind w:left="4762"/>
      <w:jc w:val="both"/>
      <w:rPr>
        <w:rStyle w:val="FontStyle14"/>
      </w:rPr>
    </w:pPr>
    <w:r>
      <w:rPr>
        <w:rStyle w:val="FontStyle14"/>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B6" w:rsidRDefault="00BE5CB6">
      <w:r>
        <w:separator/>
      </w:r>
    </w:p>
  </w:footnote>
  <w:footnote w:type="continuationSeparator" w:id="0">
    <w:p w:rsidR="00BE5CB6" w:rsidRDefault="00BE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B6" w:rsidRDefault="00BE5CB6">
    <w:pPr>
      <w:pStyle w:val="Style1"/>
      <w:widowControl/>
      <w:jc w:val="center"/>
      <w:rPr>
        <w:rStyle w:val="FontStyle13"/>
        <w:u w:val="single"/>
      </w:rPr>
    </w:pPr>
    <w:r>
      <w:rPr>
        <w:rStyle w:val="FontStyle13"/>
        <w:u w:val="single"/>
      </w:rPr>
      <w:t>Содержание.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025"/>
    <w:multiLevelType w:val="singleLevel"/>
    <w:tmpl w:val="252694FC"/>
    <w:lvl w:ilvl="0">
      <w:start w:val="1"/>
      <w:numFmt w:val="decimal"/>
      <w:lvlText w:val="%1)"/>
      <w:legacy w:legacy="1" w:legacySpace="0" w:legacyIndent="350"/>
      <w:lvlJc w:val="left"/>
      <w:rPr>
        <w:rFonts w:ascii="Times New Roman" w:hAnsi="Times New Roman" w:cs="Times New Roman" w:hint="default"/>
      </w:rPr>
    </w:lvl>
  </w:abstractNum>
  <w:abstractNum w:abstractNumId="1">
    <w:nsid w:val="166723A3"/>
    <w:multiLevelType w:val="singleLevel"/>
    <w:tmpl w:val="CF64EB66"/>
    <w:lvl w:ilvl="0">
      <w:start w:val="1"/>
      <w:numFmt w:val="lowerLetter"/>
      <w:lvlText w:val="%1)"/>
      <w:legacy w:legacy="1" w:legacySpace="0" w:legacyIndent="365"/>
      <w:lvlJc w:val="left"/>
      <w:rPr>
        <w:rFonts w:ascii="Times New Roman" w:hAnsi="Times New Roman" w:cs="Times New Roman" w:hint="default"/>
      </w:rPr>
    </w:lvl>
  </w:abstractNum>
  <w:abstractNum w:abstractNumId="2">
    <w:nsid w:val="25A5644C"/>
    <w:multiLevelType w:val="singleLevel"/>
    <w:tmpl w:val="14485EBA"/>
    <w:lvl w:ilvl="0">
      <w:start w:val="4"/>
      <w:numFmt w:val="decimal"/>
      <w:lvlText w:val="%1)"/>
      <w:legacy w:legacy="1" w:legacySpace="0" w:legacyIndent="350"/>
      <w:lvlJc w:val="left"/>
      <w:rPr>
        <w:rFonts w:ascii="Times New Roman" w:hAnsi="Times New Roman" w:cs="Times New Roman" w:hint="default"/>
      </w:rPr>
    </w:lvl>
  </w:abstractNum>
  <w:abstractNum w:abstractNumId="3">
    <w:nsid w:val="3DB500D5"/>
    <w:multiLevelType w:val="singleLevel"/>
    <w:tmpl w:val="492A23E6"/>
    <w:lvl w:ilvl="0">
      <w:start w:val="3"/>
      <w:numFmt w:val="decimal"/>
      <w:lvlText w:val="%1)"/>
      <w:legacy w:legacy="1" w:legacySpace="0" w:legacyIndent="226"/>
      <w:lvlJc w:val="left"/>
      <w:rPr>
        <w:rFonts w:ascii="Times New Roman" w:hAnsi="Times New Roman" w:cs="Times New Roman" w:hint="default"/>
      </w:rPr>
    </w:lvl>
  </w:abstractNum>
  <w:abstractNum w:abstractNumId="4">
    <w:nsid w:val="79340117"/>
    <w:multiLevelType w:val="singleLevel"/>
    <w:tmpl w:val="2F4CCD4C"/>
    <w:lvl w:ilvl="0">
      <w:start w:val="1"/>
      <w:numFmt w:val="decimal"/>
      <w:lvlText w:val="%1)"/>
      <w:legacy w:legacy="1" w:legacySpace="0" w:legacyIndent="226"/>
      <w:lvlJc w:val="left"/>
      <w:rPr>
        <w:rFonts w:ascii="Times New Roman" w:hAnsi="Times New Roman" w:cs="Times New Roman"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931"/>
    <w:rsid w:val="000869F2"/>
    <w:rsid w:val="000D47EF"/>
    <w:rsid w:val="00102B76"/>
    <w:rsid w:val="00164485"/>
    <w:rsid w:val="002F79D7"/>
    <w:rsid w:val="004B52B2"/>
    <w:rsid w:val="005806F0"/>
    <w:rsid w:val="00584BDD"/>
    <w:rsid w:val="006A1F93"/>
    <w:rsid w:val="00872931"/>
    <w:rsid w:val="008F046C"/>
    <w:rsid w:val="00BE3F1A"/>
    <w:rsid w:val="00BE5CB6"/>
    <w:rsid w:val="00CF3626"/>
    <w:rsid w:val="00D7307A"/>
    <w:rsid w:val="00EA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E3168-0774-49D1-B4C5-F8A3CB23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22" w:lineRule="exact"/>
      <w:ind w:hanging="350"/>
    </w:pPr>
  </w:style>
  <w:style w:type="paragraph" w:customStyle="1" w:styleId="Style6">
    <w:name w:val="Style6"/>
    <w:basedOn w:val="a"/>
    <w:uiPriority w:val="99"/>
  </w:style>
  <w:style w:type="paragraph" w:customStyle="1" w:styleId="Style7">
    <w:name w:val="Style7"/>
    <w:basedOn w:val="a"/>
    <w:uiPriority w:val="99"/>
    <w:pPr>
      <w:spacing w:line="485" w:lineRule="exact"/>
      <w:ind w:hanging="350"/>
    </w:pPr>
  </w:style>
  <w:style w:type="character" w:customStyle="1" w:styleId="FontStyle11">
    <w:name w:val="Font Style11"/>
    <w:basedOn w:val="a0"/>
    <w:uiPriority w:val="99"/>
    <w:rPr>
      <w:rFonts w:ascii="Times New Roman" w:hAnsi="Times New Roman" w:cs="Times New Roman"/>
      <w:b/>
      <w:bCs/>
      <w:sz w:val="32"/>
      <w:szCs w:val="32"/>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16"/>
      <w:szCs w:val="16"/>
    </w:rPr>
  </w:style>
  <w:style w:type="character" w:styleId="a3">
    <w:name w:val="Hyperlink"/>
    <w:basedOn w:val="a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5251</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cp:lastModifiedBy>Irina</cp:lastModifiedBy>
  <cp:revision>2</cp:revision>
  <dcterms:created xsi:type="dcterms:W3CDTF">2014-08-15T16:55:00Z</dcterms:created>
  <dcterms:modified xsi:type="dcterms:W3CDTF">2014-08-15T16:55:00Z</dcterms:modified>
</cp:coreProperties>
</file>