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83" w:rsidRDefault="00B27EA7">
      <w:pPr>
        <w:pStyle w:val="1"/>
        <w:spacing w:before="460" w:line="240" w:lineRule="auto"/>
        <w:ind w:left="40" w:firstLine="500"/>
        <w:jc w:val="left"/>
        <w:rPr>
          <w:sz w:val="28"/>
        </w:rPr>
      </w:pPr>
      <w:r>
        <w:rPr>
          <w:b/>
          <w:sz w:val="28"/>
        </w:rPr>
        <w:t>Основний закон і політична система суспільства</w:t>
      </w:r>
    </w:p>
    <w:p w:rsidR="007B7583" w:rsidRDefault="00B27EA7">
      <w:pPr>
        <w:pStyle w:val="1"/>
        <w:spacing w:before="180" w:line="240" w:lineRule="auto"/>
        <w:ind w:left="120" w:firstLine="500"/>
        <w:rPr>
          <w:sz w:val="28"/>
        </w:rPr>
      </w:pPr>
      <w:r>
        <w:rPr>
          <w:sz w:val="28"/>
        </w:rPr>
        <w:t>Конституційне право зорієнтоване насамперед на регламентацію за</w:t>
      </w:r>
      <w:r>
        <w:rPr>
          <w:sz w:val="28"/>
        </w:rPr>
        <w:softHyphen/>
        <w:t>сад державного ладу і взаємовідносин держави і особи. Держава ж є од</w:t>
      </w:r>
      <w:r>
        <w:rPr>
          <w:sz w:val="28"/>
        </w:rPr>
        <w:softHyphen/>
        <w:t>ним з найважливіших елементів політичної системи суспільства. Тому, регламентуючи основи державної організації та діяльності, конституційне право впливає і на функціонування політичної системи в цілому. Цей вплив звичайно має загальний і непрямий характер.</w:t>
      </w:r>
    </w:p>
    <w:p w:rsidR="007B7583" w:rsidRDefault="00B27EA7">
      <w:pPr>
        <w:pStyle w:val="1"/>
        <w:spacing w:line="240" w:lineRule="auto"/>
        <w:ind w:left="120" w:firstLine="500"/>
        <w:rPr>
          <w:sz w:val="28"/>
        </w:rPr>
      </w:pPr>
      <w:r>
        <w:rPr>
          <w:sz w:val="28"/>
        </w:rPr>
        <w:t xml:space="preserve">У політичній системі будь-якої розвинутої країни важливе місце займають </w:t>
      </w:r>
      <w:r>
        <w:rPr>
          <w:i/>
          <w:sz w:val="28"/>
        </w:rPr>
        <w:t>політичні партії.</w:t>
      </w:r>
      <w:r>
        <w:rPr>
          <w:sz w:val="28"/>
        </w:rPr>
        <w:t xml:space="preserve"> Як самостійний елемент політичної системи, вони відокремлені від держави. З іншого боку, партії і держава активно взаємодіють. Співвідношення між ними в різних країнах виявляється по-різному. Різняться як рівень, так і форми взаємодії. Однак у будь-якому випадку політичні партії не є складовою частиною державного механізму. У співвідношенні «держава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партії» останні виступають як засіб завою</w:t>
      </w:r>
      <w:r>
        <w:rPr>
          <w:sz w:val="28"/>
        </w:rPr>
        <w:softHyphen/>
        <w:t>вання й утримання влади, а перша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як засіб її здійснення.</w:t>
      </w:r>
    </w:p>
    <w:p w:rsidR="007B7583" w:rsidRDefault="00B27EA7">
      <w:pPr>
        <w:pStyle w:val="1"/>
        <w:spacing w:line="240" w:lineRule="auto"/>
        <w:ind w:left="40" w:firstLine="500"/>
        <w:rPr>
          <w:sz w:val="28"/>
        </w:rPr>
      </w:pPr>
      <w:r>
        <w:rPr>
          <w:sz w:val="28"/>
        </w:rPr>
        <w:t>Характеризуючи взаємодію і взаємовідносини держави і політич</w:t>
      </w:r>
      <w:r>
        <w:rPr>
          <w:sz w:val="28"/>
        </w:rPr>
        <w:softHyphen/>
        <w:t>них партій, слід звернути увагу на явище інституціоналізації партій. Це явище є відносно новим для конституційно-правового розвитку за</w:t>
      </w:r>
      <w:r>
        <w:rPr>
          <w:sz w:val="28"/>
        </w:rPr>
        <w:softHyphen/>
        <w:t>рубіжних країн. Інституціоналізація політичних партій виявляється у створенні розгорнутої правової основи їхньої організації і діяльності. По</w:t>
      </w:r>
      <w:r>
        <w:rPr>
          <w:sz w:val="28"/>
        </w:rPr>
        <w:softHyphen/>
        <w:t>няття інституціоналізації охоплює регламентацію порядку утворення партій, фіксацію в законодавстві загальних вимог щодо формування про</w:t>
      </w:r>
      <w:r>
        <w:rPr>
          <w:sz w:val="28"/>
        </w:rPr>
        <w:softHyphen/>
        <w:t>грамних і організаційних документів, внутрішньої структури і членства, фінансування діяльності та регулювання деяких інших питань.</w:t>
      </w:r>
    </w:p>
    <w:p w:rsidR="007B7583" w:rsidRDefault="00B27EA7">
      <w:pPr>
        <w:pStyle w:val="1"/>
        <w:spacing w:line="240" w:lineRule="auto"/>
        <w:ind w:left="40" w:firstLine="500"/>
        <w:rPr>
          <w:sz w:val="28"/>
        </w:rPr>
      </w:pPr>
      <w:r>
        <w:rPr>
          <w:sz w:val="28"/>
        </w:rPr>
        <w:t>Конституційне право регламентує окремі питання діяльності партій, зокрема участь їх у виборчих кампаніях. Саме з участю у виборах консти</w:t>
      </w:r>
      <w:r>
        <w:rPr>
          <w:sz w:val="28"/>
        </w:rPr>
        <w:softHyphen/>
        <w:t>туції ряду держав пов'язують факт і необхідність існування партій, їхнє функціональне призначення. «Політичні партії та угруповання сприяють вираженню думок і поглядів голосуванням»,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записано в ст.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Консти</w:t>
      </w:r>
      <w:r>
        <w:rPr>
          <w:sz w:val="28"/>
        </w:rPr>
        <w:softHyphen/>
        <w:t>туції Франції. Інші новітні конституції містять більш загальні визначен</w:t>
      </w:r>
      <w:r>
        <w:rPr>
          <w:sz w:val="28"/>
        </w:rPr>
        <w:softHyphen/>
        <w:t>ня цілей і завдань політичних партій. Зокрема, в Основному законі ФРН констатується, що «партії сприяють формуванню політичної волі народу» (ст.</w:t>
      </w:r>
      <w:r>
        <w:rPr>
          <w:noProof/>
          <w:sz w:val="28"/>
        </w:rPr>
        <w:t xml:space="preserve"> 21).</w:t>
      </w:r>
      <w:r>
        <w:rPr>
          <w:sz w:val="28"/>
        </w:rPr>
        <w:t xml:space="preserve"> Близькі за змістом формулювання можна знайти в конституціях ряду інших держав.</w:t>
      </w:r>
    </w:p>
    <w:p w:rsidR="007B7583" w:rsidRDefault="00B27EA7">
      <w:pPr>
        <w:pStyle w:val="1"/>
        <w:spacing w:line="240" w:lineRule="auto"/>
        <w:ind w:left="40" w:firstLine="500"/>
        <w:rPr>
          <w:sz w:val="28"/>
        </w:rPr>
      </w:pPr>
      <w:r>
        <w:rPr>
          <w:sz w:val="28"/>
        </w:rPr>
        <w:t>У новітніх конституціях, прийнятих на початку 90-х років</w:t>
      </w:r>
      <w:r>
        <w:rPr>
          <w:noProof/>
          <w:sz w:val="28"/>
        </w:rPr>
        <w:t xml:space="preserve"> XX</w:t>
      </w:r>
      <w:r>
        <w:rPr>
          <w:sz w:val="28"/>
        </w:rPr>
        <w:t xml:space="preserve"> ст., положення про політичні партії нерідко доповнюються проголошенням ідей багатовимірності суспільно-політичного життя, що є своєрідною ре</w:t>
      </w:r>
      <w:r>
        <w:rPr>
          <w:sz w:val="28"/>
        </w:rPr>
        <w:softHyphen/>
        <w:t>акцією на відому практику недавнього минулого. «В Російській Федерації визнається ідеологічна багатоманітність. Жодна ідеологія не може вста</w:t>
      </w:r>
      <w:r>
        <w:rPr>
          <w:sz w:val="28"/>
        </w:rPr>
        <w:softHyphen/>
        <w:t>новлюватись як державна або обов'язкова. В Російській Федерації ви</w:t>
      </w:r>
      <w:r>
        <w:rPr>
          <w:sz w:val="28"/>
        </w:rPr>
        <w:softHyphen/>
        <w:t>знається політична багатоманітність, багатопартійність»,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записано в ст.</w:t>
      </w:r>
      <w:r>
        <w:rPr>
          <w:noProof/>
          <w:sz w:val="28"/>
        </w:rPr>
        <w:t xml:space="preserve"> 13</w:t>
      </w:r>
      <w:r>
        <w:rPr>
          <w:sz w:val="28"/>
        </w:rPr>
        <w:t xml:space="preserve"> Конституції Росії. «Жодна приватна особа, жодна частина народу, жодна соціальна група, жодна політична партія або інше громадське об'єднання не можуть здійснювати державну владу від свого імені»,</w:t>
      </w:r>
      <w:r>
        <w:rPr>
          <w:noProof/>
          <w:sz w:val="28"/>
        </w:rPr>
        <w:t>—</w:t>
      </w:r>
      <w:r>
        <w:rPr>
          <w:sz w:val="28"/>
        </w:rPr>
        <w:t xml:space="preserve"> за</w:t>
      </w:r>
      <w:r>
        <w:rPr>
          <w:sz w:val="28"/>
        </w:rPr>
        <w:softHyphen/>
        <w:t>значено в Конституції Молдови (ст.</w:t>
      </w:r>
      <w:r>
        <w:rPr>
          <w:noProof/>
          <w:sz w:val="28"/>
        </w:rPr>
        <w:t xml:space="preserve"> 2).</w:t>
      </w:r>
      <w:r>
        <w:rPr>
          <w:sz w:val="28"/>
        </w:rPr>
        <w:t xml:space="preserve"> Подібні положення можна знайти в основних законах Білорусі, Болгарії, Казахстану, Киргизстану, Узбеки</w:t>
      </w:r>
      <w:r>
        <w:rPr>
          <w:sz w:val="28"/>
        </w:rPr>
        <w:softHyphen/>
        <w:t>стану та деяких інших держав. А в Конституції Литви зафіксовано, що «держава, політичні партії і громадські об'єднання, інші інституції або особи не можуть монополізувати засоби масової інформації» (ст.</w:t>
      </w:r>
      <w:r>
        <w:rPr>
          <w:noProof/>
          <w:sz w:val="28"/>
        </w:rPr>
        <w:t xml:space="preserve"> 44).</w:t>
      </w:r>
    </w:p>
    <w:p w:rsidR="007B7583" w:rsidRDefault="00B27EA7">
      <w:pPr>
        <w:pStyle w:val="1"/>
        <w:spacing w:line="240" w:lineRule="auto"/>
        <w:ind w:left="40" w:firstLine="500"/>
        <w:rPr>
          <w:sz w:val="28"/>
        </w:rPr>
      </w:pPr>
      <w:r>
        <w:rPr>
          <w:sz w:val="28"/>
        </w:rPr>
        <w:t>Заслуговують на увагу положення основних законів про те, що ор</w:t>
      </w:r>
      <w:r>
        <w:rPr>
          <w:sz w:val="28"/>
        </w:rPr>
        <w:softHyphen/>
        <w:t>ганізація та діяльність політичних партій повинні підпорядковуватися демократичним принципам. Про це йдеться в конституціях Іспанії, Франції та ФРН. Деякі конституції забороняють таємні і воєнізовані об'єднання. За Конституцією Болгарії, не можуть бути утворені політичні партії на етнічній, расовій або релігійній основі. В Конституції Молдови</w:t>
      </w:r>
      <w:r>
        <w:rPr>
          <w:sz w:val="28"/>
          <w:lang w:val="ru-RU"/>
        </w:rPr>
        <w:t xml:space="preserve"> </w:t>
      </w:r>
      <w:r>
        <w:rPr>
          <w:sz w:val="28"/>
        </w:rPr>
        <w:t>заборонена діяльність партій, які складаються із іноземних громадян, а в Киргизстані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політичних партій інших держав.</w:t>
      </w:r>
    </w:p>
    <w:p w:rsidR="007B7583" w:rsidRDefault="00B27EA7">
      <w:pPr>
        <w:pStyle w:val="1"/>
        <w:spacing w:line="240" w:lineRule="auto"/>
        <w:ind w:left="40" w:firstLine="500"/>
        <w:rPr>
          <w:sz w:val="28"/>
        </w:rPr>
      </w:pPr>
      <w:r>
        <w:rPr>
          <w:sz w:val="28"/>
        </w:rPr>
        <w:t>Нерідко встановлюються обмеження щодо організації і діяльності політичних партій більш загального характеру.</w:t>
      </w:r>
      <w:r>
        <w:rPr>
          <w:sz w:val="28"/>
          <w:lang w:val="ru-RU"/>
        </w:rPr>
        <w:t xml:space="preserve"> Так, у</w:t>
      </w:r>
      <w:r>
        <w:rPr>
          <w:sz w:val="28"/>
        </w:rPr>
        <w:t xml:space="preserve"> вже цитованій статті Конституції Росії забороняється створення і діяльність громадських об'єднань, цілі чи діяльність яких спрямовані на насильницьку зміну ос</w:t>
      </w:r>
      <w:r>
        <w:rPr>
          <w:sz w:val="28"/>
        </w:rPr>
        <w:softHyphen/>
        <w:t>нов конституційного ладу, підривання безпеки держави, створення оз</w:t>
      </w:r>
      <w:r>
        <w:rPr>
          <w:sz w:val="28"/>
        </w:rPr>
        <w:softHyphen/>
        <w:t>броєних формувань, розпалення соціальної, расової, національної і релігійної ворожнечі.</w:t>
      </w:r>
    </w:p>
    <w:p w:rsidR="007B7583" w:rsidRDefault="00B27EA7">
      <w:pPr>
        <w:pStyle w:val="1"/>
        <w:spacing w:line="240" w:lineRule="auto"/>
        <w:ind w:left="40" w:firstLine="500"/>
        <w:rPr>
          <w:sz w:val="28"/>
        </w:rPr>
      </w:pPr>
      <w:r>
        <w:rPr>
          <w:sz w:val="28"/>
        </w:rPr>
        <w:t>Близькі за змістом положення можна знайти в інших конституціях, прийнятих на початку 90-х років, а також в основних законах, що діють в ряді розвинутих країн. Наприклад, у ст.</w:t>
      </w:r>
      <w:r>
        <w:rPr>
          <w:noProof/>
          <w:sz w:val="28"/>
        </w:rPr>
        <w:t xml:space="preserve"> 21</w:t>
      </w:r>
      <w:r>
        <w:rPr>
          <w:sz w:val="28"/>
        </w:rPr>
        <w:t xml:space="preserve"> Основного закону ФРН зазна</w:t>
      </w:r>
      <w:r>
        <w:rPr>
          <w:sz w:val="28"/>
        </w:rPr>
        <w:softHyphen/>
        <w:t>чається, що «партії, які за своїми цілями чи поведінкою своїх прибічників мають намір заподіяти шкоду основам вільного демократичного порядку або поставити під загрозу існування Федеративної Республіки,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протиконсти</w:t>
      </w:r>
      <w:r>
        <w:rPr>
          <w:sz w:val="28"/>
        </w:rPr>
        <w:softHyphen/>
        <w:t>туційні». На підставі такої статті конституційний суд може заборонити ту чи іншу політичну партію. Офіційно відповідне положення трактується як таке, що спрямоване проти діяльності різного роду екстремістських політич</w:t>
      </w:r>
      <w:r>
        <w:rPr>
          <w:sz w:val="28"/>
        </w:rPr>
        <w:softHyphen/>
        <w:t>них угруповань. Однак надмірно узагальнений зміст наведеного положення зумовлює можливості довільного тлумачення його і формування державно-політичної практики недемократичного характеру. Подібні положення по</w:t>
      </w:r>
      <w:r>
        <w:rPr>
          <w:sz w:val="28"/>
        </w:rPr>
        <w:softHyphen/>
        <w:t>требують детальної і обгрунтованої регламентації відповідних дій у поточно</w:t>
      </w:r>
      <w:r>
        <w:rPr>
          <w:sz w:val="28"/>
        </w:rPr>
        <w:softHyphen/>
        <w:t>му законодавстві, насамперед у нормах кримінального права. Без цього во</w:t>
      </w:r>
      <w:r>
        <w:rPr>
          <w:sz w:val="28"/>
        </w:rPr>
        <w:softHyphen/>
        <w:t>ни несуть реальну загрозу демократичному розвитку суспільного і держав</w:t>
      </w:r>
      <w:r>
        <w:rPr>
          <w:sz w:val="28"/>
        </w:rPr>
        <w:softHyphen/>
        <w:t>но-політичного життя.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Свої особливості має юридичне регулювання організації та діяль</w:t>
      </w:r>
      <w:r>
        <w:rPr>
          <w:sz w:val="28"/>
        </w:rPr>
        <w:softHyphen/>
        <w:t>ності політичних партій в англомовних країнах. Конституція</w:t>
      </w:r>
      <w:r>
        <w:rPr>
          <w:sz w:val="28"/>
          <w:lang w:val="ru-RU"/>
        </w:rPr>
        <w:t xml:space="preserve"> США</w:t>
      </w:r>
      <w:r>
        <w:rPr>
          <w:sz w:val="28"/>
        </w:rPr>
        <w:t xml:space="preserve"> стоїть осторонь цих питань. Організація і діяльність політичних партій регла</w:t>
      </w:r>
      <w:r>
        <w:rPr>
          <w:sz w:val="28"/>
        </w:rPr>
        <w:softHyphen/>
        <w:t>ментуються законодавством штатів, головним чином їхніми виборчими законами, які визначають процедуру створення і реєстрації партій, а та</w:t>
      </w:r>
      <w:r>
        <w:rPr>
          <w:sz w:val="28"/>
        </w:rPr>
        <w:softHyphen/>
        <w:t>кож їхню структуру на рівні штатів. Одним з головних завдань керівних органів партій визнається висунення кандидатів на виборні посади в дер</w:t>
      </w:r>
      <w:r>
        <w:rPr>
          <w:sz w:val="28"/>
        </w:rPr>
        <w:softHyphen/>
        <w:t>жавних органах. У законах докладно регламентується порядок формуван</w:t>
      </w:r>
      <w:r>
        <w:rPr>
          <w:sz w:val="28"/>
        </w:rPr>
        <w:softHyphen/>
        <w:t>ня місцевих партійних організацій. За своїм змістом ці положення мало чим відрізняються від спеціального законодавства про політичні партії, що діє в деяких європейських країнах.</w:t>
      </w:r>
    </w:p>
    <w:p w:rsidR="007B7583" w:rsidRDefault="00B27EA7">
      <w:pPr>
        <w:pStyle w:val="1"/>
        <w:spacing w:line="240" w:lineRule="auto"/>
        <w:ind w:left="40" w:firstLine="500"/>
        <w:rPr>
          <w:sz w:val="28"/>
        </w:rPr>
      </w:pPr>
      <w:r>
        <w:rPr>
          <w:sz w:val="28"/>
        </w:rPr>
        <w:t>Специфічним є правове регулювання організації і діяльності політичних партій у Великобританії. Законодавство цієї країни не перед</w:t>
      </w:r>
      <w:r>
        <w:rPr>
          <w:sz w:val="28"/>
        </w:rPr>
        <w:softHyphen/>
        <w:t>бачає спеціальної процедури створення і реєстрації саме для партій. Ос</w:t>
      </w:r>
      <w:r>
        <w:rPr>
          <w:sz w:val="28"/>
        </w:rPr>
        <w:softHyphen/>
        <w:t>танні розглядаються як звичайні асоціації за інтересами, і в цьому відношенні формально не відрізняються, наприклад, від спортивного клубу. Такий підхід спрощує зміст і обсяг правового статусу політичних партій. З іншого боку, він забезпечує відсутність спеціальних юридичних обме</w:t>
      </w:r>
      <w:r>
        <w:rPr>
          <w:sz w:val="28"/>
        </w:rPr>
        <w:softHyphen/>
        <w:t>жень їхньої діяльності в політичній сфері. Це є характерним і для інших країн, що наслідували принципи англійського права.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Своєрідність правового становища політичних партій у Великобри</w:t>
      </w:r>
      <w:r>
        <w:rPr>
          <w:sz w:val="28"/>
        </w:rPr>
        <w:softHyphen/>
        <w:t>танії полягає також у тому, що про них тривалий час взагалі не згадува</w:t>
      </w:r>
      <w:r>
        <w:rPr>
          <w:sz w:val="28"/>
        </w:rPr>
        <w:softHyphen/>
        <w:t>лось у законодавчих актах. Уперше термін «політична партія» використа</w:t>
      </w:r>
      <w:r>
        <w:rPr>
          <w:sz w:val="28"/>
        </w:rPr>
        <w:softHyphen/>
        <w:t>но в Законі</w:t>
      </w:r>
      <w:r>
        <w:rPr>
          <w:noProof/>
          <w:sz w:val="28"/>
        </w:rPr>
        <w:t xml:space="preserve"> 1937</w:t>
      </w:r>
      <w:r>
        <w:rPr>
          <w:sz w:val="28"/>
          <w:lang w:val="ru-RU"/>
        </w:rPr>
        <w:t xml:space="preserve"> р. про</w:t>
      </w:r>
      <w:r>
        <w:rPr>
          <w:sz w:val="28"/>
        </w:rPr>
        <w:t xml:space="preserve"> міністрів корони. Згадуються партії також у зако</w:t>
      </w:r>
      <w:r>
        <w:rPr>
          <w:sz w:val="28"/>
        </w:rPr>
        <w:softHyphen/>
        <w:t>нах, які регламентують окремі аспекти діяльності партій у державно-політичній сфері, зокрема в Законі</w:t>
      </w:r>
      <w:r>
        <w:rPr>
          <w:noProof/>
          <w:sz w:val="28"/>
        </w:rPr>
        <w:t xml:space="preserve"> 1967</w:t>
      </w:r>
      <w:r>
        <w:rPr>
          <w:sz w:val="28"/>
        </w:rPr>
        <w:t xml:space="preserve"> р. про компанії, в якому встанов</w:t>
      </w:r>
      <w:r>
        <w:rPr>
          <w:sz w:val="28"/>
        </w:rPr>
        <w:softHyphen/>
        <w:t>лено вимогу до керівництва останніх повідомляти про витрати на політичні цілі і про одержувачів відповідних коштів. У Законі</w:t>
      </w:r>
      <w:r>
        <w:rPr>
          <w:noProof/>
          <w:sz w:val="28"/>
        </w:rPr>
        <w:t xml:space="preserve"> 1970</w:t>
      </w:r>
      <w:r>
        <w:rPr>
          <w:sz w:val="28"/>
          <w:lang w:val="ru-RU"/>
        </w:rPr>
        <w:t xml:space="preserve"> р. про</w:t>
      </w:r>
      <w:r>
        <w:rPr>
          <w:sz w:val="28"/>
        </w:rPr>
        <w:t xml:space="preserve"> народне представництво зазначено, що партії на парламентських виборах можуть виступати під символами, зображуваними на виборчих бюлетенях.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Оскільки далі формальної згадки про партії в законодавстві не йдеться, було б невірним стверджувати, що для Великобританії характер</w:t>
      </w:r>
      <w:r>
        <w:rPr>
          <w:sz w:val="28"/>
        </w:rPr>
        <w:softHyphen/>
        <w:t>не явище інституціоналізації політичних партій. Щодо цієї країни мож</w:t>
      </w:r>
      <w:r>
        <w:rPr>
          <w:sz w:val="28"/>
        </w:rPr>
        <w:softHyphen/>
        <w:t>на говорити про інституціоналізацію не партій, а партійних систем, тоб</w:t>
      </w:r>
      <w:r>
        <w:rPr>
          <w:sz w:val="28"/>
        </w:rPr>
        <w:softHyphen/>
        <w:t>то про нормативне оформлення ролі партійної системи в організації та діяльності державного механізму.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Інституціоналізація британської двопартійної системи виявляється у пристосуванні до неї парламенту, порядку формування уряду тощо. Так, саме з урахуванням двопартійності прийняті деякі важливі правила процедури британського парламенту. Регламенти його нижньої палати передбачають виділення протягом сесії певного часу для опозиції, яка та</w:t>
      </w:r>
      <w:r>
        <w:rPr>
          <w:sz w:val="28"/>
        </w:rPr>
        <w:softHyphen/>
        <w:t>ким чином дістає змогу критикувати урядові програми. За опозицією за</w:t>
      </w:r>
      <w:r>
        <w:rPr>
          <w:sz w:val="28"/>
        </w:rPr>
        <w:softHyphen/>
        <w:t>резервовані також посади голів окремих парламентських комітетів.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Під час сесії організатори головних політичних партій у палаті гро</w:t>
      </w:r>
      <w:r>
        <w:rPr>
          <w:sz w:val="28"/>
        </w:rPr>
        <w:softHyphen/>
        <w:t>мад можуть домовлятися про так зване парування депутатів. Це означає, що однакова кількість парламентаріїв від двох партій може бути відсутня на засіданні палати з причин хвороби, зайнятості особистими справами тощо. І хоча через це зменшується кількість депутатів, які беруть участь в обгово</w:t>
      </w:r>
      <w:r>
        <w:rPr>
          <w:sz w:val="28"/>
        </w:rPr>
        <w:softHyphen/>
        <w:t>ренні і голосуванні, проте зберігається загальна пропорція двох основних парламентських сил. Подібне співробітництво в рамках двопартійної систе</w:t>
      </w:r>
      <w:r>
        <w:rPr>
          <w:sz w:val="28"/>
        </w:rPr>
        <w:softHyphen/>
        <w:t>ми має характер сталої парламентської традиції. Воно свідчить не стільки про відсутність гострих суперечок між головними партіями, про відмову їх від постійної конфронтації в парламенті, скільки про лояльність депутатів до існуючих партійних структур і державних інститутів.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Інституціоналізація політичних партій в окремих країнах здійснюється на основі законів або спеціальних парламентських постанов</w:t>
      </w:r>
      <w:r>
        <w:rPr>
          <w:sz w:val="28"/>
          <w:lang w:val="ru-RU"/>
        </w:rPr>
        <w:t xml:space="preserve"> </w:t>
      </w:r>
      <w:r>
        <w:rPr>
          <w:sz w:val="28"/>
        </w:rPr>
        <w:t>про їх державне фінансування. Відповідні акти передбачають матеріальну підтримку партій з боку держави за рахунок спеціального фонду коштів. Такі закони або парламентські постанови прийняті в</w:t>
      </w:r>
      <w:r>
        <w:rPr>
          <w:noProof/>
          <w:sz w:val="28"/>
        </w:rPr>
        <w:t xml:space="preserve"> 60—</w:t>
      </w:r>
      <w:r>
        <w:rPr>
          <w:sz w:val="28"/>
        </w:rPr>
        <w:t>90-і роки</w:t>
      </w:r>
      <w:r>
        <w:rPr>
          <w:noProof/>
          <w:sz w:val="28"/>
        </w:rPr>
        <w:t xml:space="preserve"> XX</w:t>
      </w:r>
      <w:r>
        <w:rPr>
          <w:sz w:val="28"/>
        </w:rPr>
        <w:t xml:space="preserve"> ст. у Великобританії, Греції, Італії, Норвегії, США, Фінляндії, Швеції та в інших країнах. Аналогічні за змістом положення можна знайти і в спеціальних законах про політичні партії.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 xml:space="preserve">У законах або постановах про фінансування політичних партій встановлюються умови надання державних дотацій. Дотації одержують партії, які користуються певною підтримкою виборців. </w:t>
      </w:r>
      <w:r>
        <w:rPr>
          <w:sz w:val="28"/>
          <w:lang w:val="ru-RU"/>
        </w:rPr>
        <w:t>Так, у ФРН</w:t>
      </w:r>
      <w:r>
        <w:rPr>
          <w:sz w:val="28"/>
        </w:rPr>
        <w:t xml:space="preserve"> пра</w:t>
      </w:r>
      <w:r>
        <w:rPr>
          <w:sz w:val="28"/>
        </w:rPr>
        <w:softHyphen/>
        <w:t>во на одержання державної дотації мають партії, які зібрали не менше де</w:t>
      </w:r>
      <w:r>
        <w:rPr>
          <w:sz w:val="28"/>
        </w:rPr>
        <w:softHyphen/>
        <w:t>сяти відсотків загальної кількості голосів, поданих в одномандатних ок</w:t>
      </w:r>
      <w:r>
        <w:rPr>
          <w:sz w:val="28"/>
        </w:rPr>
        <w:softHyphen/>
        <w:t>ругах або не менше половини відсотка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багатомандатних. Фіксований відсоток необхідної кількості голосів як умова одержання дотацій вста</w:t>
      </w:r>
      <w:r>
        <w:rPr>
          <w:sz w:val="28"/>
        </w:rPr>
        <w:softHyphen/>
        <w:t>новлений також у Швеції і Фінляндії. В Австрії дотації надаються тим партіям, які мають представництво в парламенті. У деяких країнах (Італія і Норвегія) умовою державного фінансування партій є висунення ними встановленої кількості кандидатів у депутати по округах.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Виборче законодавство Франції передбачає надання державної допо</w:t>
      </w:r>
      <w:r>
        <w:rPr>
          <w:sz w:val="28"/>
        </w:rPr>
        <w:softHyphen/>
        <w:t>моги не партіям, а окремим кандидатам у депутати. Однак практично май</w:t>
      </w:r>
      <w:r>
        <w:rPr>
          <w:sz w:val="28"/>
        </w:rPr>
        <w:softHyphen/>
        <w:t>же завжди за цими кандидатами стоїть та чи інша політична партія. Дер</w:t>
      </w:r>
      <w:r>
        <w:rPr>
          <w:sz w:val="28"/>
        </w:rPr>
        <w:softHyphen/>
        <w:t>жава компенсує певну частину виборчих витрат кандидатів у депутати, але робить це лише в тому випадку, коли за кожного з них проголосує не менше п'яти відсотків загальної кількості тих, хто брав участь у виборах по даному округу.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У випадках прямого державного фінансування партій кошти між ними розподіляються по-різному. Найчастіше це робиться згідно з про</w:t>
      </w:r>
      <w:r>
        <w:rPr>
          <w:sz w:val="28"/>
        </w:rPr>
        <w:softHyphen/>
        <w:t>порцією поданих за партії голосів (Великобританія, Норвегія,</w:t>
      </w:r>
      <w:r>
        <w:rPr>
          <w:sz w:val="28"/>
          <w:lang w:val="ru-RU"/>
        </w:rPr>
        <w:t xml:space="preserve"> США, ФРН) </w:t>
      </w:r>
      <w:r>
        <w:rPr>
          <w:sz w:val="28"/>
        </w:rPr>
        <w:t>або завойованих ними парламентських мандатів (Данія, Фінляндія, Швеція). Є і складніші формули розподілу державних дотацій.</w:t>
      </w:r>
      <w:r>
        <w:rPr>
          <w:sz w:val="28"/>
          <w:lang w:val="ru-RU"/>
        </w:rPr>
        <w:t xml:space="preserve"> Так, в </w:t>
      </w:r>
      <w:r>
        <w:rPr>
          <w:sz w:val="28"/>
        </w:rPr>
        <w:t>Австрії кожна партія, що провела в нижню палату парламенту не менше п'яти депутатів, одержує основну суму дотації. Решта коштів роз</w:t>
      </w:r>
      <w:r>
        <w:rPr>
          <w:sz w:val="28"/>
        </w:rPr>
        <w:softHyphen/>
        <w:t>поділяється пропорційно кількості голосів, які одержали на виборах пред</w:t>
      </w:r>
      <w:r>
        <w:rPr>
          <w:sz w:val="28"/>
        </w:rPr>
        <w:softHyphen/>
        <w:t>ставлені в палаті партії. Порядок розподілу дотацій, за яким великі політичні партії мають переваги, запроваджений і в Італії.</w:t>
      </w:r>
    </w:p>
    <w:p w:rsidR="007B7583" w:rsidRDefault="00B27EA7">
      <w:pPr>
        <w:pStyle w:val="1"/>
        <w:spacing w:line="240" w:lineRule="auto"/>
        <w:ind w:firstLine="500"/>
        <w:rPr>
          <w:sz w:val="28"/>
          <w:lang w:val="ru-RU"/>
        </w:rPr>
      </w:pPr>
      <w:r>
        <w:rPr>
          <w:sz w:val="28"/>
        </w:rPr>
        <w:t>Здебільшого державні кошти надаються партіям тільки з метою часткової компенсації їхніх витрат на виборчу кампанію. У Скандинав</w:t>
      </w:r>
      <w:r>
        <w:rPr>
          <w:sz w:val="28"/>
        </w:rPr>
        <w:softHyphen/>
        <w:t>ських країнах дотації можуть використовуватись партіями і на інші цілі, зокрема на організаційно-політичну роботу. Зазначені грошові суми зай</w:t>
      </w:r>
      <w:r>
        <w:rPr>
          <w:sz w:val="28"/>
        </w:rPr>
        <w:softHyphen/>
        <w:t>мають помітне місце у прибутковій частині партійних бюджетів, хоча ніде не перевищують половини її обсягу.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Водночас законодавче визнається необхідність контролю з боку дер</w:t>
      </w:r>
      <w:r>
        <w:rPr>
          <w:sz w:val="28"/>
        </w:rPr>
        <w:softHyphen/>
        <w:t>жави за фінансами політичних партій. Іноді таку вимогу навіть зафіксо</w:t>
      </w:r>
      <w:r>
        <w:rPr>
          <w:sz w:val="28"/>
        </w:rPr>
        <w:softHyphen/>
        <w:t>вано в конституціях.</w:t>
      </w:r>
      <w:r>
        <w:rPr>
          <w:sz w:val="28"/>
          <w:lang w:val="ru-RU"/>
        </w:rPr>
        <w:t xml:space="preserve"> При</w:t>
      </w:r>
      <w:r>
        <w:rPr>
          <w:sz w:val="28"/>
        </w:rPr>
        <w:t xml:space="preserve"> цьому звичайно йдеться про опублікування партіями даних про джерела їхнього фінансування. Таке або близьке за змістом правило встановлене у ст.</w:t>
      </w:r>
      <w:r>
        <w:rPr>
          <w:noProof/>
          <w:sz w:val="28"/>
        </w:rPr>
        <w:t xml:space="preserve"> 21</w:t>
      </w:r>
      <w:r>
        <w:rPr>
          <w:sz w:val="28"/>
        </w:rPr>
        <w:t xml:space="preserve"> Основного закону ФРН, ст.</w:t>
      </w:r>
      <w:r>
        <w:rPr>
          <w:noProof/>
          <w:sz w:val="28"/>
        </w:rPr>
        <w:t xml:space="preserve"> 21</w:t>
      </w:r>
      <w:r>
        <w:rPr>
          <w:sz w:val="28"/>
        </w:rPr>
        <w:t xml:space="preserve"> Кон</w:t>
      </w:r>
      <w:r>
        <w:rPr>
          <w:sz w:val="28"/>
        </w:rPr>
        <w:softHyphen/>
        <w:t>ституції Італії, ст.</w:t>
      </w:r>
      <w:r>
        <w:rPr>
          <w:noProof/>
          <w:sz w:val="28"/>
        </w:rPr>
        <w:t xml:space="preserve"> 14</w:t>
      </w:r>
      <w:r>
        <w:rPr>
          <w:sz w:val="28"/>
        </w:rPr>
        <w:t xml:space="preserve"> Конституції Греції, ст.</w:t>
      </w:r>
      <w:r>
        <w:rPr>
          <w:noProof/>
          <w:sz w:val="28"/>
        </w:rPr>
        <w:t xml:space="preserve"> 69</w:t>
      </w:r>
      <w:r>
        <w:rPr>
          <w:sz w:val="28"/>
        </w:rPr>
        <w:t xml:space="preserve"> Конституції Туреччини. Проте найповніше ці питання регламентуються актами про фінансування політичних партій, в яких визначено строки надання фінансових звітів партій, порядок їх оголошення та перевірки, структуру таких звітів тощо. </w:t>
      </w:r>
      <w:r>
        <w:rPr>
          <w:sz w:val="28"/>
          <w:lang w:val="ru-RU"/>
        </w:rPr>
        <w:t>При</w:t>
      </w:r>
      <w:r>
        <w:rPr>
          <w:sz w:val="28"/>
        </w:rPr>
        <w:t xml:space="preserve"> цьому, як правило, вимагається звіт не тільки про витрати наданих державою коштів, а й про увесь партійний бюджет. Саме тому відповідні акти не можна сприймати однозначно. З одного боку, їхні положення ство</w:t>
      </w:r>
      <w:r>
        <w:rPr>
          <w:sz w:val="28"/>
        </w:rPr>
        <w:softHyphen/>
        <w:t>рюють можливості для контролю не тільки за партійними фінансами, а й над усією сферою організації і діяльності партій. З іншого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вони сприя</w:t>
      </w:r>
      <w:r>
        <w:rPr>
          <w:sz w:val="28"/>
        </w:rPr>
        <w:softHyphen/>
        <w:t>ють зміцненню фінансового становища партій і забезпечують їм додаткові можливості для здійснення функцій.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 xml:space="preserve">Зміст спеціальних законів про політичні партії, що були введені в </w:t>
      </w:r>
      <w:r>
        <w:rPr>
          <w:noProof/>
          <w:sz w:val="28"/>
        </w:rPr>
        <w:t>60—</w:t>
      </w:r>
      <w:r>
        <w:rPr>
          <w:sz w:val="28"/>
        </w:rPr>
        <w:t>90-і роки в ряді європейських країн, зокрема в Австрії, Іспанії, Пор</w:t>
      </w:r>
      <w:r>
        <w:rPr>
          <w:sz w:val="28"/>
        </w:rPr>
        <w:softHyphen/>
        <w:t>тугалії, ФРН, є ще більш суперечливим. Першим з них був Закон ФРН про політичні партії, прийнятий у</w:t>
      </w:r>
      <w:r>
        <w:rPr>
          <w:noProof/>
          <w:sz w:val="28"/>
        </w:rPr>
        <w:t xml:space="preserve"> 1967</w:t>
      </w:r>
      <w:r>
        <w:rPr>
          <w:sz w:val="28"/>
          <w:lang w:val="ru-RU"/>
        </w:rPr>
        <w:t xml:space="preserve"> </w:t>
      </w:r>
      <w:r>
        <w:rPr>
          <w:sz w:val="28"/>
          <w:lang w:val="en-US"/>
        </w:rPr>
        <w:t>p</w:t>
      </w:r>
      <w:r>
        <w:rPr>
          <w:sz w:val="28"/>
          <w:lang w:val="ru-RU"/>
        </w:rPr>
        <w:t>.</w:t>
      </w:r>
      <w:r>
        <w:rPr>
          <w:sz w:val="28"/>
        </w:rPr>
        <w:t xml:space="preserve"> і в подальшому доповнений. Він вважається типовим і був узятий за взірець тими країнами, де діє відповідне законодавство.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Важливе місце в спеціальних законах про партії відведено регла</w:t>
      </w:r>
      <w:r>
        <w:rPr>
          <w:sz w:val="28"/>
        </w:rPr>
        <w:softHyphen/>
        <w:t>ментації питань організаційного характеру. Звичайно в них встанов</w:t>
      </w:r>
      <w:r>
        <w:rPr>
          <w:sz w:val="28"/>
        </w:rPr>
        <w:softHyphen/>
        <w:t>люється вимога обов'язкової реєстрації партій, без якої останні практич</w:t>
      </w:r>
      <w:r>
        <w:rPr>
          <w:sz w:val="28"/>
        </w:rPr>
        <w:softHyphen/>
        <w:t>но позбавляються реальних можливостей для здійснення своїх функцій. Реєстрація супроводжується передаванням партіями до державних ор</w:t>
      </w:r>
      <w:r>
        <w:rPr>
          <w:sz w:val="28"/>
        </w:rPr>
        <w:softHyphen/>
        <w:t>ганів (міністерств внутрішніх справ або юстиції) документів, передусім списку членів партії. Нерідко однією з головних умов реєстрації визначе</w:t>
      </w:r>
      <w:r>
        <w:rPr>
          <w:sz w:val="28"/>
        </w:rPr>
        <w:softHyphen/>
        <w:t>но наявність певної кількості членів партії. Загальною вимогою реєстрації є також звіт про джерела фінансування партій.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>Законодавство про партії досить детально регламентує і питання внутрішньопартійної організації. Воно встановлює загальні вимоги до форми і змісту партійних статутів, пропонує типову організаційну струк</w:t>
      </w:r>
      <w:r>
        <w:rPr>
          <w:sz w:val="28"/>
        </w:rPr>
        <w:softHyphen/>
        <w:t>туру партій. Закони про партії містять норми, що визначають порядок формування органів партій, їхню компетенцію, взаємовідносини в ієрархії цих органів тощо. За своїм змістом спеціальне законодавство про партії практично підміняє собою партійні документи статутного характе</w:t>
      </w:r>
      <w:r>
        <w:rPr>
          <w:sz w:val="28"/>
        </w:rPr>
        <w:softHyphen/>
        <w:t>ру. Введення його спричинилося до досить жорсткої регламентації з боку</w:t>
      </w:r>
      <w:r>
        <w:rPr>
          <w:sz w:val="28"/>
          <w:lang w:val="ru-RU"/>
        </w:rPr>
        <w:t xml:space="preserve"> </w:t>
      </w:r>
      <w:r>
        <w:rPr>
          <w:sz w:val="28"/>
        </w:rPr>
        <w:t>держави організації і діяльності політичних партій. Таку регламентацію не можна оцінювати однозначно.</w:t>
      </w:r>
    </w:p>
    <w:p w:rsidR="007B7583" w:rsidRDefault="00B27EA7">
      <w:pPr>
        <w:pStyle w:val="1"/>
        <w:spacing w:line="240" w:lineRule="auto"/>
        <w:ind w:firstLine="500"/>
        <w:rPr>
          <w:sz w:val="28"/>
        </w:rPr>
      </w:pPr>
      <w:r>
        <w:rPr>
          <w:sz w:val="28"/>
        </w:rPr>
        <w:t xml:space="preserve">Конституції багатьох держав містять положення, які слід віднести до визначення статусу </w:t>
      </w:r>
      <w:r>
        <w:rPr>
          <w:i/>
          <w:sz w:val="28"/>
        </w:rPr>
        <w:t>інших, неполітичних за своїм характером гро</w:t>
      </w:r>
      <w:r>
        <w:rPr>
          <w:i/>
          <w:sz w:val="28"/>
        </w:rPr>
        <w:softHyphen/>
        <w:t>мадських об'єднань,</w:t>
      </w:r>
      <w:r>
        <w:rPr>
          <w:sz w:val="28"/>
        </w:rPr>
        <w:t xml:space="preserve"> зокрема професійних спілок. Найчастіше йдеться про право на об'єднання у профспілки. Проте в деяких країнах в основ</w:t>
      </w:r>
      <w:r>
        <w:rPr>
          <w:sz w:val="28"/>
        </w:rPr>
        <w:softHyphen/>
        <w:t>них законах викладені певні засади організації та діяльності профспілок Іноді в конституціях коротко згадуються асоціації підприємців та інші об'єднання. У цілому ж обсяг конституційної регламентації згаданих еле</w:t>
      </w:r>
      <w:r>
        <w:rPr>
          <w:sz w:val="28"/>
        </w:rPr>
        <w:softHyphen/>
        <w:t>ментів політичної системи обмежений. Це об'єктивно відповідає предме</w:t>
      </w:r>
      <w:r>
        <w:rPr>
          <w:sz w:val="28"/>
        </w:rPr>
        <w:softHyphen/>
        <w:t>ту конституційно-правового регулювання.</w:t>
      </w:r>
    </w:p>
    <w:p w:rsidR="007B7583" w:rsidRDefault="007B7583">
      <w:pPr>
        <w:ind w:firstLine="500"/>
        <w:rPr>
          <w:sz w:val="28"/>
        </w:rPr>
      </w:pPr>
      <w:bookmarkStart w:id="0" w:name="_GoBack"/>
      <w:bookmarkEnd w:id="0"/>
    </w:p>
    <w:sectPr w:rsidR="007B75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EA7"/>
    <w:rsid w:val="00750587"/>
    <w:rsid w:val="007B7583"/>
    <w:rsid w:val="00B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6DF08-E7F7-4CA7-B576-09CA0ABA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280" w:lineRule="auto"/>
      <w:ind w:firstLine="560"/>
      <w:jc w:val="both"/>
    </w:pPr>
    <w:rPr>
      <w:snapToGrid w:val="0"/>
      <w:lang w:val="uk-UA"/>
    </w:rPr>
  </w:style>
  <w:style w:type="paragraph" w:customStyle="1" w:styleId="FR4">
    <w:name w:val="FR4"/>
    <w:pPr>
      <w:widowControl w:val="0"/>
      <w:spacing w:before="160"/>
      <w:jc w:val="right"/>
    </w:pPr>
    <w:rPr>
      <w:rFonts w:ascii="Arial" w:hAnsi="Arial"/>
      <w:b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Основний закон і політична система суспільства</vt:lpstr>
    </vt:vector>
  </TitlesOfParts>
  <Manager>Право. Міжнародні відносини</Manager>
  <Company> Право. Міжнародні відносини</Company>
  <LinksUpToDate>false</LinksUpToDate>
  <CharactersWithSpaces>14956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Основний закон і політична система суспільства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dcterms:created xsi:type="dcterms:W3CDTF">2014-04-08T19:13:00Z</dcterms:created>
  <dcterms:modified xsi:type="dcterms:W3CDTF">2014-04-08T19:13:00Z</dcterms:modified>
  <cp:category>Право. Міжнародні відносини</cp:category>
</cp:coreProperties>
</file>