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2C" w:rsidRDefault="008147E7">
      <w:pPr>
        <w:jc w:val="center"/>
      </w:pPr>
      <w:r>
        <w:rPr>
          <w:b/>
          <w:sz w:val="28"/>
        </w:rPr>
        <w:t>Метод інформаційного контролю в системі ОМС територіального рівня</w:t>
      </w:r>
    </w:p>
    <w:p w:rsidR="0036502C" w:rsidRDefault="008147E7">
      <w:pPr>
        <w:pStyle w:val="a4"/>
        <w:ind w:firstLine="567"/>
      </w:pPr>
      <w:r>
        <w:t>Специфіка сучасного реформування системи охорони здоров'я в Росії на базі медичного страхування полягає в історично вдалому сполученні закономірних реформ охорони здоров</w:t>
      </w:r>
      <w:r>
        <w:rPr>
          <w:lang w:val="ru-RU"/>
        </w:rPr>
        <w:t>’</w:t>
      </w:r>
      <w:r>
        <w:t>я з активною фазою науково-технічного прогресу, що охоплює поряд із промисловістю і медицину.</w:t>
      </w:r>
    </w:p>
    <w:p w:rsidR="0036502C" w:rsidRDefault="008147E7">
      <w:pPr>
        <w:pStyle w:val="a4"/>
        <w:ind w:firstLine="567"/>
      </w:pPr>
      <w:r>
        <w:t>Однієї з раціональних форм по оптимальному інтегруванню лікувально-профілактичних заснувань (ЛПЗ) із системою обов'язкового медичного страхування є впровадження, використання і розвиток інформаційних технологій на базі застосування персональних комп'ютерів.</w:t>
      </w:r>
    </w:p>
    <w:p w:rsidR="0036502C" w:rsidRDefault="008147E7">
      <w:pPr>
        <w:pStyle w:val="a4"/>
        <w:ind w:firstLine="567"/>
      </w:pPr>
      <w:r>
        <w:t>Інформаційні системи, що використовують у своїй основі високий ступінь формалізації, закономірно визначають тим самим відповідну високий ступінь виробничої дисципліни і порядку, а так само розумного ступеня формалізації медичної діяльності.</w:t>
      </w:r>
    </w:p>
    <w:p w:rsidR="0036502C" w:rsidRDefault="008147E7">
      <w:pPr>
        <w:pStyle w:val="a5"/>
      </w:pPr>
      <w:r>
        <w:t>Однієї з задач забезпечення функціонування системи ОМС у єдиному інформаційному полі є інформаційна взаємодія суб'єктів системи ОМС між собою і зацікавленими організаціями.</w:t>
      </w:r>
    </w:p>
    <w:p w:rsidR="0036502C" w:rsidRDefault="008147E7">
      <w:pPr>
        <w:pStyle w:val="a5"/>
      </w:pPr>
      <w:r>
        <w:t>Проблема рішення задачі інформаційної взаємодії обумовлена з однієї сторони різними формами власності суб'єктів системи ОМС. Тому що здебільшого лікувально-профілактичні заснування, що функціонують у системі медичного страхування, територіальні фонди ОМС є суб'єктами з державною формою власності. У той же час страхові медичні організації (СМО) і ряд підприємств-страховиків відносяться до недержавних структур.</w:t>
      </w:r>
    </w:p>
    <w:p w:rsidR="0036502C" w:rsidRDefault="008147E7">
      <w:pPr>
        <w:pStyle w:val="2"/>
      </w:pPr>
      <w:r>
        <w:t>З іншого боку, відповідно до Закону РФ “Про авторське право і суміжні права” бази даних (БД), одержувані й оброблювані за допомогою електронно-обчислювальної машини, є власністю і передача інформації, відображеної в цих базах даних, відповідно до закону повинна оформлятися як передача майнових прав.</w:t>
      </w:r>
    </w:p>
    <w:p w:rsidR="0036502C" w:rsidRDefault="008147E7">
      <w:pPr>
        <w:pStyle w:val="3"/>
      </w:pPr>
      <w:r>
        <w:t>У системі відомчого підпорядкування, у структурі заснувань з державною формою власності питання інформаційної взаємодії і доступу до інформації, зокрема БД, традиційно забезпечується адміністративними методами керування. При взаємодії структур з різними формами власності, інформаційний обмін, а тим більше доступ до БД, повинний здійснюватися в рамках договірних відносин, що не завжди розв'язно, у зв'язку з потенційною можливістю використання отриманої інформації всупереч інтересам передавального.</w:t>
      </w:r>
    </w:p>
    <w:p w:rsidR="0036502C" w:rsidRDefault="008147E7">
      <w:pPr>
        <w:pStyle w:val="3"/>
      </w:pPr>
      <w:r>
        <w:t xml:space="preserve">Зокрема, елементи конкурентної боротьби між страховими медичними компаніями, змушують їхній посібник обмежувати доступ до інформації як по застрахованих контингентах, так і за даними на пролікованих клієнтів, навіть незважаючи на те, що ця інформація надходить з лікувально-профілактичних заснувань і власниками таких БД є саме ЛПЗ. </w:t>
      </w:r>
    </w:p>
    <w:p w:rsidR="0036502C" w:rsidRDefault="008147E7">
      <w:pPr>
        <w:pStyle w:val="3"/>
      </w:pPr>
      <w:r>
        <w:t xml:space="preserve">Таким чином, суб'єкти ОМС, що нібито функціонують у єдиному інформаційному полі системи охорони здоров'я, юридично є “інформаційними заручниками” один одного. </w:t>
      </w:r>
    </w:p>
    <w:p w:rsidR="0036502C" w:rsidRDefault="008147E7">
      <w:pPr>
        <w:pStyle w:val="3"/>
      </w:pPr>
      <w:r>
        <w:t>Так наприклад, співробітникам територіального фонду ОМС практично неможливо скористатися інформацією БД застрахованих у СМО, зокрема, для установлення відповідності між фактичними даними і даними звітних форм.</w:t>
      </w:r>
    </w:p>
    <w:p w:rsidR="0036502C" w:rsidRDefault="008147E7">
      <w:pPr>
        <w:pStyle w:val="3"/>
      </w:pPr>
      <w:r>
        <w:t>Рішення даної проблеми в прикладному плані нам бачиться в розробці і застосуванні своєрідного методу інформаційного контролю в системі ОМС.</w:t>
      </w:r>
    </w:p>
    <w:p w:rsidR="0036502C" w:rsidRDefault="008147E7">
      <w:pPr>
        <w:pStyle w:val="3"/>
      </w:pPr>
      <w:r>
        <w:t>Суть методу полягає в зіставленні визначених параметрів, що характеризують діяльність суб'єктів системи ОМС і одержуваних їх різних щодо незалежних джерел.</w:t>
      </w:r>
    </w:p>
    <w:p w:rsidR="0036502C" w:rsidRDefault="008147E7">
      <w:pPr>
        <w:pStyle w:val="3"/>
      </w:pPr>
      <w:r>
        <w:t>Об'єктами авторського права, розповсюджуваного на бази даних у системі ОМС є лікувально-профілактичні заснування, органи охорони здоров'я, страхові медичні організації, територіальні фонди ОМС і їхні філії.</w:t>
      </w:r>
    </w:p>
    <w:p w:rsidR="0036502C" w:rsidRDefault="008147E7">
      <w:pPr>
        <w:pStyle w:val="3"/>
      </w:pPr>
      <w:r>
        <w:t>Основними базами даних інформаційного забезпечення системи ОМС у ЛПЗ є:</w:t>
      </w:r>
    </w:p>
    <w:p w:rsidR="0036502C" w:rsidRDefault="008147E7">
      <w:pPr>
        <w:numPr>
          <w:ilvl w:val="0"/>
          <w:numId w:val="4"/>
        </w:numPr>
      </w:pPr>
      <w:r>
        <w:t xml:space="preserve">БД прикріпленого населення. </w:t>
      </w:r>
    </w:p>
    <w:p w:rsidR="0036502C" w:rsidRDefault="008147E7">
      <w:pPr>
        <w:numPr>
          <w:ilvl w:val="0"/>
          <w:numId w:val="4"/>
        </w:numPr>
      </w:pPr>
      <w:r>
        <w:t xml:space="preserve">БД застрахованого населення. </w:t>
      </w:r>
    </w:p>
    <w:p w:rsidR="0036502C" w:rsidRDefault="008147E7">
      <w:pPr>
        <w:numPr>
          <w:ilvl w:val="0"/>
          <w:numId w:val="4"/>
        </w:numPr>
      </w:pPr>
      <w:r>
        <w:t xml:space="preserve">БД“Талонів амбулаторного пацієнта”. </w:t>
      </w:r>
    </w:p>
    <w:p w:rsidR="0036502C" w:rsidRDefault="008147E7">
      <w:pPr>
        <w:numPr>
          <w:ilvl w:val="0"/>
          <w:numId w:val="4"/>
        </w:numPr>
      </w:pPr>
      <w:r>
        <w:t xml:space="preserve">БД“Карт вибулого зі стаціонару”. </w:t>
      </w:r>
    </w:p>
    <w:p w:rsidR="0036502C" w:rsidRDefault="008147E7">
      <w:pPr>
        <w:numPr>
          <w:ilvl w:val="0"/>
          <w:numId w:val="4"/>
        </w:numPr>
      </w:pPr>
      <w:r>
        <w:t xml:space="preserve">БД реєстрів пролікованих по системі ОМС. </w:t>
      </w:r>
    </w:p>
    <w:p w:rsidR="0036502C" w:rsidRDefault="008147E7">
      <w:pPr>
        <w:ind w:firstLine="567"/>
      </w:pPr>
      <w:r>
        <w:t>Вид інформації, одержуваний за даними БД ЛПЗ:</w:t>
      </w:r>
    </w:p>
    <w:p w:rsidR="0036502C" w:rsidRDefault="008147E7">
      <w:pPr>
        <w:numPr>
          <w:ilvl w:val="0"/>
          <w:numId w:val="4"/>
        </w:numPr>
      </w:pPr>
      <w:r>
        <w:t xml:space="preserve">персоніфікований облік пацієнта (соціальний і медичний статус) - (Iл), </w:t>
      </w:r>
    </w:p>
    <w:p w:rsidR="0036502C" w:rsidRDefault="008147E7">
      <w:pPr>
        <w:numPr>
          <w:ilvl w:val="0"/>
          <w:numId w:val="4"/>
        </w:numPr>
      </w:pPr>
      <w:r>
        <w:t xml:space="preserve">персоніфікований облік застрахованого пацієнта (соціальний і медичний статус) - (Рл), </w:t>
      </w:r>
    </w:p>
    <w:p w:rsidR="0036502C" w:rsidRDefault="008147E7">
      <w:pPr>
        <w:numPr>
          <w:ilvl w:val="0"/>
          <w:numId w:val="4"/>
        </w:numPr>
      </w:pPr>
      <w:r>
        <w:t>число пацієнтів (</w:t>
      </w:r>
      <w:r>
        <w:rPr>
          <w:rFonts w:ascii="Symbol" w:hAnsi="Symbol"/>
        </w:rPr>
        <w:t></w:t>
      </w:r>
      <w:r>
        <w:t xml:space="preserve">Iл), </w:t>
      </w:r>
    </w:p>
    <w:p w:rsidR="0036502C" w:rsidRDefault="008147E7">
      <w:pPr>
        <w:numPr>
          <w:ilvl w:val="0"/>
          <w:numId w:val="4"/>
        </w:numPr>
      </w:pPr>
      <w:r>
        <w:t>число застрахованих (</w:t>
      </w:r>
      <w:r>
        <w:rPr>
          <w:rFonts w:ascii="Symbol" w:hAnsi="Symbol"/>
        </w:rPr>
        <w:t></w:t>
      </w:r>
      <w:r>
        <w:t xml:space="preserve">Рл). </w:t>
      </w:r>
    </w:p>
    <w:p w:rsidR="0036502C" w:rsidRDefault="008147E7">
      <w:pPr>
        <w:ind w:firstLine="284"/>
      </w:pPr>
      <w:r>
        <w:t>Можливі аналітичні дані, одержувані по БД ЛПУ:</w:t>
      </w:r>
    </w:p>
    <w:p w:rsidR="0036502C" w:rsidRDefault="008147E7">
      <w:pPr>
        <w:numPr>
          <w:ilvl w:val="0"/>
          <w:numId w:val="1"/>
        </w:numPr>
        <w:tabs>
          <w:tab w:val="num" w:pos="720"/>
        </w:tabs>
        <w:outlineLvl w:val="0"/>
      </w:pPr>
      <w:r>
        <w:t xml:space="preserve">Етапний эпикриз на пацієнта. </w:t>
      </w:r>
    </w:p>
    <w:p w:rsidR="0036502C" w:rsidRDefault="008147E7">
      <w:pPr>
        <w:numPr>
          <w:ilvl w:val="0"/>
          <w:numId w:val="1"/>
        </w:numPr>
        <w:tabs>
          <w:tab w:val="num" w:pos="720"/>
        </w:tabs>
        <w:outlineLvl w:val="0"/>
      </w:pPr>
      <w:r>
        <w:t xml:space="preserve">Лікарський паспорт підприємства (території). </w:t>
      </w:r>
    </w:p>
    <w:p w:rsidR="0036502C" w:rsidRDefault="008147E7">
      <w:pPr>
        <w:numPr>
          <w:ilvl w:val="0"/>
          <w:numId w:val="1"/>
        </w:numPr>
        <w:tabs>
          <w:tab w:val="num" w:pos="720"/>
        </w:tabs>
        <w:jc w:val="both"/>
        <w:outlineLvl w:val="0"/>
      </w:pPr>
      <w:r>
        <w:t xml:space="preserve">Медико-статистичні й економічні дані обертаності, захворюваності і фінансових витрат по групах пацієнтів, територіям, підприємствам, страховим компаніям. </w:t>
      </w:r>
    </w:p>
    <w:p w:rsidR="0036502C" w:rsidRDefault="008147E7">
      <w:r>
        <w:t>Страхові медичні організації мають у своєму розпорядженні авторське право на наступні основні БД:</w:t>
      </w:r>
    </w:p>
    <w:p w:rsidR="0036502C" w:rsidRDefault="008147E7">
      <w:pPr>
        <w:numPr>
          <w:ilvl w:val="0"/>
          <w:numId w:val="4"/>
        </w:numPr>
      </w:pPr>
      <w:r>
        <w:t xml:space="preserve">БД підприємств по договорах страхування (Nc). </w:t>
      </w:r>
    </w:p>
    <w:p w:rsidR="0036502C" w:rsidRDefault="008147E7">
      <w:pPr>
        <w:numPr>
          <w:ilvl w:val="0"/>
          <w:numId w:val="4"/>
        </w:numPr>
      </w:pPr>
      <w:r>
        <w:t xml:space="preserve">БД застрахованих на підприємствах (Pc). </w:t>
      </w:r>
    </w:p>
    <w:p w:rsidR="0036502C" w:rsidRDefault="008147E7">
      <w:pPr>
        <w:numPr>
          <w:ilvl w:val="0"/>
          <w:numId w:val="4"/>
        </w:numPr>
      </w:pPr>
      <w:r>
        <w:t xml:space="preserve">БД застрахованого непрацюючого (територіального) населення (Рс-н). </w:t>
      </w:r>
    </w:p>
    <w:p w:rsidR="0036502C" w:rsidRDefault="008147E7">
      <w:pPr>
        <w:numPr>
          <w:ilvl w:val="0"/>
          <w:numId w:val="4"/>
        </w:numPr>
      </w:pPr>
      <w:r>
        <w:t xml:space="preserve">БД видачі й обліку полісів ОМС (Пс). </w:t>
      </w:r>
    </w:p>
    <w:p w:rsidR="0036502C" w:rsidRDefault="008147E7">
      <w:r>
        <w:t>Вид інформації, одержуваний за даними БД СМО:</w:t>
      </w:r>
    </w:p>
    <w:p w:rsidR="0036502C" w:rsidRDefault="008147E7">
      <w:pPr>
        <w:numPr>
          <w:ilvl w:val="0"/>
          <w:numId w:val="4"/>
        </w:numPr>
      </w:pPr>
      <w:r>
        <w:t xml:space="preserve">підприємство - страховик (Nc), </w:t>
      </w:r>
    </w:p>
    <w:p w:rsidR="0036502C" w:rsidRDefault="008147E7">
      <w:pPr>
        <w:numPr>
          <w:ilvl w:val="0"/>
          <w:numId w:val="4"/>
        </w:numPr>
      </w:pPr>
      <w:r>
        <w:t xml:space="preserve">застрахований (Рс), </w:t>
      </w:r>
    </w:p>
    <w:p w:rsidR="0036502C" w:rsidRDefault="008147E7">
      <w:r>
        <w:t>Можливі аналітичні дані, одержувані по БД СМО:</w:t>
      </w:r>
    </w:p>
    <w:p w:rsidR="0036502C" w:rsidRDefault="008147E7">
      <w:pPr>
        <w:numPr>
          <w:ilvl w:val="0"/>
          <w:numId w:val="2"/>
        </w:numPr>
        <w:tabs>
          <w:tab w:val="num" w:pos="720"/>
        </w:tabs>
        <w:outlineLvl w:val="0"/>
      </w:pPr>
      <w:r>
        <w:t>Число зареєстрованих страховиків (</w:t>
      </w:r>
      <w:r>
        <w:rPr>
          <w:rFonts w:ascii="Symbol" w:hAnsi="Symbol"/>
        </w:rPr>
        <w:t></w:t>
      </w:r>
      <w:r>
        <w:t xml:space="preserve">Nc), </w:t>
      </w:r>
    </w:p>
    <w:p w:rsidR="0036502C" w:rsidRDefault="008147E7">
      <w:pPr>
        <w:numPr>
          <w:ilvl w:val="0"/>
          <w:numId w:val="2"/>
        </w:numPr>
        <w:tabs>
          <w:tab w:val="num" w:pos="720"/>
        </w:tabs>
        <w:outlineLvl w:val="0"/>
      </w:pPr>
      <w:r>
        <w:t>Число застрахованих (</w:t>
      </w:r>
      <w:r>
        <w:rPr>
          <w:rFonts w:ascii="Symbol" w:hAnsi="Symbol"/>
        </w:rPr>
        <w:t></w:t>
      </w:r>
      <w:r>
        <w:t xml:space="preserve">Рс), </w:t>
      </w:r>
    </w:p>
    <w:p w:rsidR="0036502C" w:rsidRDefault="008147E7">
      <w:pPr>
        <w:numPr>
          <w:ilvl w:val="0"/>
          <w:numId w:val="2"/>
        </w:numPr>
        <w:tabs>
          <w:tab w:val="num" w:pos="720"/>
        </w:tabs>
        <w:outlineLvl w:val="0"/>
      </w:pPr>
      <w:r>
        <w:t>Середнє число застрахованих на один страховика (Ac=</w:t>
      </w:r>
      <w:r>
        <w:rPr>
          <w:rFonts w:ascii="Symbol" w:hAnsi="Symbol"/>
        </w:rPr>
        <w:t></w:t>
      </w:r>
      <w:r>
        <w:t>Рс/</w:t>
      </w:r>
      <w:r>
        <w:rPr>
          <w:rFonts w:ascii="Symbol" w:hAnsi="Symbol"/>
        </w:rPr>
        <w:t></w:t>
      </w:r>
      <w:r>
        <w:t xml:space="preserve">Nc). </w:t>
      </w:r>
    </w:p>
    <w:p w:rsidR="0036502C" w:rsidRDefault="008147E7">
      <w:r>
        <w:t>Територіальні фонди ОМС і їхні філії мають у своєму розпорядженні наступними основними БД:</w:t>
      </w:r>
    </w:p>
    <w:p w:rsidR="0036502C" w:rsidRDefault="008147E7">
      <w:pPr>
        <w:numPr>
          <w:ilvl w:val="0"/>
          <w:numId w:val="4"/>
        </w:numPr>
      </w:pPr>
      <w:r>
        <w:t xml:space="preserve">БД страховиків. </w:t>
      </w:r>
    </w:p>
    <w:p w:rsidR="0036502C" w:rsidRDefault="008147E7">
      <w:pPr>
        <w:numPr>
          <w:ilvl w:val="0"/>
          <w:numId w:val="4"/>
        </w:numPr>
      </w:pPr>
      <w:r>
        <w:t xml:space="preserve">БД платежів у фонд ОМС. </w:t>
      </w:r>
    </w:p>
    <w:p w:rsidR="0036502C" w:rsidRDefault="008147E7">
      <w:r>
        <w:t>Вид інформації, одержуваний за даними БД фондів ОМС:</w:t>
      </w:r>
    </w:p>
    <w:p w:rsidR="0036502C" w:rsidRDefault="008147E7">
      <w:pPr>
        <w:numPr>
          <w:ilvl w:val="0"/>
          <w:numId w:val="4"/>
        </w:numPr>
      </w:pPr>
      <w:r>
        <w:t xml:space="preserve">підприємство-платник (найменування) - (Nф), (по списках Смо-Nс) </w:t>
      </w:r>
    </w:p>
    <w:p w:rsidR="0036502C" w:rsidRDefault="008147E7">
      <w:pPr>
        <w:numPr>
          <w:ilvl w:val="0"/>
          <w:numId w:val="4"/>
        </w:numPr>
      </w:pPr>
      <w:r>
        <w:t xml:space="preserve">среднесписочная чисельність працівників - (Pф), </w:t>
      </w:r>
    </w:p>
    <w:p w:rsidR="0036502C" w:rsidRDefault="008147E7">
      <w:pPr>
        <w:numPr>
          <w:ilvl w:val="0"/>
          <w:numId w:val="4"/>
        </w:numPr>
      </w:pPr>
      <w:r>
        <w:t xml:space="preserve">сума внесків по підприємству(Sф), </w:t>
      </w:r>
    </w:p>
    <w:p w:rsidR="0036502C" w:rsidRDefault="008147E7">
      <w:pPr>
        <w:numPr>
          <w:ilvl w:val="0"/>
          <w:numId w:val="4"/>
        </w:numPr>
      </w:pPr>
      <w:r>
        <w:t>чисельність непрацюючих застрахованих (</w:t>
      </w:r>
      <w:r>
        <w:rPr>
          <w:rFonts w:ascii="Symbol" w:hAnsi="Symbol"/>
        </w:rPr>
        <w:t></w:t>
      </w:r>
      <w:r>
        <w:t xml:space="preserve">Рс-н), </w:t>
      </w:r>
    </w:p>
    <w:p w:rsidR="0036502C" w:rsidRDefault="008147E7">
      <w:pPr>
        <w:numPr>
          <w:ilvl w:val="0"/>
          <w:numId w:val="4"/>
        </w:numPr>
      </w:pPr>
      <w:r>
        <w:t>сума внесків по непрацюючим (</w:t>
      </w:r>
      <w:r>
        <w:rPr>
          <w:rFonts w:ascii="Symbol" w:hAnsi="Symbol"/>
        </w:rPr>
        <w:t></w:t>
      </w:r>
      <w:r>
        <w:t xml:space="preserve">Sф-н) </w:t>
      </w:r>
    </w:p>
    <w:p w:rsidR="0036502C" w:rsidRDefault="008147E7">
      <w:r>
        <w:t>Можливі аналітичні дані, одержувані по БД фондів ОМС: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Число зареєстрованих платників (</w:t>
      </w:r>
      <w:r>
        <w:rPr>
          <w:rFonts w:ascii="Symbol" w:hAnsi="Symbol"/>
        </w:rPr>
        <w:t></w:t>
      </w:r>
      <w:r>
        <w:t xml:space="preserve">Nф).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Сумарна середнясписочна чисельність працівників (</w:t>
      </w:r>
      <w:r>
        <w:rPr>
          <w:rFonts w:ascii="Symbol" w:hAnsi="Symbol"/>
        </w:rPr>
        <w:t></w:t>
      </w:r>
      <w:r>
        <w:t xml:space="preserve">Pф).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Підсумкова сума внесків по всім перемінним (</w:t>
      </w:r>
      <w:r>
        <w:rPr>
          <w:rFonts w:ascii="Symbol" w:hAnsi="Symbol"/>
        </w:rPr>
        <w:t></w:t>
      </w:r>
      <w:r>
        <w:t xml:space="preserve">Sф)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Середня сума внесків на один платника (Aф=</w:t>
      </w:r>
      <w:r>
        <w:rPr>
          <w:rFonts w:ascii="Symbol" w:hAnsi="Symbol"/>
        </w:rPr>
        <w:t></w:t>
      </w:r>
      <w:r>
        <w:t>Sф/</w:t>
      </w:r>
      <w:r>
        <w:rPr>
          <w:rFonts w:ascii="Symbol" w:hAnsi="Symbol"/>
        </w:rPr>
        <w:t></w:t>
      </w:r>
      <w:r>
        <w:t xml:space="preserve">Nф).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 xml:space="preserve">Середня сума внесків на один працівника по підприємстві-платнику (A1ф=S1ф/N1ф).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Середня сума внесків на один працівника по всій сумі підприємств-платників(A2ф=</w:t>
      </w:r>
      <w:r>
        <w:rPr>
          <w:rFonts w:ascii="Symbol" w:hAnsi="Symbol"/>
        </w:rPr>
        <w:t></w:t>
      </w:r>
      <w:r>
        <w:t>Sф/</w:t>
      </w:r>
      <w:r>
        <w:rPr>
          <w:rFonts w:ascii="Symbol" w:hAnsi="Symbol"/>
        </w:rPr>
        <w:t></w:t>
      </w:r>
      <w:r>
        <w:t xml:space="preserve">Pф). </w:t>
      </w:r>
    </w:p>
    <w:p w:rsidR="0036502C" w:rsidRDefault="008147E7">
      <w:pPr>
        <w:numPr>
          <w:ilvl w:val="0"/>
          <w:numId w:val="3"/>
        </w:numPr>
        <w:tabs>
          <w:tab w:val="num" w:pos="720"/>
        </w:tabs>
        <w:outlineLvl w:val="0"/>
      </w:pPr>
      <w:r>
        <w:t>Середня сума внесків на один непрацюючого (A2ф-н=</w:t>
      </w:r>
      <w:r>
        <w:rPr>
          <w:rFonts w:ascii="Symbol" w:hAnsi="Symbol"/>
        </w:rPr>
        <w:t></w:t>
      </w:r>
      <w:r>
        <w:t>Sф-н/</w:t>
      </w:r>
      <w:r>
        <w:rPr>
          <w:rFonts w:ascii="Symbol" w:hAnsi="Symbol"/>
        </w:rPr>
        <w:t></w:t>
      </w:r>
      <w:r>
        <w:t xml:space="preserve">Рс-н). </w:t>
      </w:r>
    </w:p>
    <w:p w:rsidR="0036502C" w:rsidRDefault="008147E7">
      <w:pPr>
        <w:pStyle w:val="3"/>
      </w:pPr>
      <w:r>
        <w:t xml:space="preserve">Дослідження показують, що одержання тих або інших статистичних і аналітичних даних у системі ОМС можливо з різних джерел. І ці отримані дані відповідним чином регулюються. Розкриття таких відповідностей може бути своєрідним механізмом контролю вірогідності в діяльності різних суб'єктів системи ОМС. </w:t>
      </w:r>
    </w:p>
    <w:p w:rsidR="0036502C" w:rsidRDefault="008147E7">
      <w:pPr>
        <w:pStyle w:val="3"/>
      </w:pPr>
      <w:r>
        <w:t>Так число облікового складу підприємства-страховика (інформація у фонді ОМС) відповідає числом застрахованих (первинна інформація в СМО). Число пролікованих у ЛПЗ (первинна інформація в лікувальному заснуванні) відповідним чином співвідноситься з числом застрахованих, по якому після відповідної експертизи СМО робить розрахунок з лікувальним заснуванням (база даних у СМО).</w:t>
      </w:r>
    </w:p>
    <w:p w:rsidR="0036502C" w:rsidRDefault="008147E7">
      <w:pPr>
        <w:pStyle w:val="3"/>
      </w:pPr>
      <w:r>
        <w:t>Інтегровано взаємодію основних інформаційних потоків і даних систем обов'язкового медичного страхування територіального рівня представлена на схемі 1.</w:t>
      </w:r>
      <w:r w:rsidR="00723B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5.25pt" fillcolor="window">
            <v:imagedata r:id="rId5" o:title=""/>
          </v:shape>
        </w:pict>
      </w:r>
      <w:r>
        <w:t xml:space="preserve"> </w:t>
      </w:r>
    </w:p>
    <w:p w:rsidR="0036502C" w:rsidRDefault="0036502C">
      <w:pPr>
        <w:jc w:val="center"/>
      </w:pPr>
    </w:p>
    <w:p w:rsidR="0036502C" w:rsidRDefault="008147E7">
      <w:pPr>
        <w:jc w:val="center"/>
      </w:pPr>
      <w:r>
        <w:t>Схема 1. Інформаційні потоки системи обов'язкового медичного страхування.</w:t>
      </w:r>
    </w:p>
    <w:p w:rsidR="0036502C" w:rsidRDefault="008147E7">
      <w:pPr>
        <w:pStyle w:val="a4"/>
      </w:pPr>
      <w:r>
        <w:t>Аналізуючи дану схему можна вивести деякі основні правила для суб'єктів ОМС територіального рівня, по яких може виробляється контроль руху інформації і відповідності даних, отриманих з різних джерел.</w:t>
      </w:r>
    </w:p>
    <w:p w:rsidR="0036502C" w:rsidRDefault="008147E7">
      <w:r>
        <w:rPr>
          <w:b/>
        </w:rPr>
        <w:t xml:space="preserve">Правило перше: </w:t>
      </w:r>
    </w:p>
    <w:p w:rsidR="0036502C" w:rsidRDefault="008147E7">
      <w:pPr>
        <w:pStyle w:val="a4"/>
      </w:pPr>
      <w:r>
        <w:t>Число середнйосписуваного  складу суб'єкта-платника страхових внесків у фонд ОМС дорівнює (або більше) числа застрахованих даного суб'єкта в СМО.</w:t>
      </w:r>
    </w:p>
    <w:p w:rsidR="0036502C" w:rsidRDefault="008147E7">
      <w:r>
        <w:rPr>
          <w:b/>
        </w:rPr>
        <w:t>Правило друге:</w:t>
      </w:r>
    </w:p>
    <w:p w:rsidR="0036502C" w:rsidRDefault="008147E7">
      <w:pPr>
        <w:pStyle w:val="a4"/>
      </w:pPr>
      <w:r>
        <w:t>Число пролікованих у ЛПЗ застрахованих суб'єкта-страховика, за яких зроблена оплата в СМО, дорівнює (або менше) числа застрахованих клієнтів, що звернулися в ЛПЗ і відносяться до суб'єкта-страховика даної території.</w:t>
      </w:r>
    </w:p>
    <w:p w:rsidR="0036502C" w:rsidRDefault="008147E7">
      <w:r>
        <w:rPr>
          <w:b/>
        </w:rPr>
        <w:t>Правило третє:</w:t>
      </w:r>
    </w:p>
    <w:p w:rsidR="0036502C" w:rsidRDefault="008147E7">
      <w:r>
        <w:t>Число застрахованих у СМО територіального рівня равно (або більше) числа пролікованих у ЛПЗ застрахованих цього ж територіального рівня.</w:t>
      </w:r>
    </w:p>
    <w:p w:rsidR="0036502C" w:rsidRDefault="008147E7">
      <w:pPr>
        <w:jc w:val="both"/>
      </w:pPr>
      <w:r>
        <w:t>Наявність первинної інформації (БД) на кожнім з рівнів системи ОМС забезпечує достовірний інформаційний контроль функціонування системи. Розкриття інформаційної невідповідності є об'єктивною передумовою для ухвалення управлінського рішення по оптимальному функціонуванню системи обов'язкового медичного страхування територіального рівня.</w:t>
      </w:r>
    </w:p>
    <w:p w:rsidR="0036502C" w:rsidRDefault="0036502C">
      <w:bookmarkStart w:id="0" w:name="_GoBack"/>
      <w:bookmarkEnd w:id="0"/>
    </w:p>
    <w:sectPr w:rsidR="0036502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7E7"/>
    <w:rsid w:val="0036502C"/>
    <w:rsid w:val="00723B39"/>
    <w:rsid w:val="008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B498FD-997C-42D1-B497-B7FC55EB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567"/>
      <w:jc w:val="both"/>
    </w:pPr>
  </w:style>
  <w:style w:type="paragraph" w:styleId="2">
    <w:name w:val="Body Text Indent 2"/>
    <w:basedOn w:val="a"/>
    <w:semiHidden/>
    <w:pPr>
      <w:ind w:right="851" w:firstLine="567"/>
      <w:jc w:val="both"/>
    </w:pPr>
  </w:style>
  <w:style w:type="paragraph" w:styleId="3">
    <w:name w:val="Body Text Indent 3"/>
    <w:basedOn w:val="a"/>
    <w:semiHidden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информационного контроля в системе ОМС территориального уровня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7653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информационного контроля в системе ОМС территориального уровня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2000-12-06T16:31:00Z</cp:lastPrinted>
  <dcterms:created xsi:type="dcterms:W3CDTF">2014-04-12T14:32:00Z</dcterms:created>
  <dcterms:modified xsi:type="dcterms:W3CDTF">2014-04-12T14:32:00Z</dcterms:modified>
  <cp:category>Медицина. Безпека життєдіяльності</cp:category>
</cp:coreProperties>
</file>