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B17" w:rsidRDefault="00B42B17" w:rsidP="00ED5F1F">
      <w:pPr>
        <w:jc w:val="center"/>
        <w:rPr>
          <w:rFonts w:ascii="Arial" w:eastAsia="Batang" w:hAnsi="Arial" w:cs="Arial"/>
          <w:sz w:val="22"/>
          <w:szCs w:val="22"/>
        </w:rPr>
      </w:pPr>
    </w:p>
    <w:p w:rsidR="00A3618A" w:rsidRPr="00DE0A94" w:rsidRDefault="00A3618A" w:rsidP="00ED5F1F">
      <w:pPr>
        <w:jc w:val="center"/>
        <w:rPr>
          <w:rFonts w:ascii="Arial" w:eastAsia="Batang" w:hAnsi="Arial" w:cs="Arial"/>
          <w:sz w:val="22"/>
          <w:szCs w:val="22"/>
        </w:rPr>
      </w:pPr>
      <w:r w:rsidRPr="00DE0A94">
        <w:rPr>
          <w:rFonts w:ascii="Arial" w:eastAsia="Batang" w:hAnsi="Arial" w:cs="Arial"/>
          <w:sz w:val="22"/>
          <w:szCs w:val="22"/>
        </w:rPr>
        <w:t>Федеральное агентство по образованию «Московский государственный университет экономики, статистики и информатики (МЭСИ)»</w:t>
      </w:r>
    </w:p>
    <w:p w:rsidR="00A3618A" w:rsidRPr="00DE0A94" w:rsidRDefault="00A3618A" w:rsidP="00ED5F1F">
      <w:pPr>
        <w:jc w:val="center"/>
        <w:rPr>
          <w:rFonts w:ascii="Arial" w:eastAsia="Batang" w:hAnsi="Arial" w:cs="Arial"/>
          <w:sz w:val="22"/>
          <w:szCs w:val="22"/>
        </w:rPr>
      </w:pPr>
      <w:r w:rsidRPr="00DE0A94">
        <w:rPr>
          <w:rFonts w:ascii="Arial" w:eastAsia="Batang" w:hAnsi="Arial" w:cs="Arial"/>
          <w:sz w:val="22"/>
          <w:szCs w:val="22"/>
        </w:rPr>
        <w:t xml:space="preserve">Нижегородский колледж экономики, статистики и информатики – филиал государственного образовательного учреждения высшего профессионального образования «Московского государственного университета экономики, статистики и информатики (МЭСИ)» </w:t>
      </w:r>
    </w:p>
    <w:p w:rsidR="00A3618A" w:rsidRPr="00DE0A94" w:rsidRDefault="00A3618A" w:rsidP="00ED5F1F">
      <w:pPr>
        <w:jc w:val="center"/>
        <w:rPr>
          <w:rFonts w:ascii="Arial" w:eastAsia="Batang" w:hAnsi="Arial" w:cs="Arial"/>
          <w:sz w:val="22"/>
          <w:szCs w:val="22"/>
        </w:rPr>
      </w:pPr>
      <w:r w:rsidRPr="00DE0A94">
        <w:rPr>
          <w:rFonts w:ascii="Arial" w:eastAsia="Batang" w:hAnsi="Arial" w:cs="Arial"/>
          <w:sz w:val="22"/>
          <w:szCs w:val="22"/>
        </w:rPr>
        <w:t>(Нижегородский филиал МЭСИ)</w:t>
      </w:r>
    </w:p>
    <w:p w:rsidR="00A3618A" w:rsidRPr="00DE0A94" w:rsidRDefault="00A3618A" w:rsidP="00ED5F1F">
      <w:pPr>
        <w:spacing w:line="360" w:lineRule="auto"/>
        <w:ind w:firstLine="567"/>
        <w:jc w:val="both"/>
        <w:rPr>
          <w:rFonts w:ascii="Arial" w:hAnsi="Arial" w:cs="Arial"/>
          <w:b/>
          <w:bCs/>
          <w:color w:val="000000"/>
        </w:rPr>
      </w:pPr>
    </w:p>
    <w:p w:rsidR="00A3618A" w:rsidRPr="00DE0A94" w:rsidRDefault="00A3618A" w:rsidP="00ED5F1F">
      <w:pPr>
        <w:spacing w:line="360" w:lineRule="auto"/>
        <w:ind w:firstLine="567"/>
        <w:jc w:val="both"/>
        <w:rPr>
          <w:rFonts w:ascii="Arial" w:hAnsi="Arial" w:cs="Arial"/>
          <w:b/>
          <w:bCs/>
          <w:color w:val="000000"/>
        </w:rPr>
      </w:pPr>
    </w:p>
    <w:p w:rsidR="00A3618A" w:rsidRPr="00DE0A94" w:rsidRDefault="00A3618A" w:rsidP="00ED5F1F">
      <w:pPr>
        <w:spacing w:line="360" w:lineRule="auto"/>
        <w:ind w:firstLine="567"/>
        <w:jc w:val="both"/>
        <w:rPr>
          <w:rFonts w:ascii="Arial" w:hAnsi="Arial" w:cs="Arial"/>
          <w:b/>
          <w:bCs/>
          <w:color w:val="000000"/>
        </w:rPr>
      </w:pPr>
    </w:p>
    <w:p w:rsidR="00A3618A" w:rsidRPr="00DE0A94" w:rsidRDefault="00A3618A" w:rsidP="00ED5F1F">
      <w:pPr>
        <w:spacing w:line="360" w:lineRule="auto"/>
        <w:ind w:firstLine="567"/>
        <w:jc w:val="both"/>
        <w:rPr>
          <w:rFonts w:ascii="Arial" w:hAnsi="Arial" w:cs="Arial"/>
          <w:b/>
          <w:bCs/>
          <w:color w:val="000000"/>
        </w:rPr>
      </w:pPr>
    </w:p>
    <w:p w:rsidR="00A3618A" w:rsidRPr="00DE0A94" w:rsidRDefault="00A3618A" w:rsidP="00ED5F1F">
      <w:pPr>
        <w:spacing w:line="360" w:lineRule="auto"/>
        <w:ind w:firstLine="567"/>
        <w:jc w:val="center"/>
        <w:rPr>
          <w:rFonts w:ascii="Arial" w:hAnsi="Arial" w:cs="Arial"/>
          <w:b/>
          <w:bCs/>
          <w:color w:val="000000"/>
        </w:rPr>
      </w:pPr>
    </w:p>
    <w:p w:rsidR="00A3618A" w:rsidRPr="00DE0A94" w:rsidRDefault="00A3618A" w:rsidP="00ED5F1F">
      <w:pPr>
        <w:spacing w:line="360" w:lineRule="auto"/>
        <w:ind w:firstLine="567"/>
        <w:jc w:val="center"/>
        <w:rPr>
          <w:rFonts w:ascii="Arial" w:hAnsi="Arial" w:cs="Arial"/>
          <w:b/>
          <w:bCs/>
          <w:color w:val="000000"/>
          <w:sz w:val="36"/>
          <w:szCs w:val="36"/>
        </w:rPr>
      </w:pPr>
      <w:r w:rsidRPr="00DE0A94">
        <w:rPr>
          <w:rFonts w:ascii="Arial" w:hAnsi="Arial" w:cs="Arial"/>
          <w:b/>
          <w:bCs/>
          <w:color w:val="000000"/>
          <w:sz w:val="36"/>
          <w:szCs w:val="36"/>
        </w:rPr>
        <w:t>КОНТРОЛЬНАЯ РАБОТА</w:t>
      </w:r>
    </w:p>
    <w:p w:rsidR="00A3618A" w:rsidRPr="00DE0A94" w:rsidRDefault="00A3618A" w:rsidP="00ED5F1F">
      <w:pPr>
        <w:jc w:val="center"/>
        <w:rPr>
          <w:rFonts w:ascii="Arial" w:hAnsi="Arial" w:cs="Arial"/>
        </w:rPr>
      </w:pPr>
      <w:r w:rsidRPr="00DE0A94">
        <w:rPr>
          <w:rFonts w:ascii="Arial" w:hAnsi="Arial" w:cs="Arial"/>
          <w:b/>
          <w:bCs/>
          <w:color w:val="000000"/>
        </w:rPr>
        <w:t>ПО ДИСЦИПЛИНЕ «</w:t>
      </w:r>
      <w:r>
        <w:rPr>
          <w:rFonts w:ascii="Arial" w:hAnsi="Arial" w:cs="Arial"/>
          <w:b/>
          <w:bCs/>
          <w:color w:val="000000"/>
          <w:sz w:val="28"/>
          <w:szCs w:val="28"/>
        </w:rPr>
        <w:t>Финансы предприятия</w:t>
      </w:r>
      <w:r w:rsidRPr="00DE0A94">
        <w:rPr>
          <w:rFonts w:ascii="Arial" w:hAnsi="Arial" w:cs="Arial"/>
          <w:b/>
          <w:bCs/>
          <w:color w:val="000000"/>
        </w:rPr>
        <w:t>»</w:t>
      </w:r>
    </w:p>
    <w:p w:rsidR="00A3618A" w:rsidRDefault="00A3618A" w:rsidP="00ED5F1F">
      <w:pPr>
        <w:jc w:val="center"/>
        <w:rPr>
          <w:rFonts w:ascii="Arial" w:hAnsi="Arial" w:cs="Arial"/>
          <w:b/>
          <w:sz w:val="28"/>
          <w:szCs w:val="28"/>
        </w:rPr>
      </w:pPr>
    </w:p>
    <w:p w:rsidR="00A3618A" w:rsidRPr="00DE0A94" w:rsidRDefault="00A3618A" w:rsidP="00ED5F1F">
      <w:pPr>
        <w:spacing w:line="360" w:lineRule="auto"/>
        <w:jc w:val="center"/>
        <w:rPr>
          <w:rFonts w:ascii="Arial" w:hAnsi="Arial" w:cs="Arial"/>
          <w:b/>
          <w:sz w:val="28"/>
          <w:szCs w:val="28"/>
        </w:rPr>
      </w:pPr>
    </w:p>
    <w:p w:rsidR="00A3618A" w:rsidRPr="00DE0A94" w:rsidRDefault="00A3618A" w:rsidP="00ED5F1F">
      <w:pPr>
        <w:spacing w:line="360" w:lineRule="auto"/>
        <w:jc w:val="center"/>
        <w:rPr>
          <w:rFonts w:ascii="Arial" w:hAnsi="Arial" w:cs="Arial"/>
          <w:b/>
          <w:sz w:val="28"/>
          <w:szCs w:val="28"/>
        </w:rPr>
      </w:pPr>
      <w:r w:rsidRPr="00DE0A94">
        <w:rPr>
          <w:rFonts w:ascii="Arial" w:hAnsi="Arial" w:cs="Arial"/>
          <w:b/>
          <w:sz w:val="28"/>
          <w:szCs w:val="28"/>
        </w:rPr>
        <w:t xml:space="preserve">На тему: </w:t>
      </w:r>
      <w:r w:rsidRPr="00ED5F1F">
        <w:rPr>
          <w:rFonts w:ascii="Arial" w:hAnsi="Arial" w:cs="Arial"/>
          <w:b/>
        </w:rPr>
        <w:t>Способы  начисления амортизации в налоговом и бухгалтерском учете</w:t>
      </w:r>
    </w:p>
    <w:p w:rsidR="00A3618A" w:rsidRPr="00DE0A94" w:rsidRDefault="00A3618A" w:rsidP="00ED5F1F">
      <w:pPr>
        <w:rPr>
          <w:rFonts w:ascii="Arial" w:hAnsi="Arial" w:cs="Arial"/>
          <w:b/>
          <w:sz w:val="28"/>
          <w:szCs w:val="28"/>
        </w:rPr>
      </w:pPr>
    </w:p>
    <w:p w:rsidR="00A3618A" w:rsidRDefault="00A3618A" w:rsidP="00ED5F1F"/>
    <w:p w:rsidR="00A3618A" w:rsidRDefault="00A3618A" w:rsidP="00ED5F1F"/>
    <w:p w:rsidR="00A3618A" w:rsidRDefault="00A3618A" w:rsidP="00ED5F1F"/>
    <w:p w:rsidR="00A3618A" w:rsidRDefault="00A3618A" w:rsidP="00ED5F1F"/>
    <w:p w:rsidR="00A3618A" w:rsidRPr="00CE2D05" w:rsidRDefault="00A3618A" w:rsidP="00ED5F1F"/>
    <w:p w:rsidR="00A3618A" w:rsidRDefault="00A3618A" w:rsidP="00ED5F1F"/>
    <w:p w:rsidR="00A3618A" w:rsidRDefault="00A3618A" w:rsidP="00ED5F1F">
      <w:pPr>
        <w:tabs>
          <w:tab w:val="left" w:pos="4140"/>
          <w:tab w:val="left" w:pos="6300"/>
        </w:tabs>
        <w:jc w:val="right"/>
        <w:rPr>
          <w:sz w:val="32"/>
          <w:szCs w:val="32"/>
        </w:rPr>
      </w:pPr>
      <w:r>
        <w:tab/>
      </w:r>
      <w:r>
        <w:rPr>
          <w:sz w:val="32"/>
          <w:szCs w:val="32"/>
        </w:rPr>
        <w:t xml:space="preserve">    </w:t>
      </w:r>
    </w:p>
    <w:tbl>
      <w:tblPr>
        <w:tblpPr w:leftFromText="180" w:rightFromText="180" w:vertAnchor="text" w:horzAnchor="page" w:tblpX="4798" w:tblpY="-6"/>
        <w:tblW w:w="0" w:type="auto"/>
        <w:tblLook w:val="01E0" w:firstRow="1" w:lastRow="1" w:firstColumn="1" w:lastColumn="1" w:noHBand="0" w:noVBand="0"/>
      </w:tblPr>
      <w:tblGrid>
        <w:gridCol w:w="2592"/>
        <w:gridCol w:w="4099"/>
      </w:tblGrid>
      <w:tr w:rsidR="00A3618A" w:rsidRPr="00DE0A94" w:rsidTr="00CD59A3">
        <w:tc>
          <w:tcPr>
            <w:tcW w:w="2592" w:type="dxa"/>
          </w:tcPr>
          <w:p w:rsidR="00A3618A" w:rsidRPr="00CD59A3" w:rsidRDefault="00A3618A" w:rsidP="00CD59A3">
            <w:pPr>
              <w:tabs>
                <w:tab w:val="left" w:pos="6300"/>
              </w:tabs>
              <w:rPr>
                <w:rFonts w:ascii="Arial" w:hAnsi="Arial" w:cs="Arial"/>
              </w:rPr>
            </w:pPr>
            <w:r w:rsidRPr="00CD59A3">
              <w:rPr>
                <w:rFonts w:ascii="Arial" w:hAnsi="Arial" w:cs="Arial"/>
              </w:rPr>
              <w:t>Работу выполнил:</w:t>
            </w:r>
          </w:p>
        </w:tc>
        <w:tc>
          <w:tcPr>
            <w:tcW w:w="4099" w:type="dxa"/>
          </w:tcPr>
          <w:p w:rsidR="00A3618A" w:rsidRPr="00CD59A3" w:rsidRDefault="00A3618A" w:rsidP="00CD59A3">
            <w:pPr>
              <w:tabs>
                <w:tab w:val="left" w:pos="6300"/>
              </w:tabs>
              <w:rPr>
                <w:rFonts w:ascii="Arial" w:hAnsi="Arial" w:cs="Arial"/>
              </w:rPr>
            </w:pPr>
          </w:p>
        </w:tc>
      </w:tr>
      <w:tr w:rsidR="00A3618A" w:rsidRPr="00DE0A94" w:rsidTr="00CD59A3">
        <w:tc>
          <w:tcPr>
            <w:tcW w:w="2592" w:type="dxa"/>
          </w:tcPr>
          <w:p w:rsidR="00A3618A" w:rsidRPr="00CD59A3" w:rsidRDefault="00A3618A" w:rsidP="00CD59A3">
            <w:pPr>
              <w:tabs>
                <w:tab w:val="left" w:pos="6300"/>
              </w:tabs>
              <w:rPr>
                <w:rFonts w:ascii="Arial" w:hAnsi="Arial" w:cs="Arial"/>
              </w:rPr>
            </w:pPr>
          </w:p>
          <w:p w:rsidR="00A3618A" w:rsidRPr="00CD59A3" w:rsidRDefault="00A3618A" w:rsidP="00CD59A3">
            <w:pPr>
              <w:tabs>
                <w:tab w:val="left" w:pos="6300"/>
              </w:tabs>
              <w:rPr>
                <w:rFonts w:ascii="Arial" w:hAnsi="Arial" w:cs="Arial"/>
              </w:rPr>
            </w:pPr>
            <w:r w:rsidRPr="00CD59A3">
              <w:rPr>
                <w:rFonts w:ascii="Arial" w:hAnsi="Arial" w:cs="Arial"/>
              </w:rPr>
              <w:t>Работу проверил:</w:t>
            </w:r>
          </w:p>
        </w:tc>
        <w:tc>
          <w:tcPr>
            <w:tcW w:w="4099" w:type="dxa"/>
          </w:tcPr>
          <w:p w:rsidR="00A3618A" w:rsidRPr="00CD59A3" w:rsidRDefault="00A3618A" w:rsidP="00CD59A3">
            <w:pPr>
              <w:tabs>
                <w:tab w:val="left" w:pos="6300"/>
              </w:tabs>
              <w:rPr>
                <w:rFonts w:ascii="Arial" w:hAnsi="Arial" w:cs="Arial"/>
              </w:rPr>
            </w:pPr>
          </w:p>
          <w:p w:rsidR="00A3618A" w:rsidRPr="00CD59A3" w:rsidRDefault="00A3618A" w:rsidP="00CD59A3">
            <w:pPr>
              <w:tabs>
                <w:tab w:val="left" w:pos="6300"/>
              </w:tabs>
              <w:rPr>
                <w:rFonts w:ascii="Arial" w:hAnsi="Arial" w:cs="Arial"/>
                <w:color w:val="FF0000"/>
              </w:rPr>
            </w:pPr>
          </w:p>
        </w:tc>
      </w:tr>
    </w:tbl>
    <w:p w:rsidR="00A3618A" w:rsidRDefault="00A3618A" w:rsidP="00ED5F1F">
      <w:pPr>
        <w:tabs>
          <w:tab w:val="left" w:pos="4140"/>
          <w:tab w:val="left" w:pos="6300"/>
        </w:tabs>
        <w:jc w:val="right"/>
        <w:rPr>
          <w:sz w:val="32"/>
          <w:szCs w:val="32"/>
        </w:rPr>
      </w:pPr>
    </w:p>
    <w:p w:rsidR="00A3618A" w:rsidRDefault="00A3618A" w:rsidP="00ED5F1F">
      <w:pPr>
        <w:tabs>
          <w:tab w:val="left" w:pos="4140"/>
          <w:tab w:val="left" w:pos="6300"/>
        </w:tabs>
        <w:jc w:val="right"/>
        <w:rPr>
          <w:sz w:val="32"/>
          <w:szCs w:val="32"/>
        </w:rPr>
      </w:pPr>
    </w:p>
    <w:p w:rsidR="00A3618A" w:rsidRPr="00012031" w:rsidRDefault="00A3618A" w:rsidP="00ED5F1F">
      <w:pPr>
        <w:tabs>
          <w:tab w:val="left" w:pos="4140"/>
          <w:tab w:val="left" w:pos="6300"/>
        </w:tabs>
        <w:jc w:val="right"/>
        <w:rPr>
          <w:sz w:val="32"/>
          <w:szCs w:val="32"/>
        </w:rPr>
      </w:pPr>
    </w:p>
    <w:p w:rsidR="00A3618A" w:rsidRPr="00012031" w:rsidRDefault="00A3618A" w:rsidP="00ED5F1F">
      <w:pPr>
        <w:tabs>
          <w:tab w:val="left" w:pos="6300"/>
        </w:tabs>
        <w:jc w:val="center"/>
        <w:rPr>
          <w:sz w:val="32"/>
          <w:szCs w:val="32"/>
        </w:rPr>
      </w:pPr>
      <w:r>
        <w:rPr>
          <w:sz w:val="32"/>
          <w:szCs w:val="32"/>
        </w:rPr>
        <w:t xml:space="preserve">                                                                           </w:t>
      </w:r>
    </w:p>
    <w:p w:rsidR="00A3618A" w:rsidRDefault="00A3618A" w:rsidP="00ED5F1F">
      <w:pPr>
        <w:tabs>
          <w:tab w:val="left" w:pos="6300"/>
        </w:tabs>
        <w:jc w:val="right"/>
        <w:rPr>
          <w:sz w:val="32"/>
          <w:szCs w:val="32"/>
        </w:rPr>
      </w:pPr>
    </w:p>
    <w:p w:rsidR="00A3618A" w:rsidRDefault="00A3618A" w:rsidP="00ED5F1F">
      <w:pPr>
        <w:tabs>
          <w:tab w:val="left" w:pos="6300"/>
        </w:tabs>
        <w:jc w:val="right"/>
        <w:rPr>
          <w:sz w:val="32"/>
          <w:szCs w:val="32"/>
        </w:rPr>
      </w:pPr>
    </w:p>
    <w:p w:rsidR="00A3618A" w:rsidRDefault="00A3618A" w:rsidP="00ED5F1F">
      <w:pPr>
        <w:tabs>
          <w:tab w:val="left" w:pos="6300"/>
        </w:tabs>
        <w:ind w:firstLine="4140"/>
        <w:rPr>
          <w:sz w:val="32"/>
          <w:szCs w:val="32"/>
        </w:rPr>
      </w:pPr>
      <w:r>
        <w:rPr>
          <w:sz w:val="32"/>
          <w:szCs w:val="32"/>
        </w:rPr>
        <w:t xml:space="preserve"> </w:t>
      </w:r>
      <w:r w:rsidRPr="00012031">
        <w:rPr>
          <w:sz w:val="32"/>
          <w:szCs w:val="32"/>
        </w:rPr>
        <w:t xml:space="preserve"> </w:t>
      </w:r>
    </w:p>
    <w:p w:rsidR="00A3618A" w:rsidRPr="00012031" w:rsidRDefault="00A3618A" w:rsidP="00ED5F1F">
      <w:pPr>
        <w:tabs>
          <w:tab w:val="left" w:pos="6300"/>
        </w:tabs>
        <w:ind w:left="6660"/>
        <w:rPr>
          <w:sz w:val="32"/>
          <w:szCs w:val="32"/>
        </w:rPr>
      </w:pPr>
    </w:p>
    <w:p w:rsidR="00A3618A" w:rsidRPr="00012031" w:rsidRDefault="00A3618A" w:rsidP="00ED5F1F">
      <w:pPr>
        <w:tabs>
          <w:tab w:val="left" w:pos="6300"/>
        </w:tabs>
      </w:pPr>
    </w:p>
    <w:p w:rsidR="00A3618A" w:rsidRDefault="00A3618A" w:rsidP="00ED5F1F">
      <w:pPr>
        <w:pStyle w:val="ConsNormal"/>
        <w:widowControl/>
        <w:tabs>
          <w:tab w:val="left" w:pos="6300"/>
        </w:tabs>
        <w:ind w:right="0" w:firstLine="0"/>
        <w:jc w:val="center"/>
      </w:pPr>
    </w:p>
    <w:p w:rsidR="00A3618A" w:rsidRDefault="00A3618A" w:rsidP="00ED5F1F">
      <w:pPr>
        <w:pStyle w:val="ConsNormal"/>
        <w:widowControl/>
        <w:tabs>
          <w:tab w:val="left" w:pos="4136"/>
          <w:tab w:val="left" w:pos="6300"/>
        </w:tabs>
        <w:ind w:right="0" w:firstLine="0"/>
      </w:pPr>
      <w:r>
        <w:tab/>
      </w:r>
    </w:p>
    <w:p w:rsidR="00A3618A" w:rsidRDefault="00A3618A" w:rsidP="00ED5F1F">
      <w:pPr>
        <w:pStyle w:val="ConsNormal"/>
        <w:widowControl/>
        <w:tabs>
          <w:tab w:val="left" w:pos="4136"/>
          <w:tab w:val="left" w:pos="6300"/>
        </w:tabs>
        <w:ind w:right="0" w:firstLine="0"/>
      </w:pPr>
    </w:p>
    <w:p w:rsidR="00A3618A" w:rsidRDefault="00A3618A" w:rsidP="00ED5F1F">
      <w:pPr>
        <w:pStyle w:val="ConsNormal"/>
        <w:widowControl/>
        <w:tabs>
          <w:tab w:val="left" w:pos="4136"/>
          <w:tab w:val="left" w:pos="6300"/>
        </w:tabs>
        <w:ind w:right="0" w:firstLine="0"/>
      </w:pPr>
    </w:p>
    <w:p w:rsidR="00A3618A" w:rsidRDefault="00A3618A" w:rsidP="00ED5F1F">
      <w:pPr>
        <w:pStyle w:val="ConsNormal"/>
        <w:widowControl/>
        <w:tabs>
          <w:tab w:val="left" w:pos="4136"/>
          <w:tab w:val="left" w:pos="6300"/>
        </w:tabs>
        <w:ind w:right="0" w:firstLine="0"/>
      </w:pPr>
    </w:p>
    <w:p w:rsidR="00A3618A" w:rsidRDefault="00A3618A" w:rsidP="00ED5F1F">
      <w:pPr>
        <w:pStyle w:val="ConsNormal"/>
        <w:widowControl/>
        <w:tabs>
          <w:tab w:val="left" w:pos="4136"/>
          <w:tab w:val="left" w:pos="6300"/>
        </w:tabs>
        <w:ind w:right="0" w:firstLine="0"/>
      </w:pPr>
    </w:p>
    <w:p w:rsidR="00A3618A" w:rsidRDefault="00A3618A" w:rsidP="00ED5F1F">
      <w:pPr>
        <w:pStyle w:val="ConsNormal"/>
        <w:widowControl/>
        <w:tabs>
          <w:tab w:val="left" w:pos="4136"/>
          <w:tab w:val="left" w:pos="6300"/>
        </w:tabs>
        <w:ind w:right="0" w:firstLine="0"/>
      </w:pPr>
    </w:p>
    <w:p w:rsidR="00A3618A" w:rsidRDefault="00A3618A" w:rsidP="00ED5F1F">
      <w:pPr>
        <w:pStyle w:val="ConsNormal"/>
        <w:widowControl/>
        <w:tabs>
          <w:tab w:val="left" w:pos="6300"/>
        </w:tabs>
        <w:ind w:right="0" w:firstLine="0"/>
        <w:jc w:val="center"/>
        <w:rPr>
          <w:rFonts w:ascii="Times New Roman" w:hAnsi="Times New Roman" w:cs="Times New Roman"/>
          <w:b/>
          <w:sz w:val="24"/>
          <w:szCs w:val="24"/>
        </w:rPr>
      </w:pPr>
    </w:p>
    <w:p w:rsidR="00A3618A" w:rsidRPr="00DE0A94" w:rsidRDefault="00A3618A" w:rsidP="00ED5F1F">
      <w:pPr>
        <w:tabs>
          <w:tab w:val="left" w:pos="6300"/>
        </w:tabs>
        <w:jc w:val="center"/>
        <w:rPr>
          <w:rFonts w:ascii="Arial" w:hAnsi="Arial" w:cs="Arial"/>
          <w:b/>
        </w:rPr>
      </w:pPr>
      <w:r w:rsidRPr="00DE0A94">
        <w:rPr>
          <w:rFonts w:ascii="Arial" w:hAnsi="Arial" w:cs="Arial"/>
          <w:b/>
        </w:rPr>
        <w:t>2010г.</w:t>
      </w:r>
    </w:p>
    <w:p w:rsidR="00A3618A" w:rsidRPr="00DE0A94" w:rsidRDefault="00A3618A" w:rsidP="00ED5F1F">
      <w:pPr>
        <w:spacing w:line="360" w:lineRule="auto"/>
        <w:ind w:firstLine="567"/>
        <w:jc w:val="center"/>
        <w:rPr>
          <w:rFonts w:ascii="Arial" w:hAnsi="Arial" w:cs="Arial"/>
          <w:b/>
          <w:bCs/>
          <w:color w:val="000000"/>
          <w:sz w:val="36"/>
          <w:szCs w:val="36"/>
        </w:rPr>
      </w:pPr>
      <w:r w:rsidRPr="00DE0A94">
        <w:rPr>
          <w:rFonts w:ascii="Arial" w:hAnsi="Arial" w:cs="Arial"/>
          <w:b/>
          <w:bCs/>
          <w:color w:val="000000"/>
          <w:sz w:val="36"/>
          <w:szCs w:val="36"/>
        </w:rPr>
        <w:t>Содержание</w:t>
      </w:r>
    </w:p>
    <w:tbl>
      <w:tblPr>
        <w:tblW w:w="9749" w:type="dxa"/>
        <w:tblLook w:val="00A0" w:firstRow="1" w:lastRow="0" w:firstColumn="1" w:lastColumn="0" w:noHBand="0" w:noVBand="0"/>
      </w:tblPr>
      <w:tblGrid>
        <w:gridCol w:w="8340"/>
        <w:gridCol w:w="1409"/>
      </w:tblGrid>
      <w:tr w:rsidR="00A3618A" w:rsidRPr="00202D40" w:rsidTr="00CD59A3">
        <w:trPr>
          <w:trHeight w:val="606"/>
        </w:trPr>
        <w:tc>
          <w:tcPr>
            <w:tcW w:w="8340" w:type="dxa"/>
            <w:vAlign w:val="center"/>
          </w:tcPr>
          <w:p w:rsidR="00A3618A" w:rsidRPr="00CD59A3" w:rsidRDefault="00A3618A" w:rsidP="00CD59A3">
            <w:pPr>
              <w:pStyle w:val="12"/>
              <w:jc w:val="both"/>
              <w:rPr>
                <w:rFonts w:ascii="Arial" w:hAnsi="Arial" w:cs="Arial"/>
                <w:sz w:val="24"/>
                <w:szCs w:val="24"/>
                <w:lang w:eastAsia="ru-RU"/>
              </w:rPr>
            </w:pPr>
            <w:r w:rsidRPr="00CD59A3">
              <w:rPr>
                <w:rFonts w:ascii="Arial" w:hAnsi="Arial" w:cs="Arial"/>
                <w:bCs/>
                <w:color w:val="000000"/>
                <w:sz w:val="24"/>
                <w:szCs w:val="24"/>
                <w:lang w:eastAsia="ru-RU"/>
              </w:rPr>
              <w:t xml:space="preserve">Глава </w:t>
            </w:r>
            <w:r w:rsidRPr="00CD59A3">
              <w:rPr>
                <w:rFonts w:ascii="Arial" w:hAnsi="Arial" w:cs="Arial"/>
                <w:bCs/>
                <w:color w:val="000000"/>
                <w:sz w:val="24"/>
                <w:szCs w:val="24"/>
                <w:lang w:val="en-US" w:eastAsia="ru-RU"/>
              </w:rPr>
              <w:t>I</w:t>
            </w:r>
            <w:r w:rsidRPr="00CD59A3">
              <w:rPr>
                <w:rFonts w:ascii="Arial" w:hAnsi="Arial" w:cs="Arial"/>
                <w:bCs/>
                <w:color w:val="000000"/>
                <w:sz w:val="24"/>
                <w:szCs w:val="24"/>
                <w:lang w:eastAsia="ru-RU"/>
              </w:rPr>
              <w:t xml:space="preserve"> Амортизация основных средств: понятие, порядок расчета</w:t>
            </w:r>
          </w:p>
        </w:tc>
        <w:tc>
          <w:tcPr>
            <w:tcW w:w="1409" w:type="dxa"/>
            <w:vAlign w:val="center"/>
          </w:tcPr>
          <w:p w:rsidR="00A3618A" w:rsidRPr="00CD59A3" w:rsidRDefault="00A3618A" w:rsidP="00CD59A3">
            <w:pPr>
              <w:jc w:val="right"/>
              <w:rPr>
                <w:rFonts w:ascii="Arial" w:hAnsi="Arial" w:cs="Arial"/>
                <w:bCs/>
                <w:color w:val="000000"/>
              </w:rPr>
            </w:pPr>
            <w:r w:rsidRPr="00CD59A3">
              <w:rPr>
                <w:rFonts w:ascii="Arial" w:hAnsi="Arial" w:cs="Arial"/>
                <w:bCs/>
                <w:color w:val="000000"/>
              </w:rPr>
              <w:t>3 стр.</w:t>
            </w:r>
          </w:p>
        </w:tc>
      </w:tr>
      <w:tr w:rsidR="00A3618A" w:rsidRPr="00202D40" w:rsidTr="00CD59A3">
        <w:trPr>
          <w:trHeight w:val="606"/>
        </w:trPr>
        <w:tc>
          <w:tcPr>
            <w:tcW w:w="8340" w:type="dxa"/>
            <w:vAlign w:val="center"/>
          </w:tcPr>
          <w:p w:rsidR="00A3618A" w:rsidRPr="00CD59A3" w:rsidRDefault="00A3618A" w:rsidP="00ED5F1F">
            <w:pPr>
              <w:pStyle w:val="12"/>
              <w:rPr>
                <w:rFonts w:ascii="Arial" w:hAnsi="Arial" w:cs="Arial"/>
                <w:bCs/>
                <w:color w:val="000000"/>
                <w:sz w:val="24"/>
                <w:szCs w:val="24"/>
                <w:lang w:eastAsia="ru-RU"/>
              </w:rPr>
            </w:pPr>
            <w:r w:rsidRPr="00CD59A3">
              <w:rPr>
                <w:rFonts w:ascii="Arial" w:hAnsi="Arial" w:cs="Arial"/>
                <w:bCs/>
                <w:color w:val="000000"/>
                <w:sz w:val="24"/>
                <w:szCs w:val="24"/>
                <w:lang w:eastAsia="ru-RU"/>
              </w:rPr>
              <w:t xml:space="preserve">Глава </w:t>
            </w:r>
            <w:r w:rsidRPr="00CD59A3">
              <w:rPr>
                <w:rFonts w:ascii="Arial" w:hAnsi="Arial" w:cs="Arial"/>
                <w:bCs/>
                <w:color w:val="000000"/>
                <w:sz w:val="24"/>
                <w:szCs w:val="24"/>
                <w:lang w:val="en-US" w:eastAsia="ru-RU"/>
              </w:rPr>
              <w:t>II</w:t>
            </w:r>
            <w:r w:rsidRPr="00CD59A3">
              <w:rPr>
                <w:rFonts w:ascii="Arial" w:hAnsi="Arial" w:cs="Arial"/>
                <w:sz w:val="24"/>
                <w:szCs w:val="24"/>
                <w:lang w:eastAsia="ru-RU"/>
              </w:rPr>
              <w:t xml:space="preserve"> Способы начисления амортизации в бухгалтерском учете</w:t>
            </w:r>
          </w:p>
        </w:tc>
        <w:tc>
          <w:tcPr>
            <w:tcW w:w="1409" w:type="dxa"/>
            <w:vAlign w:val="center"/>
          </w:tcPr>
          <w:p w:rsidR="00A3618A" w:rsidRPr="00CD59A3" w:rsidRDefault="00A3618A" w:rsidP="00CD59A3">
            <w:pPr>
              <w:jc w:val="right"/>
              <w:rPr>
                <w:rFonts w:ascii="Arial" w:hAnsi="Arial" w:cs="Arial"/>
                <w:bCs/>
                <w:color w:val="000000"/>
              </w:rPr>
            </w:pPr>
            <w:r w:rsidRPr="00CD59A3">
              <w:rPr>
                <w:rFonts w:ascii="Arial" w:hAnsi="Arial" w:cs="Arial"/>
                <w:bCs/>
                <w:color w:val="000000"/>
              </w:rPr>
              <w:t>6 стр.</w:t>
            </w:r>
          </w:p>
        </w:tc>
      </w:tr>
      <w:tr w:rsidR="00A3618A" w:rsidRPr="00202D40" w:rsidTr="00CD59A3">
        <w:trPr>
          <w:trHeight w:val="606"/>
        </w:trPr>
        <w:tc>
          <w:tcPr>
            <w:tcW w:w="8340" w:type="dxa"/>
            <w:vAlign w:val="center"/>
          </w:tcPr>
          <w:p w:rsidR="00A3618A" w:rsidRPr="00CD59A3" w:rsidRDefault="00A3618A" w:rsidP="00CD59A3">
            <w:pPr>
              <w:pStyle w:val="12"/>
              <w:ind w:left="1134" w:hanging="425"/>
              <w:rPr>
                <w:rFonts w:ascii="Arial" w:hAnsi="Arial" w:cs="Arial"/>
                <w:bCs/>
                <w:color w:val="000000"/>
                <w:sz w:val="24"/>
                <w:szCs w:val="24"/>
                <w:lang w:eastAsia="ru-RU"/>
              </w:rPr>
            </w:pPr>
            <w:r w:rsidRPr="00CD59A3">
              <w:rPr>
                <w:rFonts w:ascii="Arial" w:hAnsi="Arial" w:cs="Arial"/>
                <w:bCs/>
                <w:color w:val="000000"/>
                <w:sz w:val="24"/>
                <w:szCs w:val="24"/>
                <w:lang w:eastAsia="ru-RU"/>
              </w:rPr>
              <w:t>2.1 Линейный способ</w:t>
            </w:r>
          </w:p>
        </w:tc>
        <w:tc>
          <w:tcPr>
            <w:tcW w:w="1409" w:type="dxa"/>
            <w:vAlign w:val="center"/>
          </w:tcPr>
          <w:p w:rsidR="00A3618A" w:rsidRDefault="00A3618A" w:rsidP="00CD59A3">
            <w:pPr>
              <w:jc w:val="right"/>
            </w:pPr>
            <w:r w:rsidRPr="00CD59A3">
              <w:rPr>
                <w:rFonts w:ascii="Arial" w:hAnsi="Arial" w:cs="Arial"/>
                <w:bCs/>
                <w:color w:val="000000"/>
              </w:rPr>
              <w:t>7 стр.</w:t>
            </w:r>
          </w:p>
        </w:tc>
      </w:tr>
      <w:tr w:rsidR="00A3618A" w:rsidRPr="00202D40" w:rsidTr="00CD59A3">
        <w:trPr>
          <w:trHeight w:val="606"/>
        </w:trPr>
        <w:tc>
          <w:tcPr>
            <w:tcW w:w="8340" w:type="dxa"/>
            <w:vAlign w:val="center"/>
          </w:tcPr>
          <w:p w:rsidR="00A3618A" w:rsidRPr="00CD59A3" w:rsidRDefault="00A3618A" w:rsidP="00CD59A3">
            <w:pPr>
              <w:pStyle w:val="12"/>
              <w:ind w:left="1134" w:hanging="425"/>
              <w:rPr>
                <w:rFonts w:ascii="Arial" w:hAnsi="Arial" w:cs="Arial"/>
                <w:bCs/>
                <w:color w:val="000000"/>
                <w:sz w:val="24"/>
                <w:szCs w:val="24"/>
                <w:lang w:eastAsia="ru-RU"/>
              </w:rPr>
            </w:pPr>
            <w:r w:rsidRPr="00CD59A3">
              <w:rPr>
                <w:rFonts w:ascii="Arial" w:hAnsi="Arial" w:cs="Arial"/>
                <w:sz w:val="24"/>
                <w:szCs w:val="24"/>
              </w:rPr>
              <w:t>2.2 Способ уменьшаемого остатка</w:t>
            </w:r>
          </w:p>
        </w:tc>
        <w:tc>
          <w:tcPr>
            <w:tcW w:w="1409" w:type="dxa"/>
            <w:vAlign w:val="center"/>
          </w:tcPr>
          <w:p w:rsidR="00A3618A" w:rsidRDefault="00A3618A" w:rsidP="00CD59A3">
            <w:pPr>
              <w:jc w:val="right"/>
            </w:pPr>
            <w:r w:rsidRPr="00CD59A3">
              <w:rPr>
                <w:rFonts w:ascii="Arial" w:hAnsi="Arial" w:cs="Arial"/>
                <w:bCs/>
                <w:color w:val="000000"/>
              </w:rPr>
              <w:t>8 стр.</w:t>
            </w:r>
          </w:p>
        </w:tc>
      </w:tr>
      <w:tr w:rsidR="00A3618A" w:rsidRPr="00202D40" w:rsidTr="00CD59A3">
        <w:trPr>
          <w:trHeight w:val="978"/>
        </w:trPr>
        <w:tc>
          <w:tcPr>
            <w:tcW w:w="8340" w:type="dxa"/>
            <w:vAlign w:val="center"/>
          </w:tcPr>
          <w:p w:rsidR="00A3618A" w:rsidRPr="00CD59A3" w:rsidRDefault="00A3618A" w:rsidP="00CD59A3">
            <w:pPr>
              <w:pStyle w:val="12"/>
              <w:ind w:left="1134" w:hanging="425"/>
              <w:rPr>
                <w:rFonts w:ascii="Arial" w:hAnsi="Arial" w:cs="Arial"/>
                <w:sz w:val="24"/>
                <w:szCs w:val="24"/>
                <w:lang w:eastAsia="ru-RU"/>
              </w:rPr>
            </w:pPr>
            <w:r w:rsidRPr="00CD59A3">
              <w:rPr>
                <w:rFonts w:ascii="Arial" w:hAnsi="Arial" w:cs="Arial"/>
                <w:sz w:val="24"/>
                <w:szCs w:val="24"/>
              </w:rPr>
              <w:t>2.3 Способ списания стоимости по сумме чисел лет срока полезного использования</w:t>
            </w:r>
          </w:p>
        </w:tc>
        <w:tc>
          <w:tcPr>
            <w:tcW w:w="1409" w:type="dxa"/>
            <w:vAlign w:val="center"/>
          </w:tcPr>
          <w:p w:rsidR="00A3618A" w:rsidRDefault="00A3618A" w:rsidP="00CD59A3">
            <w:pPr>
              <w:jc w:val="right"/>
            </w:pPr>
            <w:r w:rsidRPr="00CD59A3">
              <w:rPr>
                <w:rFonts w:ascii="Arial" w:hAnsi="Arial" w:cs="Arial"/>
                <w:bCs/>
                <w:color w:val="000000"/>
              </w:rPr>
              <w:t>9 стр.</w:t>
            </w:r>
          </w:p>
        </w:tc>
      </w:tr>
      <w:tr w:rsidR="00A3618A" w:rsidRPr="00202D40" w:rsidTr="00CD59A3">
        <w:trPr>
          <w:trHeight w:val="836"/>
        </w:trPr>
        <w:tc>
          <w:tcPr>
            <w:tcW w:w="8340" w:type="dxa"/>
            <w:vAlign w:val="center"/>
          </w:tcPr>
          <w:p w:rsidR="00A3618A" w:rsidRPr="00CD59A3" w:rsidRDefault="00A3618A" w:rsidP="00CD59A3">
            <w:pPr>
              <w:pStyle w:val="12"/>
              <w:ind w:left="1134" w:hanging="425"/>
              <w:rPr>
                <w:rFonts w:ascii="Arial" w:hAnsi="Arial" w:cs="Arial"/>
                <w:sz w:val="24"/>
                <w:szCs w:val="24"/>
                <w:lang w:eastAsia="ru-RU"/>
              </w:rPr>
            </w:pPr>
            <w:r w:rsidRPr="00CD59A3">
              <w:rPr>
                <w:rFonts w:ascii="Arial" w:hAnsi="Arial" w:cs="Arial"/>
                <w:sz w:val="24"/>
                <w:szCs w:val="24"/>
              </w:rPr>
              <w:t>2.4 Способ списания стоимости пропорционально объему продукции (работ)</w:t>
            </w:r>
          </w:p>
        </w:tc>
        <w:tc>
          <w:tcPr>
            <w:tcW w:w="1409" w:type="dxa"/>
            <w:vAlign w:val="center"/>
          </w:tcPr>
          <w:p w:rsidR="00A3618A" w:rsidRDefault="00A3618A" w:rsidP="00CD59A3">
            <w:pPr>
              <w:jc w:val="right"/>
            </w:pPr>
            <w:r w:rsidRPr="00CD59A3">
              <w:rPr>
                <w:rFonts w:ascii="Arial" w:hAnsi="Arial" w:cs="Arial"/>
                <w:bCs/>
                <w:color w:val="000000"/>
              </w:rPr>
              <w:t>10стр.</w:t>
            </w:r>
          </w:p>
        </w:tc>
      </w:tr>
      <w:tr w:rsidR="00A3618A" w:rsidRPr="00202D40" w:rsidTr="00CD59A3">
        <w:trPr>
          <w:trHeight w:val="591"/>
        </w:trPr>
        <w:tc>
          <w:tcPr>
            <w:tcW w:w="8340" w:type="dxa"/>
            <w:vAlign w:val="center"/>
          </w:tcPr>
          <w:p w:rsidR="00A3618A" w:rsidRPr="00CD59A3" w:rsidRDefault="00A3618A" w:rsidP="00CD59A3">
            <w:pPr>
              <w:pStyle w:val="12"/>
              <w:jc w:val="both"/>
              <w:rPr>
                <w:rFonts w:ascii="Arial" w:hAnsi="Arial" w:cs="Arial"/>
                <w:bCs/>
                <w:color w:val="000000"/>
                <w:sz w:val="24"/>
                <w:szCs w:val="24"/>
                <w:lang w:eastAsia="ru-RU"/>
              </w:rPr>
            </w:pPr>
            <w:r w:rsidRPr="00CD59A3">
              <w:rPr>
                <w:rFonts w:ascii="Arial" w:hAnsi="Arial" w:cs="Arial"/>
                <w:bCs/>
                <w:color w:val="000000"/>
                <w:sz w:val="24"/>
                <w:szCs w:val="24"/>
                <w:lang w:eastAsia="ru-RU"/>
              </w:rPr>
              <w:t xml:space="preserve">Глава </w:t>
            </w:r>
            <w:r w:rsidRPr="00CD59A3">
              <w:rPr>
                <w:rFonts w:ascii="Arial" w:hAnsi="Arial" w:cs="Arial"/>
                <w:bCs/>
                <w:color w:val="000000"/>
                <w:sz w:val="24"/>
                <w:szCs w:val="24"/>
                <w:lang w:val="en-US" w:eastAsia="ru-RU"/>
              </w:rPr>
              <w:t>III</w:t>
            </w:r>
            <w:r w:rsidRPr="00CD59A3">
              <w:rPr>
                <w:rFonts w:ascii="Arial" w:hAnsi="Arial" w:cs="Arial"/>
                <w:bCs/>
                <w:color w:val="000000"/>
                <w:sz w:val="24"/>
                <w:szCs w:val="24"/>
                <w:lang w:eastAsia="ru-RU"/>
              </w:rPr>
              <w:t xml:space="preserve"> Способы </w:t>
            </w:r>
            <w:r w:rsidRPr="00CD59A3">
              <w:rPr>
                <w:rFonts w:ascii="Arial" w:hAnsi="Arial" w:cs="Arial"/>
                <w:sz w:val="24"/>
                <w:szCs w:val="24"/>
                <w:lang w:eastAsia="ru-RU"/>
              </w:rPr>
              <w:t>начисления амортизации в налоговом учете</w:t>
            </w:r>
          </w:p>
        </w:tc>
        <w:tc>
          <w:tcPr>
            <w:tcW w:w="1409" w:type="dxa"/>
            <w:vAlign w:val="center"/>
          </w:tcPr>
          <w:p w:rsidR="00A3618A" w:rsidRPr="00CD59A3" w:rsidRDefault="00A3618A" w:rsidP="00CD59A3">
            <w:pPr>
              <w:jc w:val="right"/>
              <w:rPr>
                <w:rFonts w:ascii="Arial" w:hAnsi="Arial" w:cs="Arial"/>
              </w:rPr>
            </w:pPr>
            <w:r w:rsidRPr="00CD59A3">
              <w:rPr>
                <w:rFonts w:ascii="Arial" w:hAnsi="Arial" w:cs="Arial"/>
                <w:bCs/>
                <w:color w:val="000000"/>
              </w:rPr>
              <w:t>11 стр.</w:t>
            </w:r>
          </w:p>
        </w:tc>
      </w:tr>
      <w:tr w:rsidR="00A3618A" w:rsidRPr="00202D40" w:rsidTr="00CD59A3">
        <w:trPr>
          <w:trHeight w:val="591"/>
        </w:trPr>
        <w:tc>
          <w:tcPr>
            <w:tcW w:w="8340" w:type="dxa"/>
            <w:vAlign w:val="center"/>
          </w:tcPr>
          <w:p w:rsidR="00A3618A" w:rsidRPr="00CD59A3" w:rsidRDefault="00A3618A" w:rsidP="00CD59A3">
            <w:pPr>
              <w:pStyle w:val="12"/>
              <w:ind w:left="709"/>
              <w:jc w:val="both"/>
              <w:rPr>
                <w:rFonts w:ascii="Arial" w:hAnsi="Arial" w:cs="Arial"/>
                <w:bCs/>
                <w:color w:val="000000"/>
                <w:sz w:val="24"/>
                <w:szCs w:val="24"/>
                <w:lang w:eastAsia="ru-RU"/>
              </w:rPr>
            </w:pPr>
            <w:r w:rsidRPr="00CD59A3">
              <w:rPr>
                <w:rFonts w:ascii="Arial" w:hAnsi="Arial" w:cs="Arial"/>
                <w:bCs/>
                <w:color w:val="000000"/>
                <w:sz w:val="24"/>
                <w:szCs w:val="24"/>
                <w:lang w:eastAsia="ru-RU"/>
              </w:rPr>
              <w:t>3.1 Линейный способ</w:t>
            </w:r>
          </w:p>
        </w:tc>
        <w:tc>
          <w:tcPr>
            <w:tcW w:w="1409" w:type="dxa"/>
            <w:vAlign w:val="center"/>
          </w:tcPr>
          <w:p w:rsidR="00A3618A" w:rsidRPr="00CD59A3" w:rsidRDefault="00A3618A" w:rsidP="00CD59A3">
            <w:pPr>
              <w:jc w:val="right"/>
              <w:rPr>
                <w:rFonts w:ascii="Arial" w:hAnsi="Arial" w:cs="Arial"/>
                <w:bCs/>
                <w:color w:val="000000"/>
              </w:rPr>
            </w:pPr>
            <w:r w:rsidRPr="00CD59A3">
              <w:rPr>
                <w:rFonts w:ascii="Arial" w:hAnsi="Arial" w:cs="Arial"/>
                <w:bCs/>
                <w:color w:val="000000"/>
              </w:rPr>
              <w:t>14 стр.</w:t>
            </w:r>
          </w:p>
        </w:tc>
      </w:tr>
      <w:tr w:rsidR="00A3618A" w:rsidRPr="00202D40" w:rsidTr="00CD59A3">
        <w:trPr>
          <w:trHeight w:val="591"/>
        </w:trPr>
        <w:tc>
          <w:tcPr>
            <w:tcW w:w="8340" w:type="dxa"/>
            <w:vAlign w:val="center"/>
          </w:tcPr>
          <w:p w:rsidR="00A3618A" w:rsidRPr="00CD59A3" w:rsidRDefault="00A3618A" w:rsidP="00CD59A3">
            <w:pPr>
              <w:pStyle w:val="12"/>
              <w:ind w:left="709"/>
              <w:jc w:val="both"/>
              <w:rPr>
                <w:rFonts w:ascii="Arial" w:hAnsi="Arial" w:cs="Arial"/>
                <w:bCs/>
                <w:color w:val="000000"/>
                <w:sz w:val="24"/>
                <w:szCs w:val="24"/>
                <w:lang w:eastAsia="ru-RU"/>
              </w:rPr>
            </w:pPr>
            <w:r w:rsidRPr="00CD59A3">
              <w:rPr>
                <w:rFonts w:ascii="Arial" w:hAnsi="Arial" w:cs="Arial"/>
                <w:bCs/>
                <w:color w:val="000000"/>
                <w:sz w:val="24"/>
                <w:szCs w:val="24"/>
                <w:lang w:eastAsia="ru-RU"/>
              </w:rPr>
              <w:t>3.2 Нелинейный способ</w:t>
            </w:r>
          </w:p>
        </w:tc>
        <w:tc>
          <w:tcPr>
            <w:tcW w:w="1409" w:type="dxa"/>
            <w:vAlign w:val="center"/>
          </w:tcPr>
          <w:p w:rsidR="00A3618A" w:rsidRPr="00CD59A3" w:rsidRDefault="00A3618A" w:rsidP="00CD59A3">
            <w:pPr>
              <w:jc w:val="right"/>
              <w:rPr>
                <w:rFonts w:ascii="Arial" w:hAnsi="Arial" w:cs="Arial"/>
                <w:bCs/>
                <w:color w:val="000000"/>
              </w:rPr>
            </w:pPr>
            <w:r w:rsidRPr="00CD59A3">
              <w:rPr>
                <w:rFonts w:ascii="Arial" w:hAnsi="Arial" w:cs="Arial"/>
                <w:bCs/>
                <w:color w:val="000000"/>
              </w:rPr>
              <w:t>14 стр.</w:t>
            </w:r>
          </w:p>
        </w:tc>
      </w:tr>
      <w:tr w:rsidR="00A3618A" w:rsidRPr="00202D40" w:rsidTr="00CD59A3">
        <w:trPr>
          <w:trHeight w:val="606"/>
        </w:trPr>
        <w:tc>
          <w:tcPr>
            <w:tcW w:w="8340" w:type="dxa"/>
            <w:vAlign w:val="center"/>
          </w:tcPr>
          <w:p w:rsidR="00A3618A" w:rsidRPr="00CD59A3" w:rsidRDefault="00A3618A" w:rsidP="00477030">
            <w:pPr>
              <w:rPr>
                <w:rFonts w:ascii="Arial" w:hAnsi="Arial" w:cs="Arial"/>
                <w:bCs/>
                <w:color w:val="000000"/>
              </w:rPr>
            </w:pPr>
            <w:r w:rsidRPr="00CD59A3">
              <w:rPr>
                <w:rFonts w:ascii="Arial" w:hAnsi="Arial" w:cs="Arial"/>
                <w:bCs/>
                <w:color w:val="000000"/>
              </w:rPr>
              <w:t>Список литературы</w:t>
            </w:r>
          </w:p>
        </w:tc>
        <w:tc>
          <w:tcPr>
            <w:tcW w:w="1409" w:type="dxa"/>
            <w:vAlign w:val="center"/>
          </w:tcPr>
          <w:p w:rsidR="00A3618A" w:rsidRPr="00CD59A3" w:rsidRDefault="00A3618A" w:rsidP="00CD59A3">
            <w:pPr>
              <w:jc w:val="right"/>
              <w:rPr>
                <w:rFonts w:ascii="Arial" w:hAnsi="Arial" w:cs="Arial"/>
              </w:rPr>
            </w:pPr>
            <w:r w:rsidRPr="00CD59A3">
              <w:rPr>
                <w:rFonts w:ascii="Arial" w:hAnsi="Arial" w:cs="Arial"/>
                <w:bCs/>
                <w:color w:val="000000"/>
              </w:rPr>
              <w:t>16 стр.</w:t>
            </w:r>
          </w:p>
        </w:tc>
      </w:tr>
    </w:tbl>
    <w:p w:rsidR="00A3618A" w:rsidRDefault="00A3618A"/>
    <w:p w:rsidR="00A3618A" w:rsidRPr="00ED5F1F" w:rsidRDefault="00A3618A" w:rsidP="00ED5F1F"/>
    <w:p w:rsidR="00A3618A" w:rsidRPr="00ED5F1F" w:rsidRDefault="00A3618A" w:rsidP="00ED5F1F"/>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Pr="00ED5F1F" w:rsidRDefault="00A3618A" w:rsidP="00ED5F1F">
      <w:pPr>
        <w:pStyle w:val="11"/>
      </w:pPr>
    </w:p>
    <w:p w:rsidR="00A3618A" w:rsidRDefault="00A3618A" w:rsidP="00ED5F1F">
      <w:pPr>
        <w:pStyle w:val="11"/>
      </w:pPr>
    </w:p>
    <w:p w:rsidR="00A3618A" w:rsidRPr="00ED5F1F" w:rsidRDefault="00A3618A" w:rsidP="00ED5F1F">
      <w:pPr>
        <w:pStyle w:val="11"/>
      </w:pPr>
    </w:p>
    <w:p w:rsidR="00A3618A" w:rsidRDefault="00A3618A" w:rsidP="007C65A9">
      <w:pPr>
        <w:spacing w:line="360" w:lineRule="auto"/>
        <w:jc w:val="center"/>
        <w:rPr>
          <w:rFonts w:ascii="Arial" w:hAnsi="Arial" w:cs="Arial"/>
          <w:b/>
          <w:bCs/>
          <w:color w:val="000000"/>
          <w:sz w:val="32"/>
          <w:szCs w:val="32"/>
        </w:rPr>
      </w:pPr>
      <w:r w:rsidRPr="00ED5F1F">
        <w:rPr>
          <w:rFonts w:ascii="Arial" w:hAnsi="Arial" w:cs="Arial"/>
          <w:b/>
          <w:bCs/>
          <w:color w:val="000000"/>
          <w:sz w:val="32"/>
          <w:szCs w:val="32"/>
        </w:rPr>
        <w:t xml:space="preserve">Глава </w:t>
      </w:r>
      <w:r w:rsidRPr="00ED5F1F">
        <w:rPr>
          <w:rFonts w:ascii="Arial" w:hAnsi="Arial" w:cs="Arial"/>
          <w:b/>
          <w:bCs/>
          <w:color w:val="000000"/>
          <w:sz w:val="32"/>
          <w:szCs w:val="32"/>
          <w:lang w:val="en-US"/>
        </w:rPr>
        <w:t>I</w:t>
      </w:r>
      <w:r w:rsidRPr="00ED5F1F">
        <w:rPr>
          <w:rFonts w:ascii="Arial" w:hAnsi="Arial" w:cs="Arial"/>
          <w:b/>
          <w:bCs/>
          <w:color w:val="000000"/>
          <w:sz w:val="32"/>
          <w:szCs w:val="32"/>
        </w:rPr>
        <w:t xml:space="preserve"> Амортизация основных средств: понятие, порядок расчета</w:t>
      </w:r>
    </w:p>
    <w:p w:rsidR="00A3618A" w:rsidRDefault="00A3618A" w:rsidP="007C65A9">
      <w:pPr>
        <w:pStyle w:val="11"/>
        <w:rPr>
          <w:rFonts w:ascii="BookAntiqua-BoldItalic" w:hAnsi="BookAntiqua-BoldItalic" w:cs="BookAntiqua-BoldItalic"/>
          <w:b/>
          <w:bCs/>
          <w:i/>
          <w:iCs/>
          <w:lang w:eastAsia="en-US"/>
        </w:rPr>
      </w:pPr>
      <w:r>
        <w:rPr>
          <w:lang w:eastAsia="en-US"/>
        </w:rPr>
        <w:t>Стоимость основных фондов постепенно уменьшается в связи с физическим и моральным износом. Поэтому особое внимание следует уделить амортизации основных средств.</w:t>
      </w:r>
    </w:p>
    <w:p w:rsidR="00A3618A" w:rsidRPr="007C65A9" w:rsidRDefault="00A3618A" w:rsidP="007C65A9">
      <w:pPr>
        <w:pStyle w:val="11"/>
        <w:rPr>
          <w:rFonts w:eastAsia="Times New Roman"/>
          <w:lang w:eastAsia="en-US"/>
        </w:rPr>
      </w:pPr>
      <w:r>
        <w:rPr>
          <w:rFonts w:ascii="BookAntiqua-BoldItalic" w:hAnsi="BookAntiqua-BoldItalic" w:cs="BookAntiqua-BoldItalic"/>
          <w:b/>
          <w:bCs/>
          <w:i/>
          <w:iCs/>
          <w:lang w:eastAsia="en-US"/>
        </w:rPr>
        <w:t xml:space="preserve">Амортизация </w:t>
      </w:r>
      <w:r>
        <w:rPr>
          <w:rFonts w:eastAsia="Times New Roman"/>
          <w:lang w:eastAsia="en-US"/>
        </w:rPr>
        <w:t>– это постепенное перенесение стоимости основных средств на производимый продукт, целевое накопление денежных средств и их последующее использование на воспроизводство (возмещение, восстановление) изношенных основных средств.</w:t>
      </w:r>
    </w:p>
    <w:p w:rsidR="00A3618A" w:rsidRDefault="00A3618A" w:rsidP="007C65A9">
      <w:pPr>
        <w:pStyle w:val="11"/>
        <w:rPr>
          <w:lang w:eastAsia="en-US"/>
        </w:rPr>
      </w:pPr>
      <w:r>
        <w:rPr>
          <w:lang w:eastAsia="en-US"/>
        </w:rPr>
        <w:t>Существует несколько точек зрения на экономический смысл амортизации. Некоторые специалисты считают, что при помощи механизма амортизации создаются потоки денежных средств, который в дальнейшем будут направлены на воспроизводство основных фондов, другие – рассматривают амортизацию как способ «размазывания» крупномасштабных расходов по периодам, согласно принципу начисления.</w:t>
      </w:r>
    </w:p>
    <w:p w:rsidR="00A3618A" w:rsidRDefault="00A3618A" w:rsidP="007C65A9">
      <w:pPr>
        <w:pStyle w:val="11"/>
        <w:rPr>
          <w:lang w:eastAsia="en-US"/>
        </w:rPr>
      </w:pPr>
      <w:r w:rsidRPr="007C65A9">
        <w:rPr>
          <w:b/>
          <w:lang w:eastAsia="en-US"/>
        </w:rPr>
        <w:t>Пример:</w:t>
      </w:r>
      <w:r>
        <w:rPr>
          <w:lang w:eastAsia="en-US"/>
        </w:rPr>
        <w:t xml:space="preserve"> Работает фирма, тратит деньги на обеспечение производства, производит продукцию, продает ее. После выпуска продукции формируется ее себестоимость, к себестоимости прибавляется величина желаемой прибыли, в результате образуется цена. Затраты на основные средства подлежат включению в состав себестоимости продукции на равномерной основе, т.к. если единовременно списать все затраты на себестоимость, цены на продукцию увеличатся в разы и станут неконкурентными.</w:t>
      </w:r>
    </w:p>
    <w:p w:rsidR="00A3618A" w:rsidRDefault="00A3618A" w:rsidP="00324D6B">
      <w:pPr>
        <w:pStyle w:val="11"/>
        <w:rPr>
          <w:rFonts w:eastAsia="Times New Roman"/>
          <w:lang w:eastAsia="en-US"/>
        </w:rPr>
      </w:pPr>
      <w:r>
        <w:rPr>
          <w:rFonts w:ascii="BookAntiqua-BoldItalic" w:hAnsi="BookAntiqua-BoldItalic" w:cs="BookAntiqua-BoldItalic"/>
          <w:b/>
          <w:bCs/>
          <w:i/>
          <w:iCs/>
          <w:lang w:eastAsia="en-US"/>
        </w:rPr>
        <w:t xml:space="preserve">Амортизационные отчисления </w:t>
      </w:r>
      <w:r>
        <w:rPr>
          <w:rFonts w:eastAsia="Times New Roman"/>
          <w:lang w:eastAsia="en-US"/>
        </w:rPr>
        <w:t>– денежное выражение стоимости износа основных средств и нематериальных активов. Они включаются в расходы предприятий, связанные с производством и реализацией продукции, и в составе выручки от реализации продукции возвращаются на счет предприятия, становясь источником финансирования как простого, так и расширенного воспроизводства.</w:t>
      </w:r>
    </w:p>
    <w:p w:rsidR="00A3618A" w:rsidRDefault="00A3618A" w:rsidP="00324D6B">
      <w:pPr>
        <w:pStyle w:val="11"/>
        <w:rPr>
          <w:rFonts w:eastAsia="Times New Roman"/>
          <w:lang w:eastAsia="en-US"/>
        </w:rPr>
      </w:pPr>
      <w:r>
        <w:rPr>
          <w:rFonts w:eastAsia="Times New Roman"/>
          <w:lang w:eastAsia="en-US"/>
        </w:rPr>
        <w:t xml:space="preserve">До 1992 г. на предприятиях формировался амортизационных фонд. Он частично изымался в бюджет, что нарушало воспроизводственный процесс и ограничивало возможности накопления капитала. Отказ от формирования амортизационного фонда привел к потере целевого источника финансирования. Восстановление амортизационного фонда в будущем позволит контролировать использование предприятиями средств на финансирование простого производства, правильно применять налоговые льготы, определять реальную структуру финансовых ресурсов и границы самофинансирования. </w:t>
      </w:r>
    </w:p>
    <w:p w:rsidR="00A3618A" w:rsidRPr="00324D6B" w:rsidRDefault="00A3618A" w:rsidP="00324D6B">
      <w:pPr>
        <w:pStyle w:val="11"/>
        <w:rPr>
          <w:rFonts w:eastAsia="Times New Roman"/>
          <w:lang w:eastAsia="en-US"/>
        </w:rPr>
      </w:pPr>
      <w:r>
        <w:rPr>
          <w:rFonts w:eastAsia="Times New Roman"/>
          <w:lang w:eastAsia="en-US"/>
        </w:rPr>
        <w:t xml:space="preserve">Отношение годовой суммы износа основных фондов к их первоначальной стоимости, выраженное в процентах, называется </w:t>
      </w:r>
      <w:r>
        <w:rPr>
          <w:rFonts w:ascii="BookAntiqua-BoldItalic" w:hAnsi="BookAntiqua-BoldItalic" w:cs="BookAntiqua-BoldItalic"/>
          <w:b/>
          <w:bCs/>
          <w:i/>
          <w:iCs/>
          <w:lang w:eastAsia="en-US"/>
        </w:rPr>
        <w:t>нормой амортизации</w:t>
      </w:r>
      <w:r>
        <w:rPr>
          <w:rFonts w:ascii="BookAntiqua-Italic" w:hAnsi="BookAntiqua-Italic" w:cs="BookAntiqua-Italic"/>
          <w:i/>
          <w:iCs/>
          <w:lang w:eastAsia="en-US"/>
        </w:rPr>
        <w:t>.</w:t>
      </w:r>
    </w:p>
    <w:p w:rsidR="00A3618A" w:rsidRDefault="00A3618A" w:rsidP="00324D6B">
      <w:pPr>
        <w:pStyle w:val="11"/>
        <w:rPr>
          <w:rFonts w:eastAsia="Times New Roman"/>
          <w:lang w:eastAsia="en-US"/>
        </w:rPr>
      </w:pPr>
      <w:r>
        <w:rPr>
          <w:rFonts w:eastAsia="Times New Roman"/>
          <w:lang w:eastAsia="en-US"/>
        </w:rPr>
        <w:t xml:space="preserve">Это один из важнейших экономических инструментов управления процессом воспроизводства основных фондов, относится к нормативам длительного действия. Их уровень, структура и степень дифференциации определяется задачами экономической политики и для каждого периода развития хозяйства не остаются одинаковыми. Широкая дифференциация утверждаемых норм амортизации ограничивает самостоятельность предприятий, усложняет начисление износа и определение себестоимости продукции, затрудняет контроль за правильностью исчисления налоговых платежей. </w:t>
      </w:r>
    </w:p>
    <w:p w:rsidR="00A3618A" w:rsidRDefault="00A3618A" w:rsidP="00324D6B">
      <w:pPr>
        <w:pStyle w:val="11"/>
        <w:rPr>
          <w:rFonts w:eastAsia="Times New Roman"/>
          <w:lang w:eastAsia="en-US"/>
        </w:rPr>
      </w:pPr>
      <w:r>
        <w:rPr>
          <w:rFonts w:eastAsia="Times New Roman"/>
          <w:lang w:eastAsia="en-US"/>
        </w:rPr>
        <w:t>С момента введения в действие 25 главы НК РФ утратили силу «Единые нормы амортизационных отчислений на полное восстановление основных фондов народного хозяйства», утвержденные Советом Министров СССР 22.10.1990 г., по которым применялся только один метод начисления амортизации – линейный.</w:t>
      </w:r>
    </w:p>
    <w:p w:rsidR="00A3618A" w:rsidRDefault="00A3618A" w:rsidP="00324D6B">
      <w:pPr>
        <w:pStyle w:val="11"/>
        <w:rPr>
          <w:rFonts w:eastAsia="Times New Roman"/>
          <w:lang w:eastAsia="en-US"/>
        </w:rPr>
      </w:pPr>
      <w:r>
        <w:rPr>
          <w:rFonts w:eastAsia="Times New Roman"/>
          <w:lang w:eastAsia="en-US"/>
        </w:rPr>
        <w:t>Норма амортизации показывает, какую долю своей балансовой стоимости ежегодно переносят средства труда на созданную ими продукцию, и рассчитывается по формуле:</w:t>
      </w:r>
    </w:p>
    <w:p w:rsidR="00A3618A" w:rsidRDefault="00837415" w:rsidP="00324D6B">
      <w:pPr>
        <w:pStyle w:val="11"/>
        <w:jc w:val="center"/>
        <w:rPr>
          <w:rFonts w:eastAsia="Times New Roman"/>
          <w:lang w:eastAsia="en-US"/>
        </w:rPr>
      </w:pPr>
      <w:r>
        <w:rPr>
          <w:rFonts w:eastAsia="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0.25pt;height:68.25pt;visibility:visible">
            <v:imagedata r:id="rId7" o:title=""/>
          </v:shape>
        </w:pict>
      </w:r>
    </w:p>
    <w:p w:rsidR="00A3618A" w:rsidRDefault="00A3618A" w:rsidP="00324D6B">
      <w:pPr>
        <w:pStyle w:val="11"/>
        <w:rPr>
          <w:rFonts w:eastAsia="Times New Roman"/>
          <w:lang w:eastAsia="en-US"/>
        </w:rPr>
      </w:pPr>
      <w:r w:rsidRPr="00324D6B">
        <w:rPr>
          <w:rFonts w:eastAsia="Times New Roman"/>
          <w:b/>
          <w:lang w:eastAsia="en-US"/>
        </w:rPr>
        <w:t>На</w:t>
      </w:r>
      <w:r>
        <w:rPr>
          <w:rFonts w:eastAsia="Times New Roman"/>
          <w:lang w:eastAsia="en-US"/>
        </w:rPr>
        <w:t xml:space="preserve"> – норма амортизации;</w:t>
      </w:r>
    </w:p>
    <w:p w:rsidR="00A3618A" w:rsidRDefault="00A3618A" w:rsidP="00324D6B">
      <w:pPr>
        <w:pStyle w:val="11"/>
        <w:rPr>
          <w:rFonts w:eastAsia="Times New Roman"/>
          <w:lang w:eastAsia="en-US"/>
        </w:rPr>
      </w:pPr>
      <w:r w:rsidRPr="00324D6B">
        <w:rPr>
          <w:rFonts w:eastAsia="Times New Roman"/>
          <w:b/>
          <w:lang w:eastAsia="en-US"/>
        </w:rPr>
        <w:t>Сос.перв.</w:t>
      </w:r>
      <w:r>
        <w:rPr>
          <w:rFonts w:eastAsia="Times New Roman"/>
          <w:lang w:eastAsia="en-US"/>
        </w:rPr>
        <w:t xml:space="preserve"> – первоначальная стоимость основных средств;</w:t>
      </w:r>
    </w:p>
    <w:p w:rsidR="00A3618A" w:rsidRDefault="00A3618A" w:rsidP="00324D6B">
      <w:pPr>
        <w:pStyle w:val="11"/>
        <w:rPr>
          <w:rFonts w:eastAsia="Times New Roman"/>
          <w:lang w:eastAsia="en-US"/>
        </w:rPr>
      </w:pPr>
      <w:r w:rsidRPr="00324D6B">
        <w:rPr>
          <w:rFonts w:eastAsia="Times New Roman"/>
          <w:b/>
          <w:lang w:eastAsia="en-US"/>
        </w:rPr>
        <w:t>Рд</w:t>
      </w:r>
      <w:r>
        <w:rPr>
          <w:rFonts w:eastAsia="Times New Roman"/>
          <w:lang w:eastAsia="en-US"/>
        </w:rPr>
        <w:t xml:space="preserve"> – расходы на демонтаж и реализацию основных средств;</w:t>
      </w:r>
    </w:p>
    <w:p w:rsidR="00A3618A" w:rsidRDefault="00A3618A" w:rsidP="00324D6B">
      <w:pPr>
        <w:pStyle w:val="11"/>
        <w:rPr>
          <w:rFonts w:eastAsia="Times New Roman"/>
          <w:lang w:eastAsia="en-US"/>
        </w:rPr>
      </w:pPr>
      <w:r w:rsidRPr="00324D6B">
        <w:rPr>
          <w:rFonts w:eastAsia="Times New Roman"/>
          <w:b/>
          <w:lang w:eastAsia="en-US"/>
        </w:rPr>
        <w:t>Рм</w:t>
      </w:r>
      <w:r>
        <w:rPr>
          <w:rFonts w:eastAsia="Times New Roman"/>
          <w:lang w:eastAsia="en-US"/>
        </w:rPr>
        <w:t xml:space="preserve"> – расходы на модернизацию;</w:t>
      </w:r>
    </w:p>
    <w:p w:rsidR="00A3618A" w:rsidRDefault="00A3618A" w:rsidP="00324D6B">
      <w:pPr>
        <w:pStyle w:val="11"/>
        <w:rPr>
          <w:rFonts w:eastAsia="Times New Roman"/>
          <w:lang w:eastAsia="en-US"/>
        </w:rPr>
      </w:pPr>
      <w:r w:rsidRPr="00324D6B">
        <w:rPr>
          <w:rFonts w:eastAsia="Times New Roman"/>
          <w:b/>
          <w:lang w:eastAsia="en-US"/>
        </w:rPr>
        <w:t>Сос.ост.</w:t>
      </w:r>
      <w:r>
        <w:rPr>
          <w:rFonts w:eastAsia="Times New Roman"/>
          <w:lang w:eastAsia="en-US"/>
        </w:rPr>
        <w:t xml:space="preserve"> – остаточная стоимость основных средств;</w:t>
      </w:r>
    </w:p>
    <w:p w:rsidR="00A3618A" w:rsidRDefault="00A3618A" w:rsidP="00324D6B">
      <w:pPr>
        <w:pStyle w:val="11"/>
        <w:rPr>
          <w:rFonts w:eastAsia="Times New Roman"/>
          <w:lang w:eastAsia="en-US"/>
        </w:rPr>
      </w:pPr>
      <w:r w:rsidRPr="00324D6B">
        <w:rPr>
          <w:rFonts w:eastAsia="Times New Roman"/>
          <w:b/>
          <w:lang w:eastAsia="en-US"/>
        </w:rPr>
        <w:t>Т</w:t>
      </w:r>
      <w:r>
        <w:rPr>
          <w:rFonts w:eastAsia="Times New Roman"/>
          <w:lang w:eastAsia="en-US"/>
        </w:rPr>
        <w:t xml:space="preserve"> – нормативный срок службы основных средств (срок полезного использования).</w:t>
      </w:r>
    </w:p>
    <w:p w:rsidR="00A3618A" w:rsidRDefault="00A3618A" w:rsidP="00324D6B">
      <w:pPr>
        <w:pStyle w:val="11"/>
        <w:rPr>
          <w:rFonts w:eastAsia="Times New Roman"/>
          <w:lang w:eastAsia="en-US"/>
        </w:rPr>
      </w:pPr>
      <w:r>
        <w:rPr>
          <w:rFonts w:eastAsia="Times New Roman"/>
          <w:lang w:eastAsia="en-US"/>
        </w:rPr>
        <w:t xml:space="preserve">По установленным нормам амортизационные отчисления включаются в себестоимость продукции. </w:t>
      </w:r>
    </w:p>
    <w:p w:rsidR="00A3618A" w:rsidRDefault="00A3618A" w:rsidP="00324D6B">
      <w:pPr>
        <w:pStyle w:val="11"/>
        <w:rPr>
          <w:rFonts w:eastAsia="Times New Roman"/>
          <w:lang w:eastAsia="en-US"/>
        </w:rPr>
      </w:pPr>
      <w:r>
        <w:rPr>
          <w:rFonts w:eastAsia="Times New Roman"/>
          <w:lang w:eastAsia="en-US"/>
        </w:rPr>
        <w:t>Годовая сумма амортизационных отчислений определяется по видам основных средств на основе их среднегодовой стоимости по формуле:</w:t>
      </w:r>
    </w:p>
    <w:p w:rsidR="00A3618A" w:rsidRDefault="00837415" w:rsidP="00324D6B">
      <w:pPr>
        <w:pStyle w:val="11"/>
        <w:jc w:val="center"/>
        <w:rPr>
          <w:rFonts w:eastAsia="Times New Roman"/>
          <w:lang w:eastAsia="en-US"/>
        </w:rPr>
      </w:pPr>
      <w:r>
        <w:rPr>
          <w:rFonts w:eastAsia="Times New Roman"/>
          <w:noProof/>
        </w:rPr>
        <w:pict>
          <v:shape id="Рисунок 2" o:spid="_x0000_i1026" type="#_x0000_t75" style="width:188.25pt;height:69pt;visibility:visible">
            <v:imagedata r:id="rId8" o:title=""/>
          </v:shape>
        </w:pict>
      </w:r>
    </w:p>
    <w:p w:rsidR="00A3618A" w:rsidRDefault="00A3618A" w:rsidP="00324D6B">
      <w:pPr>
        <w:pStyle w:val="11"/>
        <w:rPr>
          <w:rFonts w:eastAsia="Times New Roman"/>
          <w:lang w:eastAsia="en-US"/>
        </w:rPr>
      </w:pPr>
      <w:r>
        <w:rPr>
          <w:rFonts w:eastAsia="Times New Roman"/>
          <w:lang w:eastAsia="en-US"/>
        </w:rPr>
        <w:t xml:space="preserve">где </w:t>
      </w:r>
      <w:r w:rsidRPr="00324D6B">
        <w:rPr>
          <w:rFonts w:eastAsia="Times New Roman"/>
          <w:b/>
          <w:lang w:eastAsia="en-US"/>
        </w:rPr>
        <w:t>А</w:t>
      </w:r>
      <w:r>
        <w:rPr>
          <w:rFonts w:eastAsia="Times New Roman"/>
          <w:lang w:eastAsia="en-US"/>
        </w:rPr>
        <w:t xml:space="preserve"> – годовая сумма амортизационных отчислений;</w:t>
      </w:r>
    </w:p>
    <w:p w:rsidR="00A3618A" w:rsidRDefault="00A3618A" w:rsidP="00324D6B">
      <w:pPr>
        <w:pStyle w:val="11"/>
        <w:rPr>
          <w:rFonts w:eastAsia="Times New Roman"/>
          <w:lang w:eastAsia="en-US"/>
        </w:rPr>
      </w:pPr>
      <w:r>
        <w:rPr>
          <w:rFonts w:eastAsia="Times New Roman"/>
          <w:lang w:eastAsia="en-US"/>
        </w:rPr>
        <w:t xml:space="preserve">     </w:t>
      </w:r>
      <w:r w:rsidRPr="00324D6B">
        <w:rPr>
          <w:rFonts w:eastAsia="Times New Roman"/>
          <w:b/>
          <w:lang w:eastAsia="en-US"/>
        </w:rPr>
        <w:t>Сос. ср</w:t>
      </w:r>
      <w:r>
        <w:rPr>
          <w:rFonts w:eastAsia="Times New Roman"/>
          <w:lang w:eastAsia="en-US"/>
        </w:rPr>
        <w:t xml:space="preserve"> – среднегодовая стоимость основных средств.</w:t>
      </w:r>
    </w:p>
    <w:p w:rsidR="00A3618A" w:rsidRDefault="00A3618A" w:rsidP="00324D6B">
      <w:pPr>
        <w:pStyle w:val="11"/>
        <w:rPr>
          <w:rFonts w:eastAsia="Times New Roman"/>
          <w:lang w:eastAsia="en-US"/>
        </w:rPr>
      </w:pPr>
      <w:r>
        <w:rPr>
          <w:rFonts w:eastAsia="Times New Roman"/>
          <w:lang w:eastAsia="en-US"/>
        </w:rPr>
        <w:t xml:space="preserve">Стоимость основных средств предприятия изменяется в течение года по причине их ввода и выбытия. Поэтому в финансово-экономических расчетах чаще всего используют </w:t>
      </w:r>
      <w:r w:rsidRPr="00324D6B">
        <w:rPr>
          <w:rFonts w:eastAsia="Times New Roman"/>
          <w:b/>
          <w:i/>
          <w:iCs/>
          <w:lang w:eastAsia="en-US"/>
        </w:rPr>
        <w:t>среднегодовую стоимость</w:t>
      </w:r>
      <w:r>
        <w:rPr>
          <w:rFonts w:ascii="BookAntiqua-Italic" w:hAnsi="BookAntiqua-Italic" w:cs="BookAntiqua-Italic"/>
          <w:i/>
          <w:iCs/>
          <w:lang w:eastAsia="en-US"/>
        </w:rPr>
        <w:t xml:space="preserve">, </w:t>
      </w:r>
      <w:r>
        <w:rPr>
          <w:rFonts w:eastAsia="Times New Roman"/>
          <w:lang w:eastAsia="en-US"/>
        </w:rPr>
        <w:t>определяемую по формуле:</w:t>
      </w:r>
    </w:p>
    <w:p w:rsidR="00A3618A" w:rsidRDefault="00837415" w:rsidP="00324D6B">
      <w:pPr>
        <w:pStyle w:val="11"/>
        <w:ind w:firstLine="0"/>
        <w:rPr>
          <w:rFonts w:eastAsia="Times New Roman"/>
          <w:lang w:eastAsia="en-US"/>
        </w:rPr>
      </w:pPr>
      <w:r>
        <w:rPr>
          <w:rFonts w:eastAsia="Times New Roman"/>
          <w:noProof/>
        </w:rPr>
        <w:pict>
          <v:shape id="Рисунок 3" o:spid="_x0000_i1027" type="#_x0000_t75" style="width:462.75pt;height:33.75pt;visibility:visible">
            <v:imagedata r:id="rId9" o:title=""/>
          </v:shape>
        </w:pict>
      </w:r>
    </w:p>
    <w:p w:rsidR="00A3618A" w:rsidRDefault="00A3618A" w:rsidP="00324D6B">
      <w:pPr>
        <w:pStyle w:val="11"/>
        <w:ind w:firstLine="0"/>
        <w:rPr>
          <w:rFonts w:eastAsia="Times New Roman"/>
          <w:lang w:eastAsia="en-US"/>
        </w:rPr>
      </w:pPr>
      <w:r>
        <w:rPr>
          <w:rFonts w:eastAsia="Times New Roman"/>
          <w:lang w:eastAsia="en-US"/>
        </w:rPr>
        <w:t xml:space="preserve">    где </w:t>
      </w:r>
      <w:r w:rsidRPr="00324D6B">
        <w:rPr>
          <w:rFonts w:eastAsia="Times New Roman"/>
          <w:b/>
          <w:lang w:eastAsia="en-US"/>
        </w:rPr>
        <w:t xml:space="preserve">Сос.н </w:t>
      </w:r>
      <w:r>
        <w:rPr>
          <w:rFonts w:eastAsia="Times New Roman"/>
          <w:lang w:eastAsia="en-US"/>
        </w:rPr>
        <w:t>– стоимость основных средств на начало года;</w:t>
      </w:r>
    </w:p>
    <w:p w:rsidR="00A3618A" w:rsidRDefault="00A3618A" w:rsidP="00324D6B">
      <w:pPr>
        <w:pStyle w:val="11"/>
        <w:rPr>
          <w:rFonts w:eastAsia="Times New Roman"/>
          <w:lang w:eastAsia="en-US"/>
        </w:rPr>
      </w:pPr>
      <w:r w:rsidRPr="00324D6B">
        <w:rPr>
          <w:rFonts w:eastAsia="Times New Roman"/>
          <w:b/>
          <w:lang w:eastAsia="en-US"/>
        </w:rPr>
        <w:t xml:space="preserve">Сос.п </w:t>
      </w:r>
      <w:r>
        <w:rPr>
          <w:rFonts w:eastAsia="Times New Roman"/>
          <w:lang w:eastAsia="en-US"/>
        </w:rPr>
        <w:t>– стоимость поступивших (вводимых) основных средств;</w:t>
      </w:r>
    </w:p>
    <w:p w:rsidR="00A3618A" w:rsidRDefault="00A3618A" w:rsidP="00324D6B">
      <w:pPr>
        <w:pStyle w:val="11"/>
        <w:rPr>
          <w:rFonts w:eastAsia="Times New Roman"/>
          <w:lang w:eastAsia="en-US"/>
        </w:rPr>
      </w:pPr>
      <w:r w:rsidRPr="00324D6B">
        <w:rPr>
          <w:rFonts w:eastAsia="Times New Roman"/>
          <w:b/>
          <w:lang w:eastAsia="en-US"/>
        </w:rPr>
        <w:t xml:space="preserve">Сос.в </w:t>
      </w:r>
      <w:r>
        <w:rPr>
          <w:rFonts w:eastAsia="Times New Roman"/>
          <w:lang w:eastAsia="en-US"/>
        </w:rPr>
        <w:t>– стоимость выбывших основных средств в течение года;</w:t>
      </w:r>
    </w:p>
    <w:p w:rsidR="00A3618A" w:rsidRDefault="00A3618A" w:rsidP="00324D6B">
      <w:pPr>
        <w:pStyle w:val="11"/>
        <w:rPr>
          <w:rFonts w:eastAsia="Times New Roman"/>
          <w:lang w:eastAsia="en-US"/>
        </w:rPr>
      </w:pPr>
      <w:r w:rsidRPr="00324D6B">
        <w:rPr>
          <w:rFonts w:eastAsia="Times New Roman"/>
          <w:b/>
          <w:lang w:eastAsia="en-US"/>
        </w:rPr>
        <w:t>К1</w:t>
      </w:r>
      <w:r>
        <w:rPr>
          <w:rFonts w:eastAsia="Times New Roman"/>
          <w:lang w:eastAsia="en-US"/>
        </w:rPr>
        <w:t xml:space="preserve"> - количество месяцев функционирования основных средств в течение года с момента ввода;</w:t>
      </w:r>
    </w:p>
    <w:p w:rsidR="00A3618A" w:rsidRDefault="00A3618A" w:rsidP="00324D6B">
      <w:pPr>
        <w:pStyle w:val="11"/>
        <w:rPr>
          <w:rFonts w:eastAsia="Times New Roman"/>
          <w:lang w:eastAsia="en-US"/>
        </w:rPr>
      </w:pPr>
      <w:r w:rsidRPr="00324D6B">
        <w:rPr>
          <w:rFonts w:eastAsia="Times New Roman"/>
          <w:b/>
          <w:lang w:eastAsia="en-US"/>
        </w:rPr>
        <w:t>К2</w:t>
      </w:r>
      <w:r>
        <w:rPr>
          <w:rFonts w:eastAsia="Times New Roman"/>
          <w:lang w:eastAsia="en-US"/>
        </w:rPr>
        <w:t xml:space="preserve"> – количество месяцев функционирования основных средств в течение года с момента выбытия.</w:t>
      </w:r>
    </w:p>
    <w:p w:rsidR="00A3618A" w:rsidRDefault="00A3618A" w:rsidP="00324D6B">
      <w:pPr>
        <w:pStyle w:val="11"/>
        <w:rPr>
          <w:rFonts w:eastAsia="Times New Roman"/>
          <w:lang w:eastAsia="en-US"/>
        </w:rPr>
      </w:pPr>
      <w:r>
        <w:rPr>
          <w:rFonts w:eastAsia="Times New Roman"/>
          <w:lang w:eastAsia="en-US"/>
        </w:rPr>
        <w:t>Стоимость не всех объектов основных средств погашается посредством начисления амортизации.</w:t>
      </w:r>
    </w:p>
    <w:p w:rsidR="00A3618A" w:rsidRDefault="00A3618A" w:rsidP="00324D6B">
      <w:pPr>
        <w:pStyle w:val="11"/>
        <w:rPr>
          <w:rFonts w:eastAsia="Times New Roman"/>
          <w:lang w:eastAsia="en-US"/>
        </w:rPr>
      </w:pPr>
      <w:r>
        <w:rPr>
          <w:rFonts w:eastAsia="Times New Roman"/>
          <w:lang w:eastAsia="en-US"/>
        </w:rPr>
        <w:t xml:space="preserve">По объектам жилищного фонда (жилые дома, общежития, квартиры и др.),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т.п.), а также продуктивному скоту, буйволам, волам и оленям, многолетним насаждениям, не достигшим эксплутационного возраста, стоимость не погашается, т.е. амортизация не начисляется. По указанным объектам основных средств и объектам основных средств некоммерческих организаций производится начисление износа в конце отчетного года по установленным нормам амортизационных отчислений. Движение сумм износа по указанным объектам учитывается на отдельном забалансовом счете. </w:t>
      </w:r>
    </w:p>
    <w:p w:rsidR="00A3618A" w:rsidRDefault="00A3618A" w:rsidP="00324D6B">
      <w:pPr>
        <w:pStyle w:val="11"/>
        <w:rPr>
          <w:rFonts w:eastAsia="Times New Roman"/>
          <w:lang w:eastAsia="en-US"/>
        </w:rPr>
      </w:pPr>
      <w:r>
        <w:rPr>
          <w:rFonts w:eastAsia="Times New Roman"/>
          <w:lang w:eastAsia="en-US"/>
        </w:rPr>
        <w:t>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w:t>
      </w:r>
    </w:p>
    <w:p w:rsidR="00A3618A" w:rsidRPr="000112E1" w:rsidRDefault="00A3618A" w:rsidP="000112E1">
      <w:pPr>
        <w:pStyle w:val="11"/>
        <w:rPr>
          <w:rFonts w:eastAsia="Times New Roman"/>
          <w:szCs w:val="20"/>
        </w:rPr>
      </w:pPr>
      <w:r w:rsidRPr="000112E1">
        <w:rPr>
          <w:rFonts w:eastAsia="Times New Roman"/>
          <w:szCs w:val="20"/>
        </w:rPr>
        <w:t>Определение срока полезного использования объекта основных</w:t>
      </w:r>
      <w:r w:rsidRPr="000112E1">
        <w:rPr>
          <w:rFonts w:eastAsia="Times New Roman"/>
        </w:rPr>
        <w:t xml:space="preserve"> </w:t>
      </w:r>
      <w:r w:rsidRPr="000112E1">
        <w:rPr>
          <w:rFonts w:eastAsia="Times New Roman"/>
          <w:szCs w:val="20"/>
        </w:rPr>
        <w:t>средств производится исходя из:</w:t>
      </w:r>
    </w:p>
    <w:p w:rsidR="00A3618A" w:rsidRPr="000112E1" w:rsidRDefault="00A3618A" w:rsidP="000112E1">
      <w:pPr>
        <w:pStyle w:val="11"/>
        <w:rPr>
          <w:rFonts w:eastAsia="Times New Roman"/>
          <w:szCs w:val="20"/>
        </w:rPr>
      </w:pPr>
      <w:r w:rsidRPr="000112E1">
        <w:rPr>
          <w:rFonts w:eastAsia="Times New Roman"/>
          <w:szCs w:val="20"/>
        </w:rPr>
        <w:t>• ожидаемого срока использования этого объекта в соответствии</w:t>
      </w:r>
      <w:r w:rsidRPr="000112E1">
        <w:rPr>
          <w:rFonts w:eastAsia="Times New Roman"/>
        </w:rPr>
        <w:t xml:space="preserve"> </w:t>
      </w:r>
      <w:r w:rsidRPr="000112E1">
        <w:rPr>
          <w:rFonts w:eastAsia="Times New Roman"/>
          <w:szCs w:val="20"/>
        </w:rPr>
        <w:t>с ожидаемой производительностью или мощностью;</w:t>
      </w:r>
    </w:p>
    <w:p w:rsidR="00A3618A" w:rsidRPr="000112E1" w:rsidRDefault="00A3618A" w:rsidP="000112E1">
      <w:pPr>
        <w:pStyle w:val="11"/>
        <w:rPr>
          <w:rFonts w:eastAsia="Times New Roman"/>
          <w:szCs w:val="20"/>
        </w:rPr>
      </w:pPr>
      <w:r w:rsidRPr="000112E1">
        <w:rPr>
          <w:rFonts w:eastAsia="Times New Roman"/>
          <w:szCs w:val="20"/>
        </w:rPr>
        <w:t>• ожидаемого физического и</w:t>
      </w:r>
      <w:r w:rsidRPr="000112E1">
        <w:rPr>
          <w:rFonts w:eastAsia="Times New Roman"/>
        </w:rPr>
        <w:t>зноса, зависящего от режима экс</w:t>
      </w:r>
      <w:r w:rsidRPr="000112E1">
        <w:rPr>
          <w:rFonts w:eastAsia="Times New Roman"/>
          <w:szCs w:val="20"/>
        </w:rPr>
        <w:t>плуатации (количества смен), естественных условий и влияния</w:t>
      </w:r>
      <w:r w:rsidRPr="000112E1">
        <w:rPr>
          <w:rFonts w:eastAsia="Times New Roman"/>
        </w:rPr>
        <w:t xml:space="preserve"> </w:t>
      </w:r>
      <w:r w:rsidRPr="000112E1">
        <w:rPr>
          <w:rFonts w:eastAsia="Times New Roman"/>
          <w:szCs w:val="20"/>
        </w:rPr>
        <w:t>агрессивной среды, системы проведения ремонта;</w:t>
      </w:r>
    </w:p>
    <w:p w:rsidR="00A3618A" w:rsidRPr="000112E1" w:rsidRDefault="00A3618A" w:rsidP="000112E1">
      <w:pPr>
        <w:pStyle w:val="11"/>
        <w:rPr>
          <w:rFonts w:eastAsia="Times New Roman"/>
          <w:szCs w:val="20"/>
        </w:rPr>
      </w:pPr>
      <w:r w:rsidRPr="000112E1">
        <w:rPr>
          <w:rFonts w:eastAsia="Times New Roman"/>
          <w:szCs w:val="20"/>
        </w:rPr>
        <w:t>• нормативно-правовых и других ограничений использования</w:t>
      </w:r>
      <w:r w:rsidRPr="000112E1">
        <w:rPr>
          <w:rFonts w:eastAsia="Times New Roman"/>
        </w:rPr>
        <w:t xml:space="preserve"> </w:t>
      </w:r>
      <w:r w:rsidRPr="000112E1">
        <w:rPr>
          <w:rFonts w:eastAsia="Times New Roman"/>
          <w:szCs w:val="20"/>
        </w:rPr>
        <w:t>этого объекта (например, срок аренды).</w:t>
      </w:r>
    </w:p>
    <w:p w:rsidR="00A3618A" w:rsidRPr="000112E1" w:rsidRDefault="00A3618A" w:rsidP="000112E1">
      <w:pPr>
        <w:pStyle w:val="11"/>
        <w:rPr>
          <w:rFonts w:eastAsia="Times New Roman"/>
          <w:szCs w:val="20"/>
        </w:rPr>
      </w:pPr>
      <w:r w:rsidRPr="000112E1">
        <w:rPr>
          <w:rFonts w:eastAsia="Times New Roman"/>
          <w:szCs w:val="20"/>
        </w:rPr>
        <w:t>Начисление амортизацион</w:t>
      </w:r>
      <w:r w:rsidRPr="000112E1">
        <w:rPr>
          <w:rFonts w:eastAsia="Times New Roman"/>
        </w:rPr>
        <w:t>ных отчислений по объекту основ</w:t>
      </w:r>
      <w:r w:rsidRPr="000112E1">
        <w:rPr>
          <w:rFonts w:eastAsia="Times New Roman"/>
          <w:szCs w:val="20"/>
        </w:rPr>
        <w:t>ных средств начинается с первого ч</w:t>
      </w:r>
      <w:r w:rsidRPr="000112E1">
        <w:rPr>
          <w:rFonts w:eastAsia="Times New Roman"/>
        </w:rPr>
        <w:t>исла месяца, следующего за меся</w:t>
      </w:r>
      <w:r w:rsidRPr="000112E1">
        <w:rPr>
          <w:rFonts w:eastAsia="Times New Roman"/>
          <w:szCs w:val="20"/>
        </w:rPr>
        <w:t>цем принятия этого объекта к бухгалтерскому учету, и производится</w:t>
      </w:r>
      <w:r w:rsidRPr="000112E1">
        <w:rPr>
          <w:rFonts w:eastAsia="Times New Roman"/>
        </w:rPr>
        <w:t xml:space="preserve"> </w:t>
      </w:r>
      <w:r w:rsidRPr="000112E1">
        <w:rPr>
          <w:rFonts w:eastAsia="Times New Roman"/>
          <w:szCs w:val="20"/>
        </w:rPr>
        <w:t>до полного погашения стоимости этого объекта либо списания этого</w:t>
      </w:r>
      <w:r w:rsidRPr="000112E1">
        <w:rPr>
          <w:rFonts w:eastAsia="Times New Roman"/>
        </w:rPr>
        <w:t xml:space="preserve"> </w:t>
      </w:r>
      <w:r w:rsidRPr="000112E1">
        <w:rPr>
          <w:rFonts w:eastAsia="Times New Roman"/>
          <w:szCs w:val="20"/>
        </w:rPr>
        <w:t>объекта с бухгалтерского учета.</w:t>
      </w:r>
    </w:p>
    <w:p w:rsidR="00A3618A" w:rsidRPr="000112E1" w:rsidRDefault="00A3618A" w:rsidP="000112E1">
      <w:pPr>
        <w:pStyle w:val="11"/>
        <w:rPr>
          <w:rFonts w:eastAsia="Times New Roman"/>
          <w:szCs w:val="20"/>
        </w:rPr>
      </w:pPr>
      <w:r w:rsidRPr="000112E1">
        <w:rPr>
          <w:rFonts w:eastAsia="Times New Roman"/>
          <w:szCs w:val="20"/>
        </w:rPr>
        <w:t>Начисление амортизаци</w:t>
      </w:r>
      <w:r w:rsidRPr="000112E1">
        <w:rPr>
          <w:rFonts w:eastAsia="Times New Roman"/>
        </w:rPr>
        <w:t>онных отчислений по объектам ос</w:t>
      </w:r>
      <w:r w:rsidRPr="000112E1">
        <w:rPr>
          <w:rFonts w:eastAsia="Times New Roman"/>
          <w:szCs w:val="20"/>
        </w:rPr>
        <w:t>новных средств производится неза</w:t>
      </w:r>
      <w:r w:rsidRPr="000112E1">
        <w:rPr>
          <w:rFonts w:eastAsia="Times New Roman"/>
        </w:rPr>
        <w:t>висимо от результатов деятельно</w:t>
      </w:r>
      <w:r w:rsidRPr="000112E1">
        <w:rPr>
          <w:rFonts w:eastAsia="Times New Roman"/>
          <w:szCs w:val="20"/>
        </w:rPr>
        <w:t>сти организации в отчетном периоде и отражается в бухгалтерском</w:t>
      </w:r>
      <w:r w:rsidRPr="000112E1">
        <w:rPr>
          <w:rFonts w:eastAsia="Times New Roman"/>
        </w:rPr>
        <w:t xml:space="preserve"> </w:t>
      </w:r>
      <w:r w:rsidRPr="000112E1">
        <w:rPr>
          <w:rFonts w:eastAsia="Times New Roman"/>
          <w:szCs w:val="20"/>
        </w:rPr>
        <w:t>учете отчетного периода, к которому оно относится. А прекращается</w:t>
      </w:r>
      <w:r w:rsidRPr="000112E1">
        <w:rPr>
          <w:rFonts w:eastAsia="Times New Roman"/>
        </w:rPr>
        <w:t xml:space="preserve"> </w:t>
      </w:r>
      <w:r w:rsidRPr="000112E1">
        <w:rPr>
          <w:rFonts w:eastAsia="Times New Roman"/>
          <w:szCs w:val="20"/>
        </w:rPr>
        <w:t>с первого числа месяца, следующего за месяцем полного погашения</w:t>
      </w:r>
      <w:r w:rsidRPr="000112E1">
        <w:rPr>
          <w:rFonts w:eastAsia="Times New Roman"/>
        </w:rPr>
        <w:t xml:space="preserve"> </w:t>
      </w:r>
      <w:r w:rsidRPr="000112E1">
        <w:rPr>
          <w:rFonts w:eastAsia="Times New Roman"/>
          <w:szCs w:val="20"/>
        </w:rPr>
        <w:t>стоимости этого объекта либо спи</w:t>
      </w:r>
      <w:r w:rsidRPr="000112E1">
        <w:rPr>
          <w:rFonts w:eastAsia="Times New Roman"/>
        </w:rPr>
        <w:t>сания этого объекта с бухгалтер</w:t>
      </w:r>
      <w:r w:rsidRPr="000112E1">
        <w:rPr>
          <w:rFonts w:eastAsia="Times New Roman"/>
          <w:szCs w:val="20"/>
        </w:rPr>
        <w:t>ского учета.</w:t>
      </w:r>
    </w:p>
    <w:p w:rsidR="00A3618A" w:rsidRPr="000112E1" w:rsidRDefault="00A3618A" w:rsidP="000112E1">
      <w:pPr>
        <w:pStyle w:val="11"/>
        <w:rPr>
          <w:rFonts w:eastAsia="Times New Roman"/>
        </w:rPr>
      </w:pPr>
      <w:r w:rsidRPr="000112E1">
        <w:rPr>
          <w:rFonts w:eastAsia="Times New Roman"/>
          <w:szCs w:val="20"/>
        </w:rPr>
        <w:t>Суммы начисленной амортизации по объектам основных</w:t>
      </w:r>
      <w:r w:rsidRPr="000112E1">
        <w:rPr>
          <w:rFonts w:eastAsia="Times New Roman"/>
        </w:rPr>
        <w:t xml:space="preserve"> </w:t>
      </w:r>
      <w:r w:rsidRPr="000112E1">
        <w:rPr>
          <w:rFonts w:eastAsia="Times New Roman"/>
          <w:szCs w:val="20"/>
        </w:rPr>
        <w:t>средств отражаются в бухгалтерс</w:t>
      </w:r>
      <w:r w:rsidRPr="000112E1">
        <w:rPr>
          <w:rFonts w:eastAsia="Times New Roman"/>
        </w:rPr>
        <w:t>ком учете путем накопления соот</w:t>
      </w:r>
      <w:r w:rsidRPr="000112E1">
        <w:rPr>
          <w:rFonts w:eastAsia="Times New Roman"/>
          <w:szCs w:val="20"/>
        </w:rPr>
        <w:t>ветствующих сумм на отдельном счете.</w:t>
      </w:r>
    </w:p>
    <w:p w:rsidR="00A3618A" w:rsidRDefault="00A3618A" w:rsidP="00324D6B">
      <w:pPr>
        <w:pStyle w:val="11"/>
        <w:jc w:val="center"/>
        <w:rPr>
          <w:b/>
          <w:bCs/>
          <w:color w:val="000000"/>
          <w:sz w:val="32"/>
          <w:szCs w:val="32"/>
        </w:rPr>
      </w:pPr>
    </w:p>
    <w:p w:rsidR="00A3618A" w:rsidRDefault="00A3618A" w:rsidP="00324D6B">
      <w:pPr>
        <w:pStyle w:val="11"/>
        <w:jc w:val="center"/>
        <w:rPr>
          <w:b/>
          <w:sz w:val="32"/>
          <w:szCs w:val="32"/>
        </w:rPr>
      </w:pPr>
      <w:r w:rsidRPr="00324D6B">
        <w:rPr>
          <w:b/>
          <w:bCs/>
          <w:color w:val="000000"/>
          <w:sz w:val="32"/>
          <w:szCs w:val="32"/>
        </w:rPr>
        <w:t xml:space="preserve">Глава </w:t>
      </w:r>
      <w:r w:rsidRPr="00324D6B">
        <w:rPr>
          <w:b/>
          <w:bCs/>
          <w:color w:val="000000"/>
          <w:sz w:val="32"/>
          <w:szCs w:val="32"/>
          <w:lang w:val="en-US"/>
        </w:rPr>
        <w:t>II</w:t>
      </w:r>
      <w:r w:rsidRPr="00324D6B">
        <w:rPr>
          <w:b/>
          <w:sz w:val="32"/>
          <w:szCs w:val="32"/>
        </w:rPr>
        <w:t xml:space="preserve"> Способы начисления амортизации в бухгалтерском учете</w:t>
      </w:r>
    </w:p>
    <w:p w:rsidR="00A3618A" w:rsidRPr="00361131" w:rsidRDefault="00A3618A" w:rsidP="00361131">
      <w:pPr>
        <w:pStyle w:val="11"/>
        <w:rPr>
          <w:rFonts w:ascii="BookAntiqua-Italic" w:hAnsi="BookAntiqua-Italic" w:cs="BookAntiqua-Italic"/>
          <w:i/>
          <w:iCs/>
          <w:lang w:eastAsia="en-US"/>
        </w:rPr>
      </w:pPr>
      <w:r>
        <w:rPr>
          <w:rFonts w:eastAsia="Times New Roman"/>
          <w:lang w:eastAsia="en-US"/>
        </w:rPr>
        <w:t xml:space="preserve">Начисление амортизации объектов основных средств </w:t>
      </w:r>
      <w:r w:rsidRPr="00361131">
        <w:rPr>
          <w:rFonts w:eastAsia="Times New Roman"/>
          <w:b/>
          <w:iCs/>
          <w:lang w:eastAsia="en-US"/>
        </w:rPr>
        <w:t>в целях бухгалтерского учета</w:t>
      </w:r>
      <w:r>
        <w:rPr>
          <w:rFonts w:ascii="BookAntiqua-Italic" w:hAnsi="BookAntiqua-Italic" w:cs="BookAntiqua-Italic"/>
          <w:i/>
          <w:iCs/>
          <w:lang w:eastAsia="en-US"/>
        </w:rPr>
        <w:t xml:space="preserve"> </w:t>
      </w:r>
      <w:r>
        <w:rPr>
          <w:rFonts w:eastAsia="Times New Roman"/>
          <w:lang w:eastAsia="en-US"/>
        </w:rPr>
        <w:t xml:space="preserve">производится одним из следующих </w:t>
      </w:r>
      <w:r w:rsidRPr="00361131">
        <w:rPr>
          <w:rFonts w:eastAsia="Times New Roman"/>
          <w:iCs/>
          <w:lang w:eastAsia="en-US"/>
        </w:rPr>
        <w:t>способов</w:t>
      </w:r>
      <w:r w:rsidRPr="00361131">
        <w:rPr>
          <w:rFonts w:eastAsia="Times New Roman"/>
          <w:lang w:eastAsia="en-US"/>
        </w:rPr>
        <w:t>:</w:t>
      </w:r>
    </w:p>
    <w:p w:rsidR="00A3618A" w:rsidRDefault="00A3618A" w:rsidP="00361131">
      <w:pPr>
        <w:pStyle w:val="11"/>
        <w:numPr>
          <w:ilvl w:val="0"/>
          <w:numId w:val="1"/>
        </w:numPr>
        <w:rPr>
          <w:rFonts w:eastAsia="Times New Roman"/>
          <w:lang w:eastAsia="en-US"/>
        </w:rPr>
      </w:pPr>
      <w:r>
        <w:rPr>
          <w:rFonts w:eastAsia="Times New Roman"/>
          <w:lang w:eastAsia="en-US"/>
        </w:rPr>
        <w:t>линейный способ;</w:t>
      </w:r>
    </w:p>
    <w:p w:rsidR="00A3618A" w:rsidRDefault="00A3618A" w:rsidP="00361131">
      <w:pPr>
        <w:pStyle w:val="11"/>
        <w:numPr>
          <w:ilvl w:val="0"/>
          <w:numId w:val="1"/>
        </w:numPr>
        <w:rPr>
          <w:rFonts w:eastAsia="Times New Roman"/>
          <w:lang w:eastAsia="en-US"/>
        </w:rPr>
      </w:pPr>
      <w:r>
        <w:rPr>
          <w:rFonts w:eastAsia="Times New Roman"/>
          <w:lang w:eastAsia="en-US"/>
        </w:rPr>
        <w:t>способ уменьшаемого остатка;</w:t>
      </w:r>
    </w:p>
    <w:p w:rsidR="00A3618A" w:rsidRDefault="00A3618A" w:rsidP="00361131">
      <w:pPr>
        <w:pStyle w:val="11"/>
        <w:numPr>
          <w:ilvl w:val="0"/>
          <w:numId w:val="1"/>
        </w:numPr>
        <w:rPr>
          <w:rFonts w:eastAsia="Times New Roman"/>
          <w:lang w:eastAsia="en-US"/>
        </w:rPr>
      </w:pPr>
      <w:r>
        <w:rPr>
          <w:rFonts w:eastAsia="Times New Roman"/>
          <w:lang w:eastAsia="en-US"/>
        </w:rPr>
        <w:t>способ списания стоимости по сумме чисел лет срока полезного использования;</w:t>
      </w:r>
    </w:p>
    <w:p w:rsidR="00A3618A" w:rsidRDefault="00A3618A" w:rsidP="00361131">
      <w:pPr>
        <w:pStyle w:val="11"/>
        <w:numPr>
          <w:ilvl w:val="0"/>
          <w:numId w:val="1"/>
        </w:numPr>
        <w:rPr>
          <w:rFonts w:eastAsia="Times New Roman"/>
          <w:lang w:eastAsia="en-US"/>
        </w:rPr>
      </w:pPr>
      <w:r>
        <w:rPr>
          <w:rFonts w:eastAsia="Times New Roman"/>
          <w:lang w:eastAsia="en-US"/>
        </w:rPr>
        <w:t>способ списания стоимости пропорционально объему продукции (работ).</w:t>
      </w:r>
    </w:p>
    <w:p w:rsidR="00A3618A" w:rsidRDefault="00A3618A" w:rsidP="00361131">
      <w:pPr>
        <w:pStyle w:val="11"/>
        <w:rPr>
          <w:rFonts w:eastAsia="Times New Roman"/>
          <w:lang w:eastAsia="en-US"/>
        </w:rPr>
      </w:pPr>
      <w:r>
        <w:rPr>
          <w:rFonts w:eastAsia="Times New Roman"/>
          <w:lang w:eastAsia="en-US"/>
        </w:rPr>
        <w:t>Применение одного из этих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A3618A" w:rsidRDefault="00A3618A" w:rsidP="00361131">
      <w:pPr>
        <w:pStyle w:val="11"/>
        <w:jc w:val="center"/>
        <w:rPr>
          <w:b/>
          <w:bCs/>
          <w:color w:val="000000"/>
          <w:sz w:val="28"/>
          <w:szCs w:val="28"/>
        </w:rPr>
      </w:pPr>
      <w:r w:rsidRPr="00361131">
        <w:rPr>
          <w:b/>
          <w:bCs/>
          <w:color w:val="000000"/>
          <w:sz w:val="28"/>
          <w:szCs w:val="28"/>
        </w:rPr>
        <w:t>2.1 Линейный способ</w:t>
      </w:r>
    </w:p>
    <w:p w:rsidR="00A3618A" w:rsidRDefault="00A3618A" w:rsidP="005C3FF6">
      <w:pPr>
        <w:pStyle w:val="11"/>
        <w:rPr>
          <w:rFonts w:eastAsia="Times New Roman"/>
          <w:szCs w:val="20"/>
        </w:rPr>
      </w:pPr>
      <w:r w:rsidRPr="001817C4">
        <w:rPr>
          <w:rFonts w:eastAsia="Times New Roman"/>
          <w:szCs w:val="20"/>
        </w:rPr>
        <w:t xml:space="preserve">Линейный способ относится к самым распространенным. Его используют примерно 70 % всех предприятий. Популярность линейного способа обусловлена простотой применения. </w:t>
      </w:r>
    </w:p>
    <w:p w:rsidR="00A3618A" w:rsidRDefault="00A3618A" w:rsidP="005C3FF6">
      <w:pPr>
        <w:pStyle w:val="11"/>
        <w:rPr>
          <w:rFonts w:eastAsia="Times New Roman"/>
          <w:szCs w:val="20"/>
        </w:rPr>
      </w:pPr>
      <w:r>
        <w:rPr>
          <w:rFonts w:eastAsia="Times New Roman"/>
          <w:szCs w:val="20"/>
        </w:rPr>
        <w:t>Линейный способ основан на предположении, что износ основных средств происходит равномерно в течение всего срока их службы.</w:t>
      </w:r>
    </w:p>
    <w:p w:rsidR="00A3618A" w:rsidRDefault="00A3618A" w:rsidP="005C3FF6">
      <w:pPr>
        <w:pStyle w:val="11"/>
        <w:rPr>
          <w:rFonts w:eastAsia="Times New Roman"/>
          <w:szCs w:val="20"/>
        </w:rPr>
      </w:pPr>
      <w:r w:rsidRPr="005C3FF6">
        <w:rPr>
          <w:rFonts w:eastAsia="Times New Roman"/>
          <w:szCs w:val="20"/>
        </w:rPr>
        <w:t>Годовая сумма амортизационных отчислений определяется</w:t>
      </w:r>
      <w:r w:rsidRPr="005C3FF6">
        <w:rPr>
          <w:rFonts w:eastAsia="Times New Roman"/>
        </w:rPr>
        <w:t xml:space="preserve"> </w:t>
      </w:r>
      <w:r w:rsidRPr="005C3FF6">
        <w:rPr>
          <w:rFonts w:eastAsia="Times New Roman"/>
          <w:szCs w:val="20"/>
        </w:rPr>
        <w:t>при линейном способе – исходя из первоначальной стоимости</w:t>
      </w:r>
      <w:r w:rsidRPr="005C3FF6">
        <w:rPr>
          <w:rFonts w:eastAsia="Times New Roman"/>
        </w:rPr>
        <w:t xml:space="preserve"> </w:t>
      </w:r>
      <w:r w:rsidRPr="005C3FF6">
        <w:rPr>
          <w:rFonts w:eastAsia="Times New Roman"/>
          <w:szCs w:val="20"/>
        </w:rPr>
        <w:t>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w:t>
      </w:r>
      <w:r w:rsidRPr="005C3FF6">
        <w:rPr>
          <w:rFonts w:eastAsia="Times New Roman"/>
        </w:rPr>
        <w:t xml:space="preserve"> </w:t>
      </w:r>
      <w:r w:rsidRPr="005C3FF6">
        <w:rPr>
          <w:rFonts w:eastAsia="Times New Roman"/>
          <w:szCs w:val="20"/>
        </w:rPr>
        <w:t>этого объекта</w:t>
      </w:r>
      <w:r>
        <w:rPr>
          <w:rFonts w:eastAsia="Times New Roman"/>
          <w:szCs w:val="20"/>
        </w:rPr>
        <w:t>.</w:t>
      </w:r>
    </w:p>
    <w:p w:rsidR="00A3618A" w:rsidRDefault="00A3618A" w:rsidP="001817C4">
      <w:pPr>
        <w:pStyle w:val="11"/>
        <w:jc w:val="center"/>
        <w:rPr>
          <w:rFonts w:eastAsia="Times New Roman"/>
          <w:b/>
          <w:lang w:eastAsia="en-US"/>
        </w:rPr>
      </w:pPr>
      <w:r w:rsidRPr="001817C4">
        <w:rPr>
          <w:rFonts w:eastAsia="Times New Roman"/>
          <w:b/>
          <w:lang w:eastAsia="en-US"/>
        </w:rPr>
        <w:t xml:space="preserve">А= </w:t>
      </w:r>
      <w:r>
        <w:rPr>
          <w:rFonts w:eastAsia="Times New Roman"/>
          <w:b/>
          <w:lang w:eastAsia="en-US"/>
        </w:rPr>
        <w:t>(</w:t>
      </w:r>
      <w:r w:rsidRPr="001817C4">
        <w:rPr>
          <w:rFonts w:eastAsia="Times New Roman"/>
          <w:b/>
          <w:lang w:eastAsia="en-US"/>
        </w:rPr>
        <w:t>Сос.</w:t>
      </w:r>
      <w:r>
        <w:rPr>
          <w:rFonts w:eastAsia="Times New Roman"/>
          <w:b/>
          <w:lang w:eastAsia="en-US"/>
        </w:rPr>
        <w:t>п</w:t>
      </w:r>
      <w:r w:rsidRPr="001817C4">
        <w:rPr>
          <w:b/>
          <w:lang w:eastAsia="en-US"/>
        </w:rPr>
        <w:t xml:space="preserve"> × </w:t>
      </w:r>
      <w:r w:rsidRPr="001817C4">
        <w:rPr>
          <w:rFonts w:eastAsia="Times New Roman"/>
          <w:b/>
          <w:lang w:eastAsia="en-US"/>
        </w:rPr>
        <w:t>На</w:t>
      </w:r>
      <w:r>
        <w:rPr>
          <w:b/>
          <w:lang w:eastAsia="en-US"/>
        </w:rPr>
        <w:t>) ÷ 100%</w:t>
      </w:r>
    </w:p>
    <w:p w:rsidR="00A3618A" w:rsidRDefault="00837415" w:rsidP="001817C4">
      <w:pPr>
        <w:pStyle w:val="11"/>
        <w:jc w:val="center"/>
        <w:rPr>
          <w:rFonts w:eastAsia="Times New Roman"/>
          <w:b/>
          <w:lang w:eastAsia="en-US"/>
        </w:rPr>
      </w:pPr>
      <w:r>
        <w:rPr>
          <w:rFonts w:eastAsia="Times New Roman"/>
          <w:b/>
          <w:noProof/>
        </w:rPr>
        <w:pict>
          <v:shape id="_x0000_i1028" type="#_x0000_t75" style="width:236.25pt;height:33pt;visibility:visible">
            <v:imagedata r:id="rId10" o:title=""/>
          </v:shape>
        </w:pict>
      </w:r>
    </w:p>
    <w:p w:rsidR="00A3618A" w:rsidRPr="001817C4" w:rsidRDefault="00A3618A" w:rsidP="001817C4">
      <w:pPr>
        <w:pStyle w:val="11"/>
        <w:rPr>
          <w:rFonts w:eastAsia="Times New Roman"/>
          <w:b/>
          <w:lang w:eastAsia="en-US"/>
        </w:rPr>
      </w:pPr>
      <w:r>
        <w:rPr>
          <w:rFonts w:eastAsia="Times New Roman"/>
          <w:b/>
          <w:lang w:eastAsia="en-US"/>
        </w:rPr>
        <w:t>Пример:</w:t>
      </w:r>
      <w:r w:rsidRPr="001817C4">
        <w:t xml:space="preserve"> </w:t>
      </w:r>
      <w:r w:rsidRPr="00C940F6">
        <w:rPr>
          <w:rFonts w:eastAsia="Times New Roman"/>
          <w:lang w:eastAsia="en-US"/>
        </w:rPr>
        <w:t>Предприятие  купило  компьютер  стоимостью  30 000 руб. и сроком службы  – 5 лет.</w:t>
      </w:r>
    </w:p>
    <w:p w:rsidR="00A3618A" w:rsidRDefault="00A3618A" w:rsidP="001817C4">
      <w:pPr>
        <w:pStyle w:val="11"/>
        <w:rPr>
          <w:rFonts w:eastAsia="Times New Roman"/>
          <w:lang w:eastAsia="en-US"/>
        </w:rPr>
      </w:pPr>
      <w:r w:rsidRPr="00C940F6">
        <w:rPr>
          <w:rFonts w:eastAsia="Times New Roman"/>
          <w:lang w:eastAsia="en-US"/>
        </w:rPr>
        <w:t xml:space="preserve">На = </w:t>
      </w:r>
      <w:r w:rsidRPr="00B1195B">
        <w:rPr>
          <w:lang w:eastAsia="en-US"/>
        </w:rPr>
        <w:t>(30000 ÷ (30000 × 5)) × 100%</w:t>
      </w:r>
      <w:r w:rsidRPr="00B1195B">
        <w:rPr>
          <w:rFonts w:eastAsia="Times New Roman"/>
          <w:lang w:eastAsia="en-US"/>
        </w:rPr>
        <w:t>=</w:t>
      </w:r>
      <w:r w:rsidRPr="00C940F6">
        <w:rPr>
          <w:rFonts w:eastAsia="Times New Roman"/>
          <w:lang w:eastAsia="en-US"/>
        </w:rPr>
        <w:t xml:space="preserve"> 20%</w:t>
      </w:r>
    </w:p>
    <w:p w:rsidR="00A3618A" w:rsidRDefault="00A3618A" w:rsidP="001817C4">
      <w:pPr>
        <w:pStyle w:val="11"/>
        <w:rPr>
          <w:rFonts w:eastAsia="Times New Roman"/>
          <w:lang w:eastAsia="en-US"/>
        </w:rPr>
      </w:pPr>
      <w:r w:rsidRPr="00CE0CA1">
        <w:rPr>
          <w:rFonts w:eastAsia="Times New Roman"/>
          <w:lang w:eastAsia="en-US"/>
        </w:rPr>
        <w:t>Расчет амортизации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119"/>
        <w:gridCol w:w="2977"/>
        <w:gridCol w:w="2800"/>
      </w:tblGrid>
      <w:tr w:rsidR="00A3618A" w:rsidTr="00CD59A3">
        <w:tc>
          <w:tcPr>
            <w:tcW w:w="675" w:type="dxa"/>
            <w:vAlign w:val="center"/>
          </w:tcPr>
          <w:p w:rsidR="00A3618A" w:rsidRPr="00CD59A3" w:rsidRDefault="00A3618A" w:rsidP="00CD59A3">
            <w:pPr>
              <w:jc w:val="center"/>
              <w:rPr>
                <w:rFonts w:ascii="Arial" w:hAnsi="Arial" w:cs="Arial"/>
                <w:b/>
              </w:rPr>
            </w:pPr>
            <w:r w:rsidRPr="00CD59A3">
              <w:rPr>
                <w:rFonts w:ascii="Arial" w:hAnsi="Arial" w:cs="Arial"/>
                <w:b/>
              </w:rPr>
              <w:t>Год</w:t>
            </w:r>
          </w:p>
        </w:tc>
        <w:tc>
          <w:tcPr>
            <w:tcW w:w="3119" w:type="dxa"/>
            <w:vAlign w:val="center"/>
          </w:tcPr>
          <w:p w:rsidR="00A3618A" w:rsidRPr="00CD59A3" w:rsidRDefault="00A3618A" w:rsidP="00CD59A3">
            <w:pPr>
              <w:jc w:val="center"/>
              <w:rPr>
                <w:rFonts w:ascii="Arial" w:hAnsi="Arial" w:cs="Arial"/>
                <w:b/>
              </w:rPr>
            </w:pPr>
            <w:r w:rsidRPr="00CD59A3">
              <w:rPr>
                <w:rFonts w:ascii="Arial" w:hAnsi="Arial" w:cs="Arial"/>
                <w:b/>
              </w:rPr>
              <w:t>Остаточная стоимость на начало года (руб.)</w:t>
            </w:r>
          </w:p>
        </w:tc>
        <w:tc>
          <w:tcPr>
            <w:tcW w:w="2977" w:type="dxa"/>
            <w:vAlign w:val="center"/>
          </w:tcPr>
          <w:p w:rsidR="00A3618A" w:rsidRPr="00CD59A3" w:rsidRDefault="00A3618A" w:rsidP="00CD59A3">
            <w:pPr>
              <w:jc w:val="center"/>
              <w:rPr>
                <w:rFonts w:ascii="Arial" w:hAnsi="Arial" w:cs="Arial"/>
                <w:b/>
              </w:rPr>
            </w:pPr>
            <w:r w:rsidRPr="00CD59A3">
              <w:rPr>
                <w:rFonts w:ascii="Arial" w:hAnsi="Arial" w:cs="Arial"/>
                <w:b/>
              </w:rPr>
              <w:t>Сумма годовой амортизации (руб.)</w:t>
            </w:r>
          </w:p>
        </w:tc>
        <w:tc>
          <w:tcPr>
            <w:tcW w:w="2800" w:type="dxa"/>
            <w:vAlign w:val="center"/>
          </w:tcPr>
          <w:p w:rsidR="00A3618A" w:rsidRPr="00CD59A3" w:rsidRDefault="00A3618A" w:rsidP="00CD59A3">
            <w:pPr>
              <w:jc w:val="center"/>
              <w:rPr>
                <w:rFonts w:ascii="Arial" w:hAnsi="Arial" w:cs="Arial"/>
                <w:b/>
              </w:rPr>
            </w:pPr>
            <w:r w:rsidRPr="00CD59A3">
              <w:rPr>
                <w:rFonts w:ascii="Arial" w:hAnsi="Arial" w:cs="Arial"/>
                <w:b/>
              </w:rPr>
              <w:t>Остаточная стоимость на конец года (руб.)</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1</w:t>
            </w:r>
          </w:p>
        </w:tc>
        <w:tc>
          <w:tcPr>
            <w:tcW w:w="3119" w:type="dxa"/>
            <w:vAlign w:val="center"/>
          </w:tcPr>
          <w:p w:rsidR="00A3618A" w:rsidRPr="00CD59A3" w:rsidRDefault="00A3618A" w:rsidP="00CD59A3">
            <w:pPr>
              <w:jc w:val="center"/>
              <w:rPr>
                <w:rFonts w:ascii="Arial" w:hAnsi="Arial" w:cs="Arial"/>
              </w:rPr>
            </w:pPr>
            <w:r w:rsidRPr="00CD59A3">
              <w:rPr>
                <w:rFonts w:ascii="Arial" w:hAnsi="Arial" w:cs="Arial"/>
              </w:rPr>
              <w:t>30000</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30000×20% = 6000</w:t>
            </w:r>
          </w:p>
        </w:tc>
        <w:tc>
          <w:tcPr>
            <w:tcW w:w="2800" w:type="dxa"/>
            <w:vAlign w:val="center"/>
          </w:tcPr>
          <w:p w:rsidR="00A3618A" w:rsidRPr="00CD59A3" w:rsidRDefault="00A3618A" w:rsidP="00CD59A3">
            <w:pPr>
              <w:jc w:val="center"/>
              <w:rPr>
                <w:rFonts w:ascii="Arial" w:hAnsi="Arial" w:cs="Arial"/>
              </w:rPr>
            </w:pPr>
            <w:r w:rsidRPr="00CD59A3">
              <w:rPr>
                <w:rFonts w:ascii="Arial" w:hAnsi="Arial" w:cs="Arial"/>
              </w:rPr>
              <w:t>30000-6000=24000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2</w:t>
            </w:r>
          </w:p>
        </w:tc>
        <w:tc>
          <w:tcPr>
            <w:tcW w:w="3119" w:type="dxa"/>
            <w:vAlign w:val="center"/>
          </w:tcPr>
          <w:p w:rsidR="00A3618A" w:rsidRPr="00CD59A3" w:rsidRDefault="00A3618A" w:rsidP="00CD59A3">
            <w:pPr>
              <w:jc w:val="center"/>
              <w:rPr>
                <w:rFonts w:ascii="Arial" w:hAnsi="Arial" w:cs="Arial"/>
              </w:rPr>
            </w:pPr>
            <w:r w:rsidRPr="00CD59A3">
              <w:rPr>
                <w:rFonts w:ascii="Arial" w:hAnsi="Arial" w:cs="Arial"/>
              </w:rPr>
              <w:t>24000</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6000</w:t>
            </w:r>
          </w:p>
        </w:tc>
        <w:tc>
          <w:tcPr>
            <w:tcW w:w="2800" w:type="dxa"/>
            <w:vAlign w:val="center"/>
          </w:tcPr>
          <w:p w:rsidR="00A3618A" w:rsidRPr="00CD59A3" w:rsidRDefault="00A3618A" w:rsidP="00CD59A3">
            <w:pPr>
              <w:jc w:val="center"/>
              <w:rPr>
                <w:rFonts w:ascii="Arial" w:hAnsi="Arial" w:cs="Arial"/>
              </w:rPr>
            </w:pPr>
            <w:r w:rsidRPr="00CD59A3">
              <w:rPr>
                <w:rFonts w:ascii="Arial" w:hAnsi="Arial" w:cs="Arial"/>
              </w:rPr>
              <w:t>24000-6000=18000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3</w:t>
            </w:r>
          </w:p>
        </w:tc>
        <w:tc>
          <w:tcPr>
            <w:tcW w:w="3119" w:type="dxa"/>
            <w:vAlign w:val="center"/>
          </w:tcPr>
          <w:p w:rsidR="00A3618A" w:rsidRPr="00CD59A3" w:rsidRDefault="00A3618A" w:rsidP="00CD59A3">
            <w:pPr>
              <w:jc w:val="center"/>
              <w:rPr>
                <w:rFonts w:ascii="Arial" w:hAnsi="Arial" w:cs="Arial"/>
              </w:rPr>
            </w:pPr>
            <w:r w:rsidRPr="00CD59A3">
              <w:rPr>
                <w:rFonts w:ascii="Arial" w:hAnsi="Arial" w:cs="Arial"/>
              </w:rPr>
              <w:t>18000</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6000</w:t>
            </w:r>
          </w:p>
        </w:tc>
        <w:tc>
          <w:tcPr>
            <w:tcW w:w="2800" w:type="dxa"/>
            <w:vAlign w:val="center"/>
          </w:tcPr>
          <w:p w:rsidR="00A3618A" w:rsidRPr="00CD59A3" w:rsidRDefault="00A3618A" w:rsidP="00CD59A3">
            <w:pPr>
              <w:jc w:val="center"/>
              <w:rPr>
                <w:rFonts w:ascii="Arial" w:hAnsi="Arial" w:cs="Arial"/>
              </w:rPr>
            </w:pPr>
            <w:r w:rsidRPr="00CD59A3">
              <w:rPr>
                <w:rFonts w:ascii="Arial" w:hAnsi="Arial" w:cs="Arial"/>
              </w:rPr>
              <w:t>18000-6000=12000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4</w:t>
            </w:r>
          </w:p>
        </w:tc>
        <w:tc>
          <w:tcPr>
            <w:tcW w:w="3119" w:type="dxa"/>
            <w:vAlign w:val="center"/>
          </w:tcPr>
          <w:p w:rsidR="00A3618A" w:rsidRPr="00CD59A3" w:rsidRDefault="00A3618A" w:rsidP="00CD59A3">
            <w:pPr>
              <w:jc w:val="center"/>
              <w:rPr>
                <w:rFonts w:ascii="Arial" w:hAnsi="Arial" w:cs="Arial"/>
              </w:rPr>
            </w:pPr>
            <w:r w:rsidRPr="00CD59A3">
              <w:rPr>
                <w:rFonts w:ascii="Arial" w:hAnsi="Arial" w:cs="Arial"/>
              </w:rPr>
              <w:t>12000</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6000</w:t>
            </w:r>
          </w:p>
        </w:tc>
        <w:tc>
          <w:tcPr>
            <w:tcW w:w="2800" w:type="dxa"/>
            <w:vAlign w:val="center"/>
          </w:tcPr>
          <w:p w:rsidR="00A3618A" w:rsidRPr="00CD59A3" w:rsidRDefault="00A3618A" w:rsidP="00CD59A3">
            <w:pPr>
              <w:jc w:val="center"/>
              <w:rPr>
                <w:rFonts w:ascii="Arial" w:hAnsi="Arial" w:cs="Arial"/>
              </w:rPr>
            </w:pPr>
            <w:r w:rsidRPr="00CD59A3">
              <w:rPr>
                <w:rFonts w:ascii="Arial" w:hAnsi="Arial" w:cs="Arial"/>
              </w:rPr>
              <w:t>12000-6000=6000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5</w:t>
            </w:r>
          </w:p>
        </w:tc>
        <w:tc>
          <w:tcPr>
            <w:tcW w:w="3119" w:type="dxa"/>
            <w:vAlign w:val="center"/>
          </w:tcPr>
          <w:p w:rsidR="00A3618A" w:rsidRPr="00CD59A3" w:rsidRDefault="00A3618A" w:rsidP="00CD59A3">
            <w:pPr>
              <w:jc w:val="center"/>
              <w:rPr>
                <w:rFonts w:ascii="Arial" w:hAnsi="Arial" w:cs="Arial"/>
              </w:rPr>
            </w:pPr>
            <w:r w:rsidRPr="00CD59A3">
              <w:rPr>
                <w:rFonts w:ascii="Arial" w:hAnsi="Arial" w:cs="Arial"/>
              </w:rPr>
              <w:t>6000</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6000</w:t>
            </w:r>
          </w:p>
        </w:tc>
        <w:tc>
          <w:tcPr>
            <w:tcW w:w="2800" w:type="dxa"/>
            <w:vAlign w:val="center"/>
          </w:tcPr>
          <w:p w:rsidR="00A3618A" w:rsidRPr="00CD59A3" w:rsidRDefault="00A3618A" w:rsidP="00CD59A3">
            <w:pPr>
              <w:jc w:val="center"/>
              <w:rPr>
                <w:rFonts w:ascii="Arial" w:hAnsi="Arial" w:cs="Arial"/>
              </w:rPr>
            </w:pPr>
            <w:r w:rsidRPr="00CD59A3">
              <w:rPr>
                <w:rFonts w:ascii="Arial" w:hAnsi="Arial" w:cs="Arial"/>
              </w:rPr>
              <w:t>0</w:t>
            </w:r>
          </w:p>
        </w:tc>
      </w:tr>
    </w:tbl>
    <w:p w:rsidR="00A3618A" w:rsidRDefault="00A3618A" w:rsidP="001817C4">
      <w:pPr>
        <w:pStyle w:val="11"/>
      </w:pPr>
    </w:p>
    <w:p w:rsidR="00A3618A" w:rsidRDefault="00A3618A" w:rsidP="001817C4">
      <w:pPr>
        <w:pStyle w:val="11"/>
      </w:pPr>
      <w:r w:rsidRPr="00F45F92">
        <w:t>Нужно отметить следующее. Если остаточная стоимость актива равна нулю, то это не означает, цена компьютера стала равной нулю. Этот компьютер может имеет реальную стоимость, находиться в рабочем состоянии и прослужить ещё не один год. Нулевая остаточная стоимость данного компьютера означает только то, что предприятие полностью компенсировало затраты на его приобретение</w:t>
      </w:r>
      <w:r>
        <w:t>.</w:t>
      </w:r>
    </w:p>
    <w:p w:rsidR="00A3618A" w:rsidRDefault="00A3618A" w:rsidP="001817C4">
      <w:pPr>
        <w:pStyle w:val="11"/>
      </w:pPr>
      <w:r w:rsidRPr="00F45F92">
        <w:t>Линейный способ целесообразно применять для тех видов  основных средств, где время, а не устаревание (моральный износ) является основным фактором, ограничивающим срок службы.</w:t>
      </w:r>
    </w:p>
    <w:p w:rsidR="00A3618A" w:rsidRDefault="00A3618A" w:rsidP="00F45F92">
      <w:pPr>
        <w:pStyle w:val="11"/>
        <w:jc w:val="center"/>
        <w:rPr>
          <w:rFonts w:eastAsia="Times New Roman"/>
          <w:b/>
          <w:sz w:val="28"/>
          <w:szCs w:val="28"/>
          <w:lang w:eastAsia="en-US"/>
        </w:rPr>
      </w:pPr>
    </w:p>
    <w:p w:rsidR="00A3618A" w:rsidRDefault="00A3618A" w:rsidP="00F45F92">
      <w:pPr>
        <w:pStyle w:val="11"/>
        <w:jc w:val="center"/>
        <w:rPr>
          <w:rFonts w:eastAsia="Times New Roman"/>
          <w:b/>
          <w:sz w:val="28"/>
          <w:szCs w:val="28"/>
          <w:lang w:eastAsia="en-US"/>
        </w:rPr>
      </w:pPr>
      <w:r w:rsidRPr="00F45F92">
        <w:rPr>
          <w:rFonts w:eastAsia="Times New Roman"/>
          <w:b/>
          <w:sz w:val="28"/>
          <w:szCs w:val="28"/>
          <w:lang w:eastAsia="en-US"/>
        </w:rPr>
        <w:t>2.2 Способ уменьшаемого остатка</w:t>
      </w:r>
    </w:p>
    <w:p w:rsidR="00A3618A" w:rsidRDefault="00A3618A" w:rsidP="00F45F92">
      <w:pPr>
        <w:pStyle w:val="11"/>
        <w:rPr>
          <w:rFonts w:eastAsia="Times New Roman"/>
          <w:szCs w:val="20"/>
        </w:rPr>
      </w:pPr>
      <w:r>
        <w:rPr>
          <w:rFonts w:eastAsia="Times New Roman"/>
          <w:szCs w:val="20"/>
        </w:rPr>
        <w:t>Этот способ применяется очень редко, так как у предприятия остается большая недоамортизуемая сумма.</w:t>
      </w:r>
    </w:p>
    <w:p w:rsidR="00A3618A" w:rsidRDefault="00A3618A" w:rsidP="00F45F92">
      <w:pPr>
        <w:pStyle w:val="11"/>
        <w:rPr>
          <w:rFonts w:eastAsia="Times New Roman"/>
          <w:szCs w:val="20"/>
        </w:rPr>
      </w:pPr>
      <w:r w:rsidRPr="00F45F92">
        <w:rPr>
          <w:rFonts w:eastAsia="Times New Roman"/>
          <w:szCs w:val="20"/>
        </w:rPr>
        <w:t>Годовая сумма амортизационных отчислений определяется</w:t>
      </w:r>
      <w:r w:rsidRPr="00F45F92">
        <w:rPr>
          <w:rFonts w:eastAsia="Times New Roman"/>
        </w:rPr>
        <w:t xml:space="preserve"> </w:t>
      </w:r>
      <w:r w:rsidRPr="00F45F92">
        <w:rPr>
          <w:rFonts w:eastAsia="Times New Roman"/>
          <w:szCs w:val="20"/>
        </w:rPr>
        <w:t xml:space="preserve">при способе уменьшаемого остатка </w:t>
      </w:r>
      <w:r w:rsidRPr="00F45F92">
        <w:rPr>
          <w:rFonts w:eastAsia="Times New Roman"/>
        </w:rPr>
        <w:t>– исходя из остаточной стои</w:t>
      </w:r>
      <w:r w:rsidRPr="00F45F92">
        <w:rPr>
          <w:rFonts w:eastAsia="Times New Roman"/>
          <w:szCs w:val="20"/>
        </w:rPr>
        <w:t>мости объекта основных средств на начало отчетного года и</w:t>
      </w:r>
      <w:r w:rsidRPr="00F45F92">
        <w:rPr>
          <w:rFonts w:eastAsia="Times New Roman"/>
        </w:rPr>
        <w:t xml:space="preserve"> </w:t>
      </w:r>
      <w:r w:rsidRPr="00F45F92">
        <w:rPr>
          <w:rFonts w:eastAsia="Times New Roman"/>
          <w:szCs w:val="20"/>
        </w:rPr>
        <w:t>нормы амортизации, исчисленной исходя из срока полезного</w:t>
      </w:r>
      <w:r w:rsidRPr="00F45F92">
        <w:rPr>
          <w:rFonts w:eastAsia="Times New Roman"/>
        </w:rPr>
        <w:t xml:space="preserve"> </w:t>
      </w:r>
      <w:r w:rsidRPr="00F45F92">
        <w:rPr>
          <w:rFonts w:eastAsia="Times New Roman"/>
          <w:szCs w:val="20"/>
        </w:rPr>
        <w:t>использования этого объекта и коэффициента ускорения, установленного в соответствии с законодательством РФ</w:t>
      </w:r>
      <w:r>
        <w:rPr>
          <w:rFonts w:eastAsia="Times New Roman"/>
          <w:szCs w:val="20"/>
        </w:rPr>
        <w:t>.</w:t>
      </w:r>
    </w:p>
    <w:p w:rsidR="00A3618A" w:rsidRDefault="00A3618A" w:rsidP="00CE0CA1">
      <w:pPr>
        <w:pStyle w:val="11"/>
        <w:jc w:val="center"/>
        <w:rPr>
          <w:rFonts w:eastAsia="Times New Roman"/>
          <w:b/>
        </w:rPr>
      </w:pPr>
    </w:p>
    <w:p w:rsidR="00A3618A" w:rsidRPr="00CE0CA1" w:rsidRDefault="00A3618A" w:rsidP="00CE0CA1">
      <w:pPr>
        <w:pStyle w:val="11"/>
        <w:jc w:val="center"/>
        <w:rPr>
          <w:rFonts w:eastAsia="Times New Roman"/>
          <w:b/>
        </w:rPr>
      </w:pPr>
      <w:r w:rsidRPr="00CE0CA1">
        <w:rPr>
          <w:rFonts w:eastAsia="Times New Roman"/>
          <w:b/>
        </w:rPr>
        <w:t>A = Сос.ост.</w:t>
      </w:r>
      <w:r w:rsidRPr="00CE0CA1">
        <w:rPr>
          <w:b/>
        </w:rPr>
        <w:t xml:space="preserve">× </w:t>
      </w:r>
      <w:r w:rsidRPr="00CE0CA1">
        <w:rPr>
          <w:rFonts w:eastAsia="Times New Roman"/>
          <w:b/>
        </w:rPr>
        <w:t>((На</w:t>
      </w:r>
      <w:r>
        <w:rPr>
          <w:rFonts w:eastAsia="Times New Roman"/>
          <w:b/>
        </w:rPr>
        <w:t xml:space="preserve"> </w:t>
      </w:r>
      <w:r w:rsidRPr="00CE0CA1">
        <w:rPr>
          <w:b/>
        </w:rPr>
        <w:t>×</w:t>
      </w:r>
      <w:r>
        <w:rPr>
          <w:rFonts w:eastAsia="Times New Roman"/>
          <w:b/>
        </w:rPr>
        <w:t xml:space="preserve"> </w:t>
      </w:r>
      <w:r w:rsidRPr="00CE0CA1">
        <w:rPr>
          <w:rFonts w:eastAsia="Times New Roman"/>
          <w:b/>
        </w:rPr>
        <w:t>К)</w:t>
      </w:r>
      <w:r>
        <w:rPr>
          <w:rFonts w:eastAsia="Times New Roman"/>
          <w:b/>
        </w:rPr>
        <w:t xml:space="preserve"> </w:t>
      </w:r>
      <w:r w:rsidRPr="00CE0CA1">
        <w:rPr>
          <w:b/>
        </w:rPr>
        <w:t>÷</w:t>
      </w:r>
      <w:r>
        <w:rPr>
          <w:rFonts w:eastAsia="Times New Roman"/>
          <w:b/>
        </w:rPr>
        <w:t xml:space="preserve"> </w:t>
      </w:r>
      <w:r w:rsidRPr="00CE0CA1">
        <w:rPr>
          <w:rFonts w:eastAsia="Times New Roman"/>
          <w:b/>
        </w:rPr>
        <w:t>100%)</w:t>
      </w:r>
    </w:p>
    <w:p w:rsidR="00A3618A" w:rsidRDefault="00A3618A" w:rsidP="00F45F92">
      <w:pPr>
        <w:pStyle w:val="11"/>
        <w:rPr>
          <w:b/>
        </w:rPr>
      </w:pPr>
    </w:p>
    <w:p w:rsidR="00A3618A" w:rsidRDefault="00A3618A" w:rsidP="00F45F92">
      <w:pPr>
        <w:pStyle w:val="11"/>
      </w:pPr>
      <w:r w:rsidRPr="00CE0CA1">
        <w:rPr>
          <w:b/>
        </w:rPr>
        <w:t>Пример:</w:t>
      </w:r>
      <w:r>
        <w:t xml:space="preserve"> П</w:t>
      </w:r>
      <w:r w:rsidRPr="00CE0CA1">
        <w:t>редприятие  купило  станок,  стоимость которого равна  120 000 руб., срок службы составляет 8 лет. Коэффициент ускорения равен 2.</w:t>
      </w:r>
    </w:p>
    <w:p w:rsidR="00A3618A" w:rsidRDefault="00A3618A" w:rsidP="00F45F92">
      <w:pPr>
        <w:pStyle w:val="11"/>
        <w:rPr>
          <w:rFonts w:eastAsia="Times New Roman"/>
          <w:lang w:eastAsia="en-US"/>
        </w:rPr>
      </w:pPr>
    </w:p>
    <w:p w:rsidR="00A3618A" w:rsidRDefault="00A3618A" w:rsidP="00F45F92">
      <w:pPr>
        <w:pStyle w:val="11"/>
        <w:rPr>
          <w:rFonts w:eastAsia="Times New Roman"/>
          <w:lang w:eastAsia="en-US"/>
        </w:rPr>
      </w:pPr>
      <w:r w:rsidRPr="00C940F6">
        <w:rPr>
          <w:rFonts w:eastAsia="Times New Roman"/>
          <w:lang w:eastAsia="en-US"/>
        </w:rPr>
        <w:t xml:space="preserve">На = </w:t>
      </w:r>
      <w:r>
        <w:rPr>
          <w:rFonts w:eastAsia="Times New Roman"/>
          <w:lang w:eastAsia="en-US"/>
        </w:rPr>
        <w:t>(</w:t>
      </w:r>
      <w:r w:rsidRPr="00C940F6">
        <w:rPr>
          <w:lang w:eastAsia="en-US"/>
        </w:rPr>
        <w:t xml:space="preserve">100% ÷ </w:t>
      </w:r>
      <w:r>
        <w:rPr>
          <w:rFonts w:eastAsia="Times New Roman"/>
          <w:lang w:eastAsia="en-US"/>
        </w:rPr>
        <w:t>8</w:t>
      </w:r>
      <w:r w:rsidRPr="00C940F6">
        <w:rPr>
          <w:rFonts w:eastAsia="Times New Roman"/>
          <w:lang w:eastAsia="en-US"/>
        </w:rPr>
        <w:t>лет</w:t>
      </w:r>
      <w:r>
        <w:rPr>
          <w:rFonts w:eastAsia="Times New Roman"/>
          <w:lang w:eastAsia="en-US"/>
        </w:rPr>
        <w:t>)</w:t>
      </w:r>
      <w:r w:rsidRPr="00C940F6">
        <w:rPr>
          <w:rFonts w:eastAsia="Times New Roman"/>
          <w:lang w:eastAsia="en-US"/>
        </w:rPr>
        <w:t xml:space="preserve"> </w:t>
      </w:r>
      <w:r>
        <w:rPr>
          <w:lang w:eastAsia="en-US"/>
        </w:rPr>
        <w:t>× 2</w:t>
      </w:r>
      <w:r w:rsidRPr="00C940F6">
        <w:rPr>
          <w:rFonts w:eastAsia="Times New Roman"/>
          <w:lang w:eastAsia="en-US"/>
        </w:rPr>
        <w:t>= 2</w:t>
      </w:r>
      <w:r>
        <w:rPr>
          <w:rFonts w:eastAsia="Times New Roman"/>
          <w:lang w:eastAsia="en-US"/>
        </w:rPr>
        <w:t>5</w:t>
      </w:r>
      <w:r w:rsidRPr="00C940F6">
        <w:rPr>
          <w:rFonts w:eastAsia="Times New Roman"/>
          <w:lang w:eastAsia="en-US"/>
        </w:rPr>
        <w:t>%</w:t>
      </w:r>
    </w:p>
    <w:p w:rsidR="00A3618A" w:rsidRDefault="00A3618A" w:rsidP="00F45F92">
      <w:pPr>
        <w:pStyle w:val="11"/>
      </w:pPr>
    </w:p>
    <w:p w:rsidR="00A3618A" w:rsidRDefault="00A3618A" w:rsidP="00F45F92">
      <w:pPr>
        <w:pStyle w:val="11"/>
      </w:pPr>
      <w:r w:rsidRPr="00CE0CA1">
        <w:t>Расчет амортизации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77"/>
        <w:gridCol w:w="709"/>
        <w:gridCol w:w="2551"/>
        <w:gridCol w:w="2659"/>
      </w:tblGrid>
      <w:tr w:rsidR="00A3618A" w:rsidTr="00CD59A3">
        <w:tc>
          <w:tcPr>
            <w:tcW w:w="675" w:type="dxa"/>
            <w:vAlign w:val="center"/>
          </w:tcPr>
          <w:p w:rsidR="00A3618A" w:rsidRPr="00CD59A3" w:rsidRDefault="00A3618A" w:rsidP="00CD59A3">
            <w:pPr>
              <w:jc w:val="center"/>
              <w:rPr>
                <w:rFonts w:ascii="Arial" w:hAnsi="Arial" w:cs="Arial"/>
                <w:b/>
              </w:rPr>
            </w:pPr>
            <w:r w:rsidRPr="00CD59A3">
              <w:rPr>
                <w:rFonts w:ascii="Arial" w:hAnsi="Arial" w:cs="Arial"/>
                <w:b/>
              </w:rPr>
              <w:t>Год</w:t>
            </w:r>
          </w:p>
        </w:tc>
        <w:tc>
          <w:tcPr>
            <w:tcW w:w="2977" w:type="dxa"/>
            <w:vAlign w:val="center"/>
          </w:tcPr>
          <w:p w:rsidR="00A3618A" w:rsidRPr="00CD59A3" w:rsidRDefault="00A3618A" w:rsidP="00CD59A3">
            <w:pPr>
              <w:jc w:val="center"/>
              <w:rPr>
                <w:rFonts w:ascii="Arial" w:hAnsi="Arial" w:cs="Arial"/>
                <w:b/>
              </w:rPr>
            </w:pPr>
            <w:r w:rsidRPr="00CD59A3">
              <w:rPr>
                <w:rFonts w:ascii="Arial" w:hAnsi="Arial" w:cs="Arial"/>
                <w:b/>
              </w:rPr>
              <w:t>Остаточная стоимость на начало года (руб.)</w:t>
            </w:r>
          </w:p>
        </w:tc>
        <w:tc>
          <w:tcPr>
            <w:tcW w:w="709" w:type="dxa"/>
            <w:vAlign w:val="center"/>
          </w:tcPr>
          <w:p w:rsidR="00A3618A" w:rsidRPr="00CD59A3" w:rsidRDefault="00A3618A" w:rsidP="00CD59A3">
            <w:pPr>
              <w:jc w:val="center"/>
              <w:rPr>
                <w:rFonts w:ascii="Arial" w:hAnsi="Arial" w:cs="Arial"/>
                <w:b/>
              </w:rPr>
            </w:pPr>
            <w:r w:rsidRPr="00CD59A3">
              <w:rPr>
                <w:rFonts w:ascii="Arial" w:hAnsi="Arial" w:cs="Arial"/>
                <w:b/>
              </w:rPr>
              <w:t>На, %</w:t>
            </w:r>
          </w:p>
        </w:tc>
        <w:tc>
          <w:tcPr>
            <w:tcW w:w="2551" w:type="dxa"/>
            <w:vAlign w:val="center"/>
          </w:tcPr>
          <w:p w:rsidR="00A3618A" w:rsidRPr="00CD59A3" w:rsidRDefault="00A3618A" w:rsidP="00CD59A3">
            <w:pPr>
              <w:jc w:val="center"/>
              <w:rPr>
                <w:rFonts w:ascii="Arial" w:hAnsi="Arial" w:cs="Arial"/>
                <w:b/>
              </w:rPr>
            </w:pPr>
            <w:r w:rsidRPr="00CD59A3">
              <w:rPr>
                <w:rFonts w:ascii="Arial" w:hAnsi="Arial" w:cs="Arial"/>
                <w:b/>
              </w:rPr>
              <w:t>Сумма годовой амортизации (руб.)</w:t>
            </w:r>
          </w:p>
        </w:tc>
        <w:tc>
          <w:tcPr>
            <w:tcW w:w="2659" w:type="dxa"/>
            <w:vAlign w:val="center"/>
          </w:tcPr>
          <w:p w:rsidR="00A3618A" w:rsidRPr="00CD59A3" w:rsidRDefault="00A3618A" w:rsidP="00CD59A3">
            <w:pPr>
              <w:jc w:val="center"/>
              <w:rPr>
                <w:rFonts w:ascii="Arial" w:hAnsi="Arial" w:cs="Arial"/>
                <w:b/>
              </w:rPr>
            </w:pPr>
            <w:r w:rsidRPr="00CD59A3">
              <w:rPr>
                <w:rFonts w:ascii="Arial" w:hAnsi="Arial" w:cs="Arial"/>
                <w:b/>
              </w:rPr>
              <w:t>Остаточная стоимость на конец года (руб.)</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1</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120000</w:t>
            </w:r>
          </w:p>
        </w:tc>
        <w:tc>
          <w:tcPr>
            <w:tcW w:w="709" w:type="dxa"/>
            <w:vAlign w:val="center"/>
          </w:tcPr>
          <w:p w:rsidR="00A3618A" w:rsidRPr="00CD59A3" w:rsidRDefault="00A3618A" w:rsidP="00CD59A3">
            <w:pPr>
              <w:jc w:val="center"/>
              <w:rPr>
                <w:rFonts w:ascii="Arial" w:hAnsi="Arial" w:cs="Arial"/>
              </w:rP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120000×25%=30000</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120000-30000=90000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2</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90000</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90000×25%=22500</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90000-22500=67500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3</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67500</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67500×25%=16875</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67500-16875=50625</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4</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50625</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50625×25%=12656</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50625-12656=37969</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5</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37969</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37969×25%=9492</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37969-9492=28477</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6</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28477</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28477×25%=7119</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28477-7119=21357</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7</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21357</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21357×25%=5339</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21358-5339=16018</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8</w:t>
            </w:r>
          </w:p>
        </w:tc>
        <w:tc>
          <w:tcPr>
            <w:tcW w:w="2977" w:type="dxa"/>
            <w:vAlign w:val="center"/>
          </w:tcPr>
          <w:p w:rsidR="00A3618A" w:rsidRPr="00CD59A3" w:rsidRDefault="00A3618A" w:rsidP="00CD59A3">
            <w:pPr>
              <w:jc w:val="center"/>
              <w:rPr>
                <w:rFonts w:ascii="Arial" w:hAnsi="Arial" w:cs="Arial"/>
              </w:rPr>
            </w:pPr>
            <w:r w:rsidRPr="00CD59A3">
              <w:rPr>
                <w:rFonts w:ascii="Arial" w:hAnsi="Arial" w:cs="Arial"/>
              </w:rPr>
              <w:t>16018</w:t>
            </w:r>
          </w:p>
        </w:tc>
        <w:tc>
          <w:tcPr>
            <w:tcW w:w="709" w:type="dxa"/>
          </w:tcPr>
          <w:p w:rsidR="00A3618A" w:rsidRDefault="00A3618A" w:rsidP="00CD59A3">
            <w:pPr>
              <w:jc w:val="center"/>
            </w:pPr>
            <w:r w:rsidRPr="00CD59A3">
              <w:rPr>
                <w:rFonts w:ascii="Arial" w:hAnsi="Arial" w:cs="Arial"/>
              </w:rPr>
              <w:t>25</w:t>
            </w:r>
          </w:p>
        </w:tc>
        <w:tc>
          <w:tcPr>
            <w:tcW w:w="2551" w:type="dxa"/>
            <w:vAlign w:val="center"/>
          </w:tcPr>
          <w:p w:rsidR="00A3618A" w:rsidRPr="00CD59A3" w:rsidRDefault="00A3618A" w:rsidP="00CD59A3">
            <w:pPr>
              <w:jc w:val="center"/>
              <w:rPr>
                <w:rFonts w:ascii="Arial" w:hAnsi="Arial" w:cs="Arial"/>
              </w:rPr>
            </w:pPr>
            <w:r w:rsidRPr="00CD59A3">
              <w:rPr>
                <w:rFonts w:ascii="Arial" w:hAnsi="Arial" w:cs="Arial"/>
              </w:rPr>
              <w:t>16018×25%=4005</w:t>
            </w:r>
          </w:p>
        </w:tc>
        <w:tc>
          <w:tcPr>
            <w:tcW w:w="2659" w:type="dxa"/>
            <w:vAlign w:val="center"/>
          </w:tcPr>
          <w:p w:rsidR="00A3618A" w:rsidRPr="00CD59A3" w:rsidRDefault="00A3618A" w:rsidP="00CD59A3">
            <w:pPr>
              <w:jc w:val="center"/>
              <w:rPr>
                <w:rFonts w:ascii="Arial" w:hAnsi="Arial" w:cs="Arial"/>
              </w:rPr>
            </w:pPr>
            <w:r w:rsidRPr="00CD59A3">
              <w:rPr>
                <w:rFonts w:ascii="Arial" w:hAnsi="Arial" w:cs="Arial"/>
              </w:rPr>
              <w:t>16018-4005=12013</w:t>
            </w:r>
          </w:p>
        </w:tc>
      </w:tr>
    </w:tbl>
    <w:p w:rsidR="00A3618A" w:rsidRDefault="00A3618A" w:rsidP="00F45F92">
      <w:pPr>
        <w:pStyle w:val="11"/>
      </w:pPr>
    </w:p>
    <w:p w:rsidR="00A3618A" w:rsidRDefault="00A3618A" w:rsidP="00F45F92">
      <w:pPr>
        <w:pStyle w:val="11"/>
      </w:pPr>
      <w:r w:rsidRPr="00F1670E">
        <w:t>Следует отметить, что при таком способе первоначальная стоимость никогда не будет списана. В нашем примере в последний год начисления амортизации имеется остаток  12013 руб. Несмотря на этот недостаток, способ позволяет списать максимальную амортизационную стоимость в первые же годы работы актива. Таким образом, предприятие имеет возможность наиболее эффективно возмещать затраты по приобретению объекта основных средств.</w:t>
      </w:r>
    </w:p>
    <w:p w:rsidR="00A3618A" w:rsidRDefault="00A3618A" w:rsidP="00F1670E">
      <w:pPr>
        <w:pStyle w:val="11"/>
        <w:jc w:val="center"/>
        <w:rPr>
          <w:rFonts w:eastAsia="Times New Roman"/>
          <w:b/>
          <w:sz w:val="28"/>
          <w:szCs w:val="28"/>
          <w:lang w:eastAsia="en-US"/>
        </w:rPr>
      </w:pPr>
    </w:p>
    <w:p w:rsidR="00A3618A" w:rsidRDefault="00A3618A" w:rsidP="00F1670E">
      <w:pPr>
        <w:pStyle w:val="11"/>
        <w:jc w:val="center"/>
        <w:rPr>
          <w:rFonts w:eastAsia="Times New Roman"/>
          <w:b/>
          <w:sz w:val="28"/>
          <w:szCs w:val="28"/>
          <w:lang w:eastAsia="en-US"/>
        </w:rPr>
      </w:pPr>
    </w:p>
    <w:p w:rsidR="00A3618A" w:rsidRDefault="00A3618A" w:rsidP="00F1670E">
      <w:pPr>
        <w:pStyle w:val="11"/>
        <w:jc w:val="center"/>
        <w:rPr>
          <w:rFonts w:eastAsia="Times New Roman"/>
          <w:b/>
          <w:sz w:val="28"/>
          <w:szCs w:val="28"/>
          <w:lang w:eastAsia="en-US"/>
        </w:rPr>
      </w:pPr>
      <w:r w:rsidRPr="00F1670E">
        <w:rPr>
          <w:rFonts w:eastAsia="Times New Roman"/>
          <w:b/>
          <w:sz w:val="28"/>
          <w:szCs w:val="28"/>
          <w:lang w:eastAsia="en-US"/>
        </w:rPr>
        <w:t>2.3 Способ списания стоимости по сумме чисел лет срока полезного использования</w:t>
      </w:r>
    </w:p>
    <w:p w:rsidR="00A3618A" w:rsidRPr="003B343E" w:rsidRDefault="00A3618A" w:rsidP="003B343E">
      <w:pPr>
        <w:pStyle w:val="11"/>
        <w:rPr>
          <w:rFonts w:eastAsia="Times New Roman"/>
        </w:rPr>
      </w:pPr>
      <w:r w:rsidRPr="003B343E">
        <w:rPr>
          <w:rFonts w:eastAsia="Times New Roman"/>
          <w:szCs w:val="20"/>
        </w:rPr>
        <w:t>Годовая сумма амортизационных отчислений определяется</w:t>
      </w:r>
      <w:r w:rsidRPr="003B343E">
        <w:rPr>
          <w:rFonts w:eastAsia="Times New Roman"/>
        </w:rPr>
        <w:t xml:space="preserve"> </w:t>
      </w:r>
      <w:r w:rsidRPr="003B343E">
        <w:rPr>
          <w:rFonts w:eastAsia="Times New Roman"/>
          <w:szCs w:val="20"/>
        </w:rPr>
        <w:t>при способе списания стоимо</w:t>
      </w:r>
      <w:r w:rsidRPr="003B343E">
        <w:rPr>
          <w:rFonts w:eastAsia="Times New Roman"/>
        </w:rPr>
        <w:t>сти по сумме чисел лет срока по</w:t>
      </w:r>
      <w:r w:rsidRPr="003B343E">
        <w:rPr>
          <w:rFonts w:eastAsia="Times New Roman"/>
          <w:szCs w:val="20"/>
        </w:rPr>
        <w:t>лезного использования – исходя из первоначальной стоимости</w:t>
      </w:r>
      <w:r w:rsidRPr="003B343E">
        <w:rPr>
          <w:rFonts w:eastAsia="Times New Roman"/>
        </w:rPr>
        <w:t xml:space="preserve"> </w:t>
      </w:r>
      <w:r w:rsidRPr="003B343E">
        <w:rPr>
          <w:rFonts w:eastAsia="Times New Roman"/>
          <w:szCs w:val="20"/>
        </w:rPr>
        <w:t>или текущей (восстановител</w:t>
      </w:r>
      <w:r w:rsidRPr="003B343E">
        <w:rPr>
          <w:rFonts w:eastAsia="Times New Roman"/>
        </w:rPr>
        <w:t>ьной) стоимости (в случае прове</w:t>
      </w:r>
      <w:r w:rsidRPr="003B343E">
        <w:rPr>
          <w:rFonts w:eastAsia="Times New Roman"/>
          <w:szCs w:val="20"/>
        </w:rPr>
        <w:t>дения переоценки) объекта основных средств и соотношения, в</w:t>
      </w:r>
      <w:r w:rsidRPr="003B343E">
        <w:rPr>
          <w:rFonts w:eastAsia="Times New Roman"/>
        </w:rPr>
        <w:t xml:space="preserve"> </w:t>
      </w:r>
      <w:r w:rsidRPr="003B343E">
        <w:rPr>
          <w:rFonts w:eastAsia="Times New Roman"/>
          <w:szCs w:val="20"/>
        </w:rPr>
        <w:t>числителе которого число ле</w:t>
      </w:r>
      <w:r w:rsidRPr="003B343E">
        <w:rPr>
          <w:rFonts w:eastAsia="Times New Roman"/>
        </w:rPr>
        <w:t>т, остающихся до конца срока по</w:t>
      </w:r>
      <w:r w:rsidRPr="003B343E">
        <w:rPr>
          <w:rFonts w:eastAsia="Times New Roman"/>
          <w:szCs w:val="20"/>
        </w:rPr>
        <w:t>лезного использования объекта, а в знаменателе – сумма чисел</w:t>
      </w:r>
      <w:r w:rsidRPr="003B343E">
        <w:rPr>
          <w:rFonts w:eastAsia="Times New Roman"/>
        </w:rPr>
        <w:t xml:space="preserve"> </w:t>
      </w:r>
      <w:r w:rsidRPr="003B343E">
        <w:rPr>
          <w:rFonts w:eastAsia="Times New Roman"/>
          <w:szCs w:val="20"/>
        </w:rPr>
        <w:t xml:space="preserve">лет срока полезного использования объекта. </w:t>
      </w:r>
    </w:p>
    <w:p w:rsidR="00A3618A" w:rsidRPr="003B343E" w:rsidRDefault="00A3618A" w:rsidP="003B343E">
      <w:pPr>
        <w:pStyle w:val="11"/>
        <w:rPr>
          <w:rFonts w:eastAsia="Times New Roman"/>
          <w:szCs w:val="20"/>
        </w:rPr>
      </w:pPr>
      <w:r w:rsidRPr="003B343E">
        <w:rPr>
          <w:rFonts w:eastAsia="Times New Roman"/>
          <w:szCs w:val="20"/>
        </w:rPr>
        <w:t>В течение отчетного года амортизационные отчисления по</w:t>
      </w:r>
      <w:r w:rsidRPr="003B343E">
        <w:rPr>
          <w:rFonts w:eastAsia="Times New Roman"/>
        </w:rPr>
        <w:t xml:space="preserve"> </w:t>
      </w:r>
      <w:r w:rsidRPr="003B343E">
        <w:rPr>
          <w:rFonts w:eastAsia="Times New Roman"/>
          <w:szCs w:val="20"/>
        </w:rPr>
        <w:t>объектам основных средств начисляются ежемесячно независимо от</w:t>
      </w:r>
      <w:r w:rsidRPr="003B343E">
        <w:rPr>
          <w:rFonts w:eastAsia="Times New Roman"/>
        </w:rPr>
        <w:t xml:space="preserve"> </w:t>
      </w:r>
      <w:r w:rsidRPr="003B343E">
        <w:rPr>
          <w:rFonts w:eastAsia="Times New Roman"/>
          <w:szCs w:val="20"/>
        </w:rPr>
        <w:t>применяемого способа начисления в размере 1\12 годовой суммы.</w:t>
      </w:r>
    </w:p>
    <w:p w:rsidR="00A3618A" w:rsidRDefault="00A3618A" w:rsidP="003B343E">
      <w:pPr>
        <w:pStyle w:val="11"/>
        <w:rPr>
          <w:rFonts w:eastAsia="Times New Roman"/>
          <w:szCs w:val="20"/>
        </w:rPr>
      </w:pPr>
      <w:r w:rsidRPr="003B343E">
        <w:rPr>
          <w:rFonts w:eastAsia="Times New Roman"/>
          <w:szCs w:val="20"/>
        </w:rPr>
        <w:t>По основным средствам, используемым в</w:t>
      </w:r>
      <w:r w:rsidRPr="003B343E">
        <w:rPr>
          <w:rFonts w:eastAsia="Times New Roman"/>
        </w:rPr>
        <w:t xml:space="preserve"> организациях с се</w:t>
      </w:r>
      <w:r w:rsidRPr="003B343E">
        <w:rPr>
          <w:rFonts w:eastAsia="Times New Roman"/>
          <w:szCs w:val="20"/>
        </w:rPr>
        <w:t>зонным характером производства, годовая сумма амортизационных</w:t>
      </w:r>
      <w:r w:rsidRPr="003B343E">
        <w:rPr>
          <w:rFonts w:eastAsia="Times New Roman"/>
        </w:rPr>
        <w:t xml:space="preserve"> </w:t>
      </w:r>
      <w:r w:rsidRPr="003B343E">
        <w:rPr>
          <w:rFonts w:eastAsia="Times New Roman"/>
          <w:szCs w:val="20"/>
        </w:rPr>
        <w:t>отчислений по основным средства</w:t>
      </w:r>
      <w:r w:rsidRPr="003B343E">
        <w:rPr>
          <w:rFonts w:eastAsia="Times New Roman"/>
        </w:rPr>
        <w:t>м начисляется равномерно в тече</w:t>
      </w:r>
      <w:r w:rsidRPr="003B343E">
        <w:rPr>
          <w:rFonts w:eastAsia="Times New Roman"/>
          <w:szCs w:val="20"/>
        </w:rPr>
        <w:t>ние периода работы организации в отчетном году.</w:t>
      </w:r>
    </w:p>
    <w:p w:rsidR="00A3618A" w:rsidRDefault="00A3618A" w:rsidP="00013D4F">
      <w:pPr>
        <w:pStyle w:val="11"/>
        <w:jc w:val="center"/>
        <w:rPr>
          <w:rFonts w:eastAsia="Times New Roman"/>
          <w:b/>
        </w:rPr>
      </w:pPr>
      <w:r w:rsidRPr="00013D4F">
        <w:rPr>
          <w:rFonts w:eastAsia="Times New Roman"/>
          <w:b/>
        </w:rPr>
        <w:t xml:space="preserve">А = Сос.перв. </w:t>
      </w:r>
      <w:r w:rsidRPr="00013D4F">
        <w:rPr>
          <w:b/>
        </w:rPr>
        <w:t>× (</w:t>
      </w:r>
      <w:r w:rsidRPr="00013D4F">
        <w:rPr>
          <w:rFonts w:eastAsia="Times New Roman"/>
          <w:b/>
        </w:rPr>
        <w:t xml:space="preserve">Тост </w:t>
      </w:r>
      <w:r w:rsidRPr="00013D4F">
        <w:rPr>
          <w:b/>
        </w:rPr>
        <w:t>÷ (</w:t>
      </w:r>
      <w:r w:rsidRPr="00013D4F">
        <w:rPr>
          <w:rFonts w:eastAsia="Times New Roman"/>
          <w:b/>
        </w:rPr>
        <w:t>Т</w:t>
      </w:r>
      <w:r>
        <w:rPr>
          <w:rFonts w:eastAsia="Times New Roman"/>
          <w:b/>
        </w:rPr>
        <w:t xml:space="preserve"> </w:t>
      </w:r>
      <w:r w:rsidRPr="00013D4F">
        <w:rPr>
          <w:rFonts w:eastAsia="Times New Roman"/>
          <w:b/>
        </w:rPr>
        <w:t xml:space="preserve">(Т + 1) </w:t>
      </w:r>
      <w:r w:rsidRPr="00013D4F">
        <w:rPr>
          <w:b/>
        </w:rPr>
        <w:t>÷ 2))</w:t>
      </w:r>
    </w:p>
    <w:p w:rsidR="00A3618A" w:rsidRDefault="00A3618A" w:rsidP="00013D4F">
      <w:pPr>
        <w:pStyle w:val="11"/>
      </w:pPr>
      <w:r w:rsidRPr="00013D4F">
        <w:t>Тост – количество лет, оставшихся до окончания срока полезного использования</w:t>
      </w:r>
      <w:r>
        <w:t>.</w:t>
      </w:r>
    </w:p>
    <w:p w:rsidR="00A3618A" w:rsidRDefault="00A3618A" w:rsidP="00013D4F">
      <w:pPr>
        <w:pStyle w:val="11"/>
      </w:pPr>
      <w:r>
        <w:t xml:space="preserve">Пример: </w:t>
      </w:r>
      <w:r w:rsidRPr="00013D4F">
        <w:t xml:space="preserve">было принято в эксплуатацию оборудование стоимостью 100 000 руб. Срок полезного использования 5 лет. </w:t>
      </w:r>
    </w:p>
    <w:p w:rsidR="00A3618A" w:rsidRDefault="00A3618A" w:rsidP="00013D4F">
      <w:pPr>
        <w:pStyle w:val="11"/>
      </w:pPr>
      <w:r w:rsidRPr="00013D4F">
        <w:t xml:space="preserve">Сумма чисел срока использования 15 (1+2+3+4+5). </w:t>
      </w:r>
    </w:p>
    <w:p w:rsidR="00A3618A" w:rsidRDefault="00A3618A" w:rsidP="00013D4F">
      <w:pPr>
        <w:pStyle w:val="11"/>
      </w:pPr>
      <w:r w:rsidRPr="00013D4F">
        <w:t>Расчет представим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94"/>
        <w:gridCol w:w="1559"/>
        <w:gridCol w:w="2693"/>
        <w:gridCol w:w="1950"/>
      </w:tblGrid>
      <w:tr w:rsidR="00A3618A" w:rsidTr="00CD59A3">
        <w:tc>
          <w:tcPr>
            <w:tcW w:w="675" w:type="dxa"/>
            <w:vAlign w:val="center"/>
          </w:tcPr>
          <w:p w:rsidR="00A3618A" w:rsidRPr="00CD59A3" w:rsidRDefault="00A3618A" w:rsidP="00CD59A3">
            <w:pPr>
              <w:jc w:val="center"/>
              <w:rPr>
                <w:rFonts w:ascii="Arial" w:hAnsi="Arial" w:cs="Arial"/>
                <w:b/>
              </w:rPr>
            </w:pPr>
            <w:r w:rsidRPr="00CD59A3">
              <w:rPr>
                <w:rFonts w:ascii="Arial" w:hAnsi="Arial" w:cs="Arial"/>
                <w:b/>
              </w:rPr>
              <w:t>Год</w:t>
            </w:r>
          </w:p>
        </w:tc>
        <w:tc>
          <w:tcPr>
            <w:tcW w:w="2694" w:type="dxa"/>
            <w:vAlign w:val="center"/>
          </w:tcPr>
          <w:p w:rsidR="00A3618A" w:rsidRPr="00CD59A3" w:rsidRDefault="00A3618A" w:rsidP="00CD59A3">
            <w:pPr>
              <w:jc w:val="center"/>
              <w:rPr>
                <w:rFonts w:ascii="Arial" w:hAnsi="Arial" w:cs="Arial"/>
                <w:b/>
                <w:sz w:val="22"/>
                <w:szCs w:val="22"/>
              </w:rPr>
            </w:pPr>
            <w:r w:rsidRPr="00CD59A3">
              <w:rPr>
                <w:rFonts w:ascii="Arial" w:hAnsi="Arial" w:cs="Arial"/>
                <w:b/>
                <w:sz w:val="22"/>
                <w:szCs w:val="22"/>
              </w:rPr>
              <w:t>Остаточная стоимость на начало года (руб.)</w:t>
            </w:r>
          </w:p>
        </w:tc>
        <w:tc>
          <w:tcPr>
            <w:tcW w:w="1559" w:type="dxa"/>
            <w:vAlign w:val="center"/>
          </w:tcPr>
          <w:p w:rsidR="00A3618A" w:rsidRPr="00CD59A3" w:rsidRDefault="00A3618A" w:rsidP="00CD59A3">
            <w:pPr>
              <w:jc w:val="center"/>
              <w:rPr>
                <w:rFonts w:ascii="Arial" w:hAnsi="Arial" w:cs="Arial"/>
                <w:b/>
                <w:sz w:val="22"/>
                <w:szCs w:val="22"/>
              </w:rPr>
            </w:pPr>
            <w:r w:rsidRPr="00CD59A3">
              <w:rPr>
                <w:rFonts w:ascii="Arial" w:hAnsi="Arial" w:cs="Arial"/>
                <w:b/>
                <w:sz w:val="22"/>
                <w:szCs w:val="22"/>
              </w:rPr>
              <w:t>На, %</w:t>
            </w:r>
          </w:p>
        </w:tc>
        <w:tc>
          <w:tcPr>
            <w:tcW w:w="2693" w:type="dxa"/>
            <w:vAlign w:val="center"/>
          </w:tcPr>
          <w:p w:rsidR="00A3618A" w:rsidRPr="00CD59A3" w:rsidRDefault="00A3618A" w:rsidP="00CD59A3">
            <w:pPr>
              <w:jc w:val="center"/>
              <w:rPr>
                <w:rFonts w:ascii="Arial" w:hAnsi="Arial" w:cs="Arial"/>
                <w:b/>
                <w:sz w:val="22"/>
                <w:szCs w:val="22"/>
              </w:rPr>
            </w:pPr>
            <w:r w:rsidRPr="00CD59A3">
              <w:rPr>
                <w:rFonts w:ascii="Arial" w:hAnsi="Arial" w:cs="Arial"/>
                <w:b/>
                <w:sz w:val="22"/>
                <w:szCs w:val="22"/>
              </w:rPr>
              <w:t>Сумма годовой амортизации (руб.)</w:t>
            </w:r>
          </w:p>
        </w:tc>
        <w:tc>
          <w:tcPr>
            <w:tcW w:w="1950" w:type="dxa"/>
            <w:vAlign w:val="center"/>
          </w:tcPr>
          <w:p w:rsidR="00A3618A" w:rsidRPr="00CD59A3" w:rsidRDefault="00A3618A" w:rsidP="00CD59A3">
            <w:pPr>
              <w:jc w:val="center"/>
              <w:rPr>
                <w:rFonts w:ascii="Arial" w:hAnsi="Arial" w:cs="Arial"/>
                <w:b/>
                <w:sz w:val="22"/>
                <w:szCs w:val="22"/>
              </w:rPr>
            </w:pPr>
            <w:r w:rsidRPr="00CD59A3">
              <w:rPr>
                <w:rFonts w:ascii="Arial" w:hAnsi="Arial" w:cs="Arial"/>
                <w:b/>
                <w:sz w:val="22"/>
                <w:szCs w:val="22"/>
              </w:rPr>
              <w:t>Остаточная стоимость на конец года (руб.)</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1</w:t>
            </w:r>
          </w:p>
        </w:tc>
        <w:tc>
          <w:tcPr>
            <w:tcW w:w="2694" w:type="dxa"/>
            <w:vAlign w:val="center"/>
          </w:tcPr>
          <w:p w:rsidR="00A3618A" w:rsidRPr="00CD59A3" w:rsidRDefault="00A3618A" w:rsidP="00CD59A3">
            <w:pPr>
              <w:jc w:val="center"/>
              <w:rPr>
                <w:rFonts w:ascii="Arial" w:hAnsi="Arial" w:cs="Arial"/>
              </w:rPr>
            </w:pPr>
            <w:r w:rsidRPr="00CD59A3">
              <w:rPr>
                <w:rFonts w:ascii="Arial" w:hAnsi="Arial" w:cs="Arial"/>
              </w:rPr>
              <w:t>100000</w:t>
            </w:r>
          </w:p>
        </w:tc>
        <w:tc>
          <w:tcPr>
            <w:tcW w:w="1559" w:type="dxa"/>
            <w:vAlign w:val="center"/>
          </w:tcPr>
          <w:p w:rsidR="00A3618A" w:rsidRPr="00CD59A3" w:rsidRDefault="00A3618A" w:rsidP="00CD59A3">
            <w:pPr>
              <w:jc w:val="center"/>
              <w:rPr>
                <w:rFonts w:ascii="Arial" w:hAnsi="Arial" w:cs="Arial"/>
              </w:rPr>
            </w:pPr>
            <w:r w:rsidRPr="00CD59A3">
              <w:rPr>
                <w:rFonts w:ascii="Arial" w:hAnsi="Arial" w:cs="Arial"/>
              </w:rPr>
              <w:t>5÷15=33,33</w:t>
            </w:r>
          </w:p>
        </w:tc>
        <w:tc>
          <w:tcPr>
            <w:tcW w:w="2693" w:type="dxa"/>
            <w:vAlign w:val="center"/>
          </w:tcPr>
          <w:p w:rsidR="00A3618A" w:rsidRPr="00CD59A3" w:rsidRDefault="00A3618A" w:rsidP="00CD59A3">
            <w:pPr>
              <w:jc w:val="center"/>
              <w:rPr>
                <w:rFonts w:ascii="Arial" w:hAnsi="Arial" w:cs="Arial"/>
              </w:rPr>
            </w:pPr>
            <w:r w:rsidRPr="00CD59A3">
              <w:rPr>
                <w:rFonts w:ascii="Arial" w:hAnsi="Arial" w:cs="Arial"/>
              </w:rPr>
              <w:t>100000×33,33=33330</w:t>
            </w:r>
          </w:p>
        </w:tc>
        <w:tc>
          <w:tcPr>
            <w:tcW w:w="1950" w:type="dxa"/>
            <w:vAlign w:val="center"/>
          </w:tcPr>
          <w:p w:rsidR="00A3618A" w:rsidRPr="00CD59A3" w:rsidRDefault="00A3618A" w:rsidP="00CD59A3">
            <w:pPr>
              <w:jc w:val="center"/>
              <w:rPr>
                <w:rFonts w:ascii="Arial" w:hAnsi="Arial" w:cs="Arial"/>
              </w:rPr>
            </w:pPr>
            <w:r w:rsidRPr="00CD59A3">
              <w:rPr>
                <w:rFonts w:ascii="Arial" w:hAnsi="Arial" w:cs="Arial"/>
              </w:rPr>
              <w:t>66670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2</w:t>
            </w:r>
          </w:p>
        </w:tc>
        <w:tc>
          <w:tcPr>
            <w:tcW w:w="2694" w:type="dxa"/>
            <w:vAlign w:val="center"/>
          </w:tcPr>
          <w:p w:rsidR="00A3618A" w:rsidRPr="00CD59A3" w:rsidRDefault="00A3618A" w:rsidP="00CD59A3">
            <w:pPr>
              <w:jc w:val="center"/>
              <w:rPr>
                <w:rFonts w:ascii="Arial" w:hAnsi="Arial" w:cs="Arial"/>
              </w:rPr>
            </w:pPr>
            <w:r w:rsidRPr="00CD59A3">
              <w:rPr>
                <w:rFonts w:ascii="Arial" w:hAnsi="Arial" w:cs="Arial"/>
              </w:rPr>
              <w:t>66670</w:t>
            </w:r>
          </w:p>
        </w:tc>
        <w:tc>
          <w:tcPr>
            <w:tcW w:w="1559" w:type="dxa"/>
          </w:tcPr>
          <w:p w:rsidR="00A3618A" w:rsidRDefault="00A3618A" w:rsidP="00CD59A3">
            <w:pPr>
              <w:jc w:val="center"/>
            </w:pPr>
            <w:r w:rsidRPr="00045A37">
              <w:t>4</w:t>
            </w:r>
            <w:r w:rsidRPr="00CD59A3">
              <w:rPr>
                <w:rFonts w:ascii="Arial" w:hAnsi="Arial" w:cs="Arial"/>
              </w:rPr>
              <w:t>÷</w:t>
            </w:r>
            <w:r w:rsidRPr="00045A37">
              <w:t>15=26</w:t>
            </w:r>
            <w:r>
              <w:t>,</w:t>
            </w:r>
            <w:r w:rsidRPr="00045A37">
              <w:t>67</w:t>
            </w:r>
          </w:p>
        </w:tc>
        <w:tc>
          <w:tcPr>
            <w:tcW w:w="2693" w:type="dxa"/>
            <w:vAlign w:val="center"/>
          </w:tcPr>
          <w:p w:rsidR="00A3618A" w:rsidRPr="00CD59A3" w:rsidRDefault="00A3618A" w:rsidP="00CD59A3">
            <w:pPr>
              <w:jc w:val="center"/>
              <w:rPr>
                <w:rFonts w:ascii="Arial" w:hAnsi="Arial" w:cs="Arial"/>
              </w:rPr>
            </w:pPr>
            <w:r w:rsidRPr="00CD59A3">
              <w:rPr>
                <w:rFonts w:ascii="Arial" w:hAnsi="Arial" w:cs="Arial"/>
              </w:rPr>
              <w:t>100000×26,67=26670</w:t>
            </w:r>
          </w:p>
        </w:tc>
        <w:tc>
          <w:tcPr>
            <w:tcW w:w="1950" w:type="dxa"/>
            <w:vAlign w:val="center"/>
          </w:tcPr>
          <w:p w:rsidR="00A3618A" w:rsidRPr="00CD59A3" w:rsidRDefault="00A3618A" w:rsidP="00CD59A3">
            <w:pPr>
              <w:jc w:val="center"/>
              <w:rPr>
                <w:rFonts w:ascii="Arial" w:hAnsi="Arial" w:cs="Arial"/>
              </w:rPr>
            </w:pPr>
            <w:r w:rsidRPr="00CD59A3">
              <w:rPr>
                <w:rFonts w:ascii="Arial" w:hAnsi="Arial" w:cs="Arial"/>
              </w:rPr>
              <w:t>40000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3</w:t>
            </w:r>
          </w:p>
        </w:tc>
        <w:tc>
          <w:tcPr>
            <w:tcW w:w="2694" w:type="dxa"/>
            <w:vAlign w:val="center"/>
          </w:tcPr>
          <w:p w:rsidR="00A3618A" w:rsidRPr="00CD59A3" w:rsidRDefault="00A3618A" w:rsidP="00CD59A3">
            <w:pPr>
              <w:jc w:val="center"/>
              <w:rPr>
                <w:rFonts w:ascii="Arial" w:hAnsi="Arial" w:cs="Arial"/>
              </w:rPr>
            </w:pPr>
            <w:r w:rsidRPr="00CD59A3">
              <w:rPr>
                <w:rFonts w:ascii="Arial" w:hAnsi="Arial" w:cs="Arial"/>
              </w:rPr>
              <w:t>40000</w:t>
            </w:r>
          </w:p>
        </w:tc>
        <w:tc>
          <w:tcPr>
            <w:tcW w:w="1559" w:type="dxa"/>
          </w:tcPr>
          <w:p w:rsidR="00A3618A" w:rsidRDefault="00A3618A" w:rsidP="00CD59A3">
            <w:pPr>
              <w:jc w:val="center"/>
            </w:pPr>
            <w:r w:rsidRPr="00045A37">
              <w:t>3</w:t>
            </w:r>
            <w:r w:rsidRPr="00CD59A3">
              <w:rPr>
                <w:rFonts w:ascii="Arial" w:hAnsi="Arial" w:cs="Arial"/>
              </w:rPr>
              <w:t>÷</w:t>
            </w:r>
            <w:r w:rsidRPr="00045A37">
              <w:t>15=20</w:t>
            </w:r>
          </w:p>
        </w:tc>
        <w:tc>
          <w:tcPr>
            <w:tcW w:w="2693" w:type="dxa"/>
            <w:vAlign w:val="center"/>
          </w:tcPr>
          <w:p w:rsidR="00A3618A" w:rsidRPr="00CD59A3" w:rsidRDefault="00A3618A" w:rsidP="00CD59A3">
            <w:pPr>
              <w:jc w:val="center"/>
              <w:rPr>
                <w:rFonts w:ascii="Arial" w:hAnsi="Arial" w:cs="Arial"/>
              </w:rPr>
            </w:pPr>
            <w:r w:rsidRPr="00CD59A3">
              <w:rPr>
                <w:rFonts w:ascii="Arial" w:hAnsi="Arial" w:cs="Arial"/>
              </w:rPr>
              <w:t>100000×20=20000</w:t>
            </w:r>
          </w:p>
        </w:tc>
        <w:tc>
          <w:tcPr>
            <w:tcW w:w="1950" w:type="dxa"/>
            <w:vAlign w:val="center"/>
          </w:tcPr>
          <w:p w:rsidR="00A3618A" w:rsidRPr="00CD59A3" w:rsidRDefault="00A3618A" w:rsidP="00CD59A3">
            <w:pPr>
              <w:jc w:val="center"/>
              <w:rPr>
                <w:rFonts w:ascii="Arial" w:hAnsi="Arial" w:cs="Arial"/>
              </w:rPr>
            </w:pPr>
            <w:r w:rsidRPr="00CD59A3">
              <w:rPr>
                <w:rFonts w:ascii="Arial" w:hAnsi="Arial" w:cs="Arial"/>
              </w:rPr>
              <w:t>20000</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4</w:t>
            </w:r>
          </w:p>
        </w:tc>
        <w:tc>
          <w:tcPr>
            <w:tcW w:w="2694" w:type="dxa"/>
            <w:vAlign w:val="center"/>
          </w:tcPr>
          <w:p w:rsidR="00A3618A" w:rsidRPr="00CD59A3" w:rsidRDefault="00A3618A" w:rsidP="00CD59A3">
            <w:pPr>
              <w:jc w:val="center"/>
              <w:rPr>
                <w:rFonts w:ascii="Arial" w:hAnsi="Arial" w:cs="Arial"/>
              </w:rPr>
            </w:pPr>
            <w:r w:rsidRPr="00CD59A3">
              <w:rPr>
                <w:rFonts w:ascii="Arial" w:hAnsi="Arial" w:cs="Arial"/>
              </w:rPr>
              <w:t>20000</w:t>
            </w:r>
          </w:p>
        </w:tc>
        <w:tc>
          <w:tcPr>
            <w:tcW w:w="1559" w:type="dxa"/>
          </w:tcPr>
          <w:p w:rsidR="00A3618A" w:rsidRDefault="00A3618A" w:rsidP="00CD59A3">
            <w:pPr>
              <w:jc w:val="center"/>
            </w:pPr>
            <w:r w:rsidRPr="00045A37">
              <w:t>2</w:t>
            </w:r>
            <w:r w:rsidRPr="00CD59A3">
              <w:rPr>
                <w:rFonts w:ascii="Arial" w:hAnsi="Arial" w:cs="Arial"/>
              </w:rPr>
              <w:t>÷</w:t>
            </w:r>
            <w:r w:rsidRPr="00045A37">
              <w:t>15=13</w:t>
            </w:r>
            <w:r>
              <w:t>,</w:t>
            </w:r>
            <w:r w:rsidRPr="00045A37">
              <w:t>33</w:t>
            </w:r>
          </w:p>
        </w:tc>
        <w:tc>
          <w:tcPr>
            <w:tcW w:w="2693" w:type="dxa"/>
            <w:vAlign w:val="center"/>
          </w:tcPr>
          <w:p w:rsidR="00A3618A" w:rsidRPr="00CD59A3" w:rsidRDefault="00A3618A" w:rsidP="00CD59A3">
            <w:pPr>
              <w:jc w:val="center"/>
              <w:rPr>
                <w:rFonts w:ascii="Arial" w:hAnsi="Arial" w:cs="Arial"/>
              </w:rPr>
            </w:pPr>
            <w:r w:rsidRPr="00CD59A3">
              <w:rPr>
                <w:rFonts w:ascii="Arial" w:hAnsi="Arial" w:cs="Arial"/>
              </w:rPr>
              <w:t>100000×13,33=13330</w:t>
            </w:r>
          </w:p>
        </w:tc>
        <w:tc>
          <w:tcPr>
            <w:tcW w:w="1950" w:type="dxa"/>
            <w:vAlign w:val="center"/>
          </w:tcPr>
          <w:p w:rsidR="00A3618A" w:rsidRPr="00CD59A3" w:rsidRDefault="00A3618A" w:rsidP="00CD59A3">
            <w:pPr>
              <w:jc w:val="center"/>
              <w:rPr>
                <w:rFonts w:ascii="Arial" w:hAnsi="Arial" w:cs="Arial"/>
              </w:rPr>
            </w:pPr>
            <w:r w:rsidRPr="00CD59A3">
              <w:rPr>
                <w:rFonts w:ascii="Arial" w:hAnsi="Arial" w:cs="Arial"/>
              </w:rPr>
              <w:t>6667</w:t>
            </w:r>
          </w:p>
        </w:tc>
      </w:tr>
      <w:tr w:rsidR="00A3618A" w:rsidTr="00CD59A3">
        <w:tc>
          <w:tcPr>
            <w:tcW w:w="675" w:type="dxa"/>
            <w:vAlign w:val="center"/>
          </w:tcPr>
          <w:p w:rsidR="00A3618A" w:rsidRPr="00CD59A3" w:rsidRDefault="00A3618A" w:rsidP="00CD59A3">
            <w:pPr>
              <w:jc w:val="center"/>
              <w:rPr>
                <w:rFonts w:ascii="Arial" w:hAnsi="Arial" w:cs="Arial"/>
              </w:rPr>
            </w:pPr>
            <w:r w:rsidRPr="00CD59A3">
              <w:rPr>
                <w:rFonts w:ascii="Arial" w:hAnsi="Arial" w:cs="Arial"/>
              </w:rPr>
              <w:t>5</w:t>
            </w:r>
          </w:p>
        </w:tc>
        <w:tc>
          <w:tcPr>
            <w:tcW w:w="2694" w:type="dxa"/>
            <w:vAlign w:val="center"/>
          </w:tcPr>
          <w:p w:rsidR="00A3618A" w:rsidRPr="00CD59A3" w:rsidRDefault="00A3618A" w:rsidP="00CD59A3">
            <w:pPr>
              <w:jc w:val="center"/>
              <w:rPr>
                <w:rFonts w:ascii="Arial" w:hAnsi="Arial" w:cs="Arial"/>
              </w:rPr>
            </w:pPr>
            <w:r w:rsidRPr="00CD59A3">
              <w:rPr>
                <w:rFonts w:ascii="Arial" w:hAnsi="Arial" w:cs="Arial"/>
              </w:rPr>
              <w:t>6667</w:t>
            </w:r>
          </w:p>
        </w:tc>
        <w:tc>
          <w:tcPr>
            <w:tcW w:w="1559" w:type="dxa"/>
          </w:tcPr>
          <w:p w:rsidR="00A3618A" w:rsidRDefault="00A3618A" w:rsidP="00CD59A3">
            <w:pPr>
              <w:jc w:val="center"/>
            </w:pPr>
            <w:r w:rsidRPr="00045A37">
              <w:t>1</w:t>
            </w:r>
            <w:r w:rsidRPr="00CD59A3">
              <w:rPr>
                <w:rFonts w:ascii="Arial" w:hAnsi="Arial" w:cs="Arial"/>
              </w:rPr>
              <w:t>÷</w:t>
            </w:r>
            <w:r w:rsidRPr="00045A37">
              <w:t>15=6</w:t>
            </w:r>
            <w:r>
              <w:t>,</w:t>
            </w:r>
            <w:r w:rsidRPr="00045A37">
              <w:t>67</w:t>
            </w:r>
          </w:p>
        </w:tc>
        <w:tc>
          <w:tcPr>
            <w:tcW w:w="2693" w:type="dxa"/>
            <w:vAlign w:val="center"/>
          </w:tcPr>
          <w:p w:rsidR="00A3618A" w:rsidRPr="00CD59A3" w:rsidRDefault="00A3618A" w:rsidP="00CD59A3">
            <w:pPr>
              <w:jc w:val="center"/>
              <w:rPr>
                <w:rFonts w:ascii="Arial" w:hAnsi="Arial" w:cs="Arial"/>
              </w:rPr>
            </w:pPr>
            <w:r w:rsidRPr="00CD59A3">
              <w:rPr>
                <w:rFonts w:ascii="Arial" w:hAnsi="Arial" w:cs="Arial"/>
              </w:rPr>
              <w:t>100000×6,67=6667</w:t>
            </w:r>
          </w:p>
        </w:tc>
        <w:tc>
          <w:tcPr>
            <w:tcW w:w="1950" w:type="dxa"/>
            <w:vAlign w:val="center"/>
          </w:tcPr>
          <w:p w:rsidR="00A3618A" w:rsidRPr="00CD59A3" w:rsidRDefault="00A3618A" w:rsidP="00CD59A3">
            <w:pPr>
              <w:jc w:val="center"/>
              <w:rPr>
                <w:rFonts w:ascii="Arial" w:hAnsi="Arial" w:cs="Arial"/>
              </w:rPr>
            </w:pPr>
            <w:r w:rsidRPr="00CD59A3">
              <w:rPr>
                <w:rFonts w:ascii="Arial" w:hAnsi="Arial" w:cs="Arial"/>
              </w:rPr>
              <w:t>0</w:t>
            </w:r>
          </w:p>
        </w:tc>
      </w:tr>
    </w:tbl>
    <w:p w:rsidR="00A3618A" w:rsidRDefault="00A3618A" w:rsidP="00013D4F">
      <w:pPr>
        <w:pStyle w:val="11"/>
      </w:pPr>
    </w:p>
    <w:p w:rsidR="00A3618A" w:rsidRDefault="00A3618A" w:rsidP="00013D4F">
      <w:pPr>
        <w:pStyle w:val="11"/>
      </w:pPr>
      <w:r w:rsidRPr="000112E1">
        <w:t>Этот способ эквивалентен способу уменьшаемого остатка, но дает возможность списать всю стоимость объекта без остатка</w:t>
      </w:r>
      <w:r>
        <w:t>.</w:t>
      </w:r>
    </w:p>
    <w:p w:rsidR="00A3618A" w:rsidRDefault="00A3618A" w:rsidP="000112E1">
      <w:pPr>
        <w:pStyle w:val="11"/>
        <w:jc w:val="center"/>
        <w:rPr>
          <w:rFonts w:eastAsia="Times New Roman"/>
          <w:b/>
          <w:sz w:val="28"/>
          <w:szCs w:val="28"/>
          <w:lang w:eastAsia="en-US"/>
        </w:rPr>
      </w:pPr>
    </w:p>
    <w:p w:rsidR="00A3618A" w:rsidRDefault="00A3618A" w:rsidP="000112E1">
      <w:pPr>
        <w:pStyle w:val="11"/>
        <w:jc w:val="center"/>
        <w:rPr>
          <w:rFonts w:eastAsia="Times New Roman"/>
          <w:b/>
          <w:sz w:val="28"/>
          <w:szCs w:val="28"/>
          <w:lang w:eastAsia="en-US"/>
        </w:rPr>
      </w:pPr>
      <w:r w:rsidRPr="000112E1">
        <w:rPr>
          <w:rFonts w:eastAsia="Times New Roman"/>
          <w:b/>
          <w:sz w:val="28"/>
          <w:szCs w:val="28"/>
          <w:lang w:eastAsia="en-US"/>
        </w:rPr>
        <w:t>2.4 Способ списания стоимости пропорционально объему продукции (работ)</w:t>
      </w:r>
    </w:p>
    <w:p w:rsidR="00A3618A" w:rsidRDefault="00A3618A" w:rsidP="000112E1">
      <w:pPr>
        <w:pStyle w:val="11"/>
        <w:rPr>
          <w:rFonts w:eastAsia="Times New Roman"/>
          <w:szCs w:val="20"/>
        </w:rPr>
      </w:pPr>
      <w:r w:rsidRPr="000112E1">
        <w:rPr>
          <w:rFonts w:eastAsia="Times New Roman"/>
          <w:szCs w:val="20"/>
        </w:rPr>
        <w:t>При способе списания стоимости пропорциональ</w:t>
      </w:r>
      <w:r w:rsidRPr="000112E1">
        <w:rPr>
          <w:rFonts w:eastAsia="Times New Roman"/>
        </w:rPr>
        <w:t>но объему продук</w:t>
      </w:r>
      <w:r w:rsidRPr="000112E1">
        <w:rPr>
          <w:rFonts w:eastAsia="Times New Roman"/>
          <w:szCs w:val="20"/>
        </w:rPr>
        <w:t>ции (работ) начисление амортизационных отчислений производится</w:t>
      </w:r>
      <w:r w:rsidRPr="000112E1">
        <w:rPr>
          <w:rFonts w:eastAsia="Times New Roman"/>
        </w:rPr>
        <w:t xml:space="preserve"> </w:t>
      </w:r>
      <w:r w:rsidRPr="000112E1">
        <w:rPr>
          <w:rFonts w:eastAsia="Times New Roman"/>
          <w:szCs w:val="20"/>
        </w:rPr>
        <w:t>исходя из натурального показател</w:t>
      </w:r>
      <w:r w:rsidRPr="000112E1">
        <w:rPr>
          <w:rFonts w:eastAsia="Times New Roman"/>
        </w:rPr>
        <w:t>я объема продукции (работ) в от</w:t>
      </w:r>
      <w:r w:rsidRPr="000112E1">
        <w:rPr>
          <w:rFonts w:eastAsia="Times New Roman"/>
          <w:szCs w:val="20"/>
        </w:rPr>
        <w:t>четном периоде и соотношения первоначальной стоимости объекта</w:t>
      </w:r>
      <w:r w:rsidRPr="000112E1">
        <w:rPr>
          <w:rFonts w:eastAsia="Times New Roman"/>
        </w:rPr>
        <w:t xml:space="preserve"> </w:t>
      </w:r>
      <w:r w:rsidRPr="000112E1">
        <w:rPr>
          <w:rFonts w:eastAsia="Times New Roman"/>
          <w:szCs w:val="20"/>
        </w:rPr>
        <w:t>основных средств и предполагаемого объема продукции (работ) за</w:t>
      </w:r>
      <w:r w:rsidRPr="000112E1">
        <w:rPr>
          <w:rFonts w:eastAsia="Times New Roman"/>
        </w:rPr>
        <w:t xml:space="preserve"> </w:t>
      </w:r>
      <w:r w:rsidRPr="000112E1">
        <w:rPr>
          <w:rFonts w:eastAsia="Times New Roman"/>
          <w:szCs w:val="20"/>
        </w:rPr>
        <w:t>весь срок полезного использования объекта основных средств.</w:t>
      </w:r>
    </w:p>
    <w:p w:rsidR="00A3618A" w:rsidRDefault="00A3618A" w:rsidP="000112E1">
      <w:pPr>
        <w:pStyle w:val="11"/>
        <w:jc w:val="center"/>
        <w:rPr>
          <w:b/>
        </w:rPr>
      </w:pPr>
      <w:r w:rsidRPr="000112E1">
        <w:rPr>
          <w:rFonts w:eastAsia="Times New Roman"/>
          <w:b/>
          <w:szCs w:val="20"/>
        </w:rPr>
        <w:t>А =</w:t>
      </w:r>
      <w:r w:rsidRPr="000112E1">
        <w:rPr>
          <w:rFonts w:eastAsia="Times New Roman"/>
          <w:b/>
        </w:rPr>
        <w:t xml:space="preserve"> Сос.перв. </w:t>
      </w:r>
      <w:r w:rsidRPr="000112E1">
        <w:rPr>
          <w:b/>
        </w:rPr>
        <w:t xml:space="preserve">÷ </w:t>
      </w:r>
      <w:r w:rsidRPr="000112E1">
        <w:rPr>
          <w:rFonts w:eastAsia="Times New Roman"/>
          <w:b/>
        </w:rPr>
        <w:t>В</w:t>
      </w:r>
    </w:p>
    <w:p w:rsidR="00A3618A" w:rsidRDefault="00A3618A" w:rsidP="000112E1">
      <w:pPr>
        <w:pStyle w:val="11"/>
      </w:pPr>
      <w:r w:rsidRPr="000112E1">
        <w:t>В – предполагаемый объем производства продукции</w:t>
      </w:r>
    </w:p>
    <w:p w:rsidR="00A3618A" w:rsidRDefault="00A3618A" w:rsidP="000112E1">
      <w:pPr>
        <w:pStyle w:val="11"/>
      </w:pPr>
      <w:r>
        <w:t>Данный метод применяется там, где износ основных средств напрямую связан с частотой их использования.</w:t>
      </w:r>
    </w:p>
    <w:p w:rsidR="00A3618A" w:rsidRDefault="00A3618A" w:rsidP="000112E1">
      <w:pPr>
        <w:pStyle w:val="11"/>
      </w:pPr>
      <w:r>
        <w:t>Чаще всего метод списания стоимости пропорционально объему продукции используется для расчета амортизации при добыче природного сырья.</w:t>
      </w:r>
    </w:p>
    <w:p w:rsidR="00A3618A" w:rsidRDefault="00A3618A" w:rsidP="00D2502D">
      <w:pPr>
        <w:pStyle w:val="11"/>
        <w:rPr>
          <w:b/>
        </w:rPr>
      </w:pPr>
    </w:p>
    <w:p w:rsidR="00A3618A" w:rsidRDefault="00A3618A" w:rsidP="00D2502D">
      <w:pPr>
        <w:pStyle w:val="11"/>
      </w:pPr>
      <w:r w:rsidRPr="00CD7DB9">
        <w:rPr>
          <w:b/>
        </w:rPr>
        <w:t>Пример:</w:t>
      </w:r>
      <w:r>
        <w:t xml:space="preserve"> Предположим,   запасы   руды   данного   месторождения  составляют  1000000 т. Стоимость основных средств, используемых при добыче руды – 16000000 руб.</w:t>
      </w:r>
    </w:p>
    <w:p w:rsidR="00A3618A" w:rsidRDefault="00A3618A" w:rsidP="00D2502D">
      <w:pPr>
        <w:pStyle w:val="11"/>
      </w:pPr>
      <w:r>
        <w:t>Амортизация на единицу продукции  16000000 ÷ 1000000 = 16 руб./т.</w:t>
      </w:r>
    </w:p>
    <w:p w:rsidR="00A3618A" w:rsidRDefault="00A3618A" w:rsidP="00D2502D">
      <w:pPr>
        <w:pStyle w:val="11"/>
      </w:pPr>
      <w:r>
        <w:t>Если предполагается ежегодно добывать по 100000 т руды, то годовая амортизация составит 16 × 10000 = 160000 руб., а при ежегодной добыче</w:t>
      </w:r>
    </w:p>
    <w:p w:rsidR="00A3618A" w:rsidRDefault="00A3618A" w:rsidP="00D2502D">
      <w:pPr>
        <w:pStyle w:val="11"/>
      </w:pPr>
      <w:r>
        <w:t xml:space="preserve"> 5000 т – 16 × 5 000 = 80 000 руб.</w:t>
      </w:r>
    </w:p>
    <w:p w:rsidR="00A3618A" w:rsidRDefault="00A3618A" w:rsidP="00D2502D">
      <w:pPr>
        <w:pStyle w:val="11"/>
      </w:pPr>
    </w:p>
    <w:p w:rsidR="00A3618A" w:rsidRDefault="00A3618A" w:rsidP="00D2502D">
      <w:pPr>
        <w:pStyle w:val="11"/>
      </w:pPr>
      <w:r w:rsidRPr="00CD7DB9">
        <w:t>Способ расчета амортизации пропорционально объему работы применяется преимущественно для автотранспорта. Нормы амортизации установлены в процентах от первоначальной стоимости транспортного средства на каждую 1000 км пробега.</w:t>
      </w:r>
    </w:p>
    <w:p w:rsidR="00A3618A" w:rsidRDefault="00A3618A" w:rsidP="006138C4">
      <w:pPr>
        <w:pStyle w:val="11"/>
        <w:jc w:val="center"/>
        <w:rPr>
          <w:b/>
          <w:bCs/>
          <w:color w:val="000000"/>
          <w:sz w:val="32"/>
          <w:szCs w:val="32"/>
        </w:rPr>
      </w:pPr>
    </w:p>
    <w:p w:rsidR="00A3618A" w:rsidRDefault="00A3618A" w:rsidP="006138C4">
      <w:pPr>
        <w:pStyle w:val="11"/>
        <w:jc w:val="center"/>
        <w:rPr>
          <w:b/>
          <w:bCs/>
          <w:color w:val="000000"/>
          <w:sz w:val="32"/>
          <w:szCs w:val="32"/>
        </w:rPr>
      </w:pPr>
    </w:p>
    <w:p w:rsidR="00A3618A" w:rsidRDefault="00A3618A" w:rsidP="006138C4">
      <w:pPr>
        <w:pStyle w:val="11"/>
        <w:jc w:val="center"/>
        <w:rPr>
          <w:b/>
          <w:bCs/>
          <w:color w:val="000000"/>
          <w:sz w:val="32"/>
          <w:szCs w:val="32"/>
        </w:rPr>
      </w:pPr>
    </w:p>
    <w:p w:rsidR="00A3618A" w:rsidRDefault="00A3618A" w:rsidP="006138C4">
      <w:pPr>
        <w:pStyle w:val="11"/>
        <w:jc w:val="center"/>
        <w:rPr>
          <w:b/>
          <w:bCs/>
          <w:color w:val="000000"/>
          <w:sz w:val="32"/>
          <w:szCs w:val="32"/>
        </w:rPr>
      </w:pPr>
    </w:p>
    <w:p w:rsidR="00A3618A" w:rsidRDefault="00A3618A" w:rsidP="006138C4">
      <w:pPr>
        <w:pStyle w:val="11"/>
        <w:jc w:val="center"/>
        <w:rPr>
          <w:b/>
          <w:bCs/>
          <w:color w:val="000000"/>
          <w:sz w:val="32"/>
          <w:szCs w:val="32"/>
        </w:rPr>
      </w:pPr>
    </w:p>
    <w:p w:rsidR="00A3618A" w:rsidRDefault="00A3618A" w:rsidP="006138C4">
      <w:pPr>
        <w:pStyle w:val="11"/>
        <w:jc w:val="center"/>
        <w:rPr>
          <w:b/>
          <w:sz w:val="32"/>
          <w:szCs w:val="32"/>
        </w:rPr>
      </w:pPr>
      <w:r w:rsidRPr="006138C4">
        <w:rPr>
          <w:b/>
          <w:bCs/>
          <w:color w:val="000000"/>
          <w:sz w:val="32"/>
          <w:szCs w:val="32"/>
        </w:rPr>
        <w:t xml:space="preserve">Глава </w:t>
      </w:r>
      <w:r w:rsidRPr="006138C4">
        <w:rPr>
          <w:b/>
          <w:bCs/>
          <w:color w:val="000000"/>
          <w:sz w:val="32"/>
          <w:szCs w:val="32"/>
          <w:lang w:val="en-US"/>
        </w:rPr>
        <w:t>III</w:t>
      </w:r>
      <w:r w:rsidRPr="006138C4">
        <w:rPr>
          <w:b/>
          <w:bCs/>
          <w:color w:val="000000"/>
          <w:sz w:val="32"/>
          <w:szCs w:val="32"/>
        </w:rPr>
        <w:t xml:space="preserve"> Способы </w:t>
      </w:r>
      <w:r w:rsidRPr="006138C4">
        <w:rPr>
          <w:b/>
          <w:sz w:val="32"/>
          <w:szCs w:val="32"/>
        </w:rPr>
        <w:t>начисления амортизации в налоговом учете</w:t>
      </w:r>
    </w:p>
    <w:p w:rsidR="00A3618A" w:rsidRPr="006138C4" w:rsidRDefault="00A3618A" w:rsidP="006138C4">
      <w:pPr>
        <w:pStyle w:val="11"/>
        <w:rPr>
          <w:rFonts w:eastAsia="Times New Roman"/>
          <w:szCs w:val="20"/>
        </w:rPr>
      </w:pPr>
      <w:r w:rsidRPr="006138C4">
        <w:rPr>
          <w:rFonts w:eastAsia="Times New Roman"/>
          <w:szCs w:val="20"/>
        </w:rPr>
        <w:t>В целях налогообложения нал</w:t>
      </w:r>
      <w:r w:rsidRPr="006138C4">
        <w:rPr>
          <w:rFonts w:eastAsia="Times New Roman"/>
        </w:rPr>
        <w:t>огоплательщики начисляют аморти</w:t>
      </w:r>
      <w:r w:rsidRPr="006138C4">
        <w:rPr>
          <w:rFonts w:eastAsia="Times New Roman"/>
          <w:szCs w:val="20"/>
        </w:rPr>
        <w:t>зацию в соответствии со ст. 259 НК РФ одним из следующих методов:</w:t>
      </w:r>
    </w:p>
    <w:p w:rsidR="00A3618A" w:rsidRPr="006138C4" w:rsidRDefault="00A3618A" w:rsidP="006138C4">
      <w:pPr>
        <w:pStyle w:val="11"/>
        <w:rPr>
          <w:rFonts w:eastAsia="Times New Roman"/>
          <w:szCs w:val="20"/>
        </w:rPr>
      </w:pPr>
      <w:r w:rsidRPr="006138C4">
        <w:rPr>
          <w:rFonts w:eastAsia="Times New Roman"/>
          <w:szCs w:val="20"/>
        </w:rPr>
        <w:t xml:space="preserve">1. </w:t>
      </w:r>
      <w:r>
        <w:rPr>
          <w:rFonts w:eastAsia="Times New Roman"/>
          <w:szCs w:val="20"/>
        </w:rPr>
        <w:t>Л</w:t>
      </w:r>
      <w:r w:rsidRPr="006138C4">
        <w:rPr>
          <w:rFonts w:eastAsia="Times New Roman"/>
          <w:szCs w:val="20"/>
        </w:rPr>
        <w:t>инейным методом;</w:t>
      </w:r>
    </w:p>
    <w:p w:rsidR="00A3618A" w:rsidRDefault="00A3618A" w:rsidP="006138C4">
      <w:pPr>
        <w:pStyle w:val="11"/>
        <w:rPr>
          <w:rFonts w:eastAsia="Times New Roman"/>
          <w:szCs w:val="20"/>
        </w:rPr>
      </w:pPr>
      <w:r w:rsidRPr="006138C4">
        <w:rPr>
          <w:rFonts w:eastAsia="Times New Roman"/>
          <w:szCs w:val="20"/>
        </w:rPr>
        <w:t xml:space="preserve">2. </w:t>
      </w:r>
      <w:r>
        <w:rPr>
          <w:rFonts w:eastAsia="Times New Roman"/>
          <w:szCs w:val="20"/>
        </w:rPr>
        <w:t>Н</w:t>
      </w:r>
      <w:r w:rsidRPr="006138C4">
        <w:rPr>
          <w:rFonts w:eastAsia="Times New Roman"/>
          <w:szCs w:val="20"/>
        </w:rPr>
        <w:t>елинейным методом.</w:t>
      </w:r>
    </w:p>
    <w:p w:rsidR="00A3618A" w:rsidRDefault="00A3618A" w:rsidP="006138C4">
      <w:pPr>
        <w:pStyle w:val="11"/>
        <w:rPr>
          <w:rFonts w:eastAsia="Times New Roman"/>
          <w:lang w:eastAsia="en-US"/>
        </w:rPr>
      </w:pPr>
      <w:r>
        <w:rPr>
          <w:rFonts w:eastAsia="Times New Roman"/>
          <w:lang w:eastAsia="en-US"/>
        </w:rPr>
        <w:t xml:space="preserve">Сумма амортизации для целей налогообложения определяется налогоплательщиками ежемесячно. Амортизация начисляется отдельно по каждому объекту амортизируемого имущества. </w:t>
      </w:r>
    </w:p>
    <w:p w:rsidR="00A3618A" w:rsidRDefault="00A3618A" w:rsidP="006138C4">
      <w:pPr>
        <w:pStyle w:val="11"/>
        <w:rPr>
          <w:rFonts w:eastAsia="Times New Roman"/>
          <w:lang w:eastAsia="en-US"/>
        </w:rPr>
      </w:pPr>
      <w:r>
        <w:rPr>
          <w:rFonts w:eastAsia="Times New Roman"/>
          <w:lang w:eastAsia="en-US"/>
        </w:rPr>
        <w:t>Начисление амортизации по объекту амортизируемого имущества начинается с 1-го числа месяца, следующего за месяцем, в котором этот объект был введен в эксплуатацию.</w:t>
      </w:r>
    </w:p>
    <w:p w:rsidR="00A3618A" w:rsidRDefault="00A3618A" w:rsidP="006138C4">
      <w:pPr>
        <w:pStyle w:val="11"/>
        <w:rPr>
          <w:rFonts w:eastAsia="Times New Roman"/>
          <w:lang w:eastAsia="en-US"/>
        </w:rPr>
      </w:pPr>
      <w:r>
        <w:rPr>
          <w:rFonts w:eastAsia="Times New Roman"/>
          <w:lang w:eastAsia="en-US"/>
        </w:rPr>
        <w:t>Начисление амортизации по объекту амортизируемого имущества прекращается с 1-го числа месяца, следующего за месяцем, когда произошло полное списание стоимости такого объекта либо когда данный объект выбыл из состава амортизируемого имущества налогоплательщика по любым основаниям.</w:t>
      </w:r>
    </w:p>
    <w:p w:rsidR="00A3618A" w:rsidRDefault="00A3618A" w:rsidP="009A37B6">
      <w:pPr>
        <w:pStyle w:val="11"/>
        <w:rPr>
          <w:rFonts w:eastAsia="Times New Roman"/>
          <w:lang w:eastAsia="en-US"/>
        </w:rPr>
      </w:pPr>
      <w:r>
        <w:rPr>
          <w:rFonts w:eastAsia="Times New Roman"/>
          <w:lang w:eastAsia="en-US"/>
        </w:rPr>
        <w:t xml:space="preserve">Налогоплательщик применяет </w:t>
      </w:r>
      <w:r w:rsidRPr="009A37B6">
        <w:rPr>
          <w:rFonts w:eastAsia="Times New Roman"/>
        </w:rPr>
        <w:t>линейный метод</w:t>
      </w:r>
      <w:r>
        <w:rPr>
          <w:rFonts w:ascii="BookAntiqua-Italic" w:hAnsi="BookAntiqua-Italic" w:cs="BookAntiqua-Italic"/>
          <w:i/>
          <w:iCs/>
          <w:lang w:eastAsia="en-US"/>
        </w:rPr>
        <w:t xml:space="preserve"> </w:t>
      </w:r>
      <w:r>
        <w:rPr>
          <w:rFonts w:eastAsia="Times New Roman"/>
          <w:lang w:eastAsia="en-US"/>
        </w:rPr>
        <w:t xml:space="preserve">начисления амортизации к зданиям, сооружениям, передаточным устройствам, входящим в восьмую – десятую амортизационные группы, независимо от сроков ввода в эксплуатацию этих объектов. </w:t>
      </w:r>
    </w:p>
    <w:p w:rsidR="00A3618A" w:rsidRDefault="00A3618A" w:rsidP="009A37B6">
      <w:pPr>
        <w:pStyle w:val="11"/>
        <w:rPr>
          <w:rFonts w:eastAsia="Times New Roman"/>
          <w:lang w:eastAsia="en-US"/>
        </w:rPr>
      </w:pPr>
      <w:r>
        <w:rPr>
          <w:rFonts w:eastAsia="Times New Roman"/>
          <w:lang w:eastAsia="en-US"/>
        </w:rPr>
        <w:t>К остальным основным средствам налогоплательщик вправе применять любой из методов, предусмотренный НК РФ.</w:t>
      </w:r>
    </w:p>
    <w:p w:rsidR="00A3618A" w:rsidRDefault="00A3618A" w:rsidP="009A37B6">
      <w:pPr>
        <w:pStyle w:val="11"/>
        <w:rPr>
          <w:rFonts w:eastAsia="Times New Roman"/>
          <w:lang w:eastAsia="en-US"/>
        </w:rPr>
      </w:pPr>
      <w:r>
        <w:rPr>
          <w:rFonts w:eastAsia="Times New Roman"/>
          <w:lang w:eastAsia="en-US"/>
        </w:rPr>
        <w:t>Выбранный налогоплательщиком метод начисления амортизации не может быть изменен в течение всего периода начисления амортизации по объекту амортизируемого имущества.</w:t>
      </w:r>
    </w:p>
    <w:p w:rsidR="00A3618A" w:rsidRDefault="00A3618A" w:rsidP="009A37B6">
      <w:pPr>
        <w:pStyle w:val="11"/>
        <w:rPr>
          <w:rFonts w:eastAsia="Times New Roman"/>
          <w:lang w:eastAsia="en-US"/>
        </w:rPr>
      </w:pPr>
      <w:r>
        <w:rPr>
          <w:rFonts w:eastAsia="Times New Roman"/>
          <w:lang w:eastAsia="en-US"/>
        </w:rPr>
        <w:t>Начисление амортизации в отношении объекта амортизируемого имущества осуществляется в соответствии с нормой амортизации, определенной для данного объекта исходя из его срока полезного использования.</w:t>
      </w:r>
    </w:p>
    <w:p w:rsidR="00A3618A" w:rsidRDefault="00A3618A" w:rsidP="00AD183B">
      <w:pPr>
        <w:pStyle w:val="11"/>
        <w:rPr>
          <w:rFonts w:eastAsia="Times New Roman"/>
          <w:lang w:eastAsia="en-US"/>
        </w:rPr>
      </w:pPr>
      <w:r>
        <w:rPr>
          <w:rFonts w:eastAsia="Times New Roman"/>
          <w:lang w:eastAsia="en-US"/>
        </w:rPr>
        <w:t>Если организация в течение какого-либо календарного месяца была учреждена, ликвидирована, реорганизована или иначе преобразована таким образом, что в соответствии со статьей 55 НК РФ налоговый период для нее начинается либо заканчивается до окончания календарного месяца, то амортизация начисляется с учетом следующих особенностей:</w:t>
      </w:r>
    </w:p>
    <w:p w:rsidR="00A3618A" w:rsidRDefault="00A3618A" w:rsidP="00AD183B">
      <w:pPr>
        <w:pStyle w:val="11"/>
        <w:rPr>
          <w:rFonts w:eastAsia="Times New Roman"/>
          <w:lang w:eastAsia="en-US"/>
        </w:rPr>
      </w:pPr>
      <w:r>
        <w:rPr>
          <w:rFonts w:eastAsia="Times New Roman"/>
          <w:lang w:eastAsia="en-US"/>
        </w:rPr>
        <w:t>1. амортизация не начисляется ликвидируемой организацией с 1-го числа того месяца, в котором завершена ликвидация, а реорганизуемой организацией – с 1-го числа того месяца, в котором в установленном порядке завершена реорганизация;</w:t>
      </w:r>
    </w:p>
    <w:p w:rsidR="00A3618A" w:rsidRDefault="00A3618A" w:rsidP="00AD183B">
      <w:pPr>
        <w:pStyle w:val="11"/>
        <w:rPr>
          <w:rFonts w:eastAsia="Times New Roman"/>
          <w:lang w:eastAsia="en-US"/>
        </w:rPr>
      </w:pPr>
      <w:r>
        <w:rPr>
          <w:rFonts w:eastAsia="Times New Roman"/>
          <w:lang w:eastAsia="en-US"/>
        </w:rPr>
        <w:t>2. амортизация начисляется учреждаемой, образующейся в результате реорганизации организацией – с 1-го числа месяца, следующего за месяцем, в котором была осуществлена ее государственная регистрация.</w:t>
      </w:r>
    </w:p>
    <w:p w:rsidR="00A3618A" w:rsidRDefault="00A3618A" w:rsidP="00AD183B">
      <w:pPr>
        <w:pStyle w:val="11"/>
        <w:rPr>
          <w:rFonts w:eastAsia="Times New Roman"/>
          <w:lang w:eastAsia="en-US"/>
        </w:rPr>
      </w:pPr>
      <w:r>
        <w:rPr>
          <w:rFonts w:eastAsia="Times New Roman"/>
          <w:lang w:eastAsia="en-US"/>
        </w:rPr>
        <w:t>Это положение не распространяется на организации, изменяющие свою организационно-правовую форму.</w:t>
      </w:r>
    </w:p>
    <w:p w:rsidR="00A3618A" w:rsidRDefault="00A3618A" w:rsidP="00AD183B">
      <w:pPr>
        <w:pStyle w:val="11"/>
        <w:rPr>
          <w:rFonts w:eastAsia="Times New Roman"/>
          <w:lang w:eastAsia="en-US"/>
        </w:rPr>
      </w:pPr>
      <w:r>
        <w:rPr>
          <w:rFonts w:eastAsia="Times New Roman"/>
          <w:lang w:eastAsia="en-US"/>
        </w:rPr>
        <w:t>В отношении амортизируемых основных средств, используемых для работы в условиях агрессивной среды и (или) повышенной сменности, к основной норме амортизации налогоплательщик вправе применять специальный коэффициент, но не выше 2. Для амортизируемых основных средств, которые являются предметом договора финансовой аренды (договора лизинга), к основной норме амортизации налогоплательщик, у которого данное основное средство должно учитываться в соответствии с условиями договора финансовой аренды (договора лизинга), вправе применять специальный коэффициент, но не выше 3. Данные положения не распространяются на основные средства, относящиеся к первой, второй и третьей амортизационным группам, в случае если амортизация по данным основным средствам начисляется нелинейным методом.</w:t>
      </w:r>
    </w:p>
    <w:p w:rsidR="00A3618A" w:rsidRDefault="00A3618A" w:rsidP="00AD183B">
      <w:pPr>
        <w:pStyle w:val="11"/>
        <w:rPr>
          <w:rFonts w:eastAsia="Times New Roman"/>
          <w:lang w:eastAsia="en-US"/>
        </w:rPr>
      </w:pPr>
      <w:r>
        <w:rPr>
          <w:rFonts w:eastAsia="Times New Roman"/>
          <w:lang w:eastAsia="en-US"/>
        </w:rPr>
        <w:t>Налогоплательщики, использующие амортизируемые основные средства для работы в условиях агрессивной среды и (или) повышенной сменности, вправе использовать специальный коэффициент только при начислении амортизации в отношении указанных основных средств.</w:t>
      </w:r>
    </w:p>
    <w:p w:rsidR="00A3618A" w:rsidRDefault="00A3618A" w:rsidP="00AD183B">
      <w:pPr>
        <w:pStyle w:val="11"/>
        <w:rPr>
          <w:rFonts w:eastAsia="Times New Roman"/>
          <w:lang w:eastAsia="en-US"/>
        </w:rPr>
      </w:pPr>
      <w:r>
        <w:rPr>
          <w:rFonts w:eastAsia="Times New Roman"/>
          <w:lang w:eastAsia="en-US"/>
        </w:rPr>
        <w:t>Под агрессивной средой понимается совокупность природных и (или) искусственных факторов, влияние которых вызывает повышенный износ (старение) основных средств в процессе их эксплуатации. К работе в агрессивной среде приравнивается также нахождение основных средств в контакте с взрыво-, пожароопасной, токсичной или иной агрессивной технологической средой, которая может послужить причиной (источником) инициирования аварийной ситуации.</w:t>
      </w:r>
    </w:p>
    <w:p w:rsidR="00A3618A" w:rsidRDefault="00A3618A" w:rsidP="00AD183B">
      <w:pPr>
        <w:pStyle w:val="11"/>
        <w:rPr>
          <w:rFonts w:eastAsia="Times New Roman"/>
          <w:lang w:eastAsia="en-US"/>
        </w:rPr>
      </w:pPr>
      <w:r>
        <w:rPr>
          <w:rFonts w:eastAsia="Times New Roman"/>
          <w:lang w:eastAsia="en-US"/>
        </w:rPr>
        <w:t>Налогоплательщики – сельскохозяйственные организации промышленного типа (птицефабрики, животноводческие комплексы, зверосовхозы, тепличные комбинаты) – вправе в отношении собственных основных средств применять к основной норме амортизации, выбранной самостоятельно специальный коэффициент, но не выше 2.</w:t>
      </w:r>
    </w:p>
    <w:p w:rsidR="00A3618A" w:rsidRDefault="00A3618A" w:rsidP="00AD183B">
      <w:pPr>
        <w:pStyle w:val="11"/>
        <w:rPr>
          <w:rFonts w:eastAsia="Times New Roman"/>
          <w:lang w:eastAsia="en-US"/>
        </w:rPr>
      </w:pPr>
      <w:r>
        <w:rPr>
          <w:rFonts w:eastAsia="Times New Roman"/>
          <w:lang w:eastAsia="en-US"/>
        </w:rPr>
        <w:t>Налогоплательщики, передавшие (получившие) основные средства, которые являются предметом договора лизинга, заключенного до введения в действие 25 главы Налогового кодекса РФ, вправе начислять амортизацию по этому имуществу с применением методов и норм, существовавших на момент передачи (получения) имущества, а также с применением специального коэффициента не выше 3.</w:t>
      </w:r>
    </w:p>
    <w:p w:rsidR="00A3618A" w:rsidRDefault="00A3618A" w:rsidP="00AD183B">
      <w:pPr>
        <w:pStyle w:val="11"/>
        <w:rPr>
          <w:rFonts w:eastAsia="Times New Roman"/>
          <w:lang w:eastAsia="en-US"/>
        </w:rPr>
      </w:pPr>
      <w:r>
        <w:rPr>
          <w:rFonts w:eastAsia="Times New Roman"/>
          <w:lang w:eastAsia="en-US"/>
        </w:rPr>
        <w:t>По легковым автомобилям и пассажирским микроавтобусам, имеющим первоначальную стоимость соответственно более 300 тысяч рублей и 400 тысяч рублей, основная норма амортизации применяется со специальным коэффициентом 0,5.</w:t>
      </w:r>
    </w:p>
    <w:p w:rsidR="00A3618A" w:rsidRDefault="00A3618A" w:rsidP="00AD183B">
      <w:pPr>
        <w:pStyle w:val="11"/>
        <w:rPr>
          <w:rFonts w:eastAsia="Times New Roman"/>
          <w:lang w:eastAsia="en-US"/>
        </w:rPr>
      </w:pPr>
      <w:r>
        <w:rPr>
          <w:rFonts w:eastAsia="Times New Roman"/>
          <w:lang w:eastAsia="en-US"/>
        </w:rPr>
        <w:t>Организации, получившие (передавшие) указанные легковые автомобили и пассажирские микроавтобусы в лизинг, включают это имущество в состав соответствующей амортизационной группы и применяют основную норму амортизации (с учетом применяемого налогоплательщиком по такому имуществу коэффициента) со специальным коэффициентом 0,5.</w:t>
      </w:r>
    </w:p>
    <w:p w:rsidR="00A3618A" w:rsidRDefault="00A3618A" w:rsidP="00AD183B">
      <w:pPr>
        <w:pStyle w:val="11"/>
        <w:rPr>
          <w:rFonts w:eastAsia="Times New Roman"/>
          <w:lang w:eastAsia="en-US"/>
        </w:rPr>
      </w:pPr>
      <w:r>
        <w:rPr>
          <w:rFonts w:eastAsia="Times New Roman"/>
          <w:lang w:eastAsia="en-US"/>
        </w:rPr>
        <w:t>Допускается начисление амортизации по нормам амортизации, ниже установленных НК РФ по решению руководителя организации – налогоплательщика, закрепленному в учетной политике для целей налогообложения. Использование пониженных норм амортизации допускается только с начала налогового периода и в течение всего налогового периода.</w:t>
      </w:r>
    </w:p>
    <w:p w:rsidR="00A3618A" w:rsidRDefault="00A3618A" w:rsidP="00AD183B">
      <w:pPr>
        <w:pStyle w:val="11"/>
        <w:rPr>
          <w:rFonts w:eastAsia="Times New Roman"/>
          <w:lang w:eastAsia="en-US"/>
        </w:rPr>
      </w:pPr>
      <w:r>
        <w:rPr>
          <w:rFonts w:eastAsia="Times New Roman"/>
          <w:lang w:eastAsia="en-US"/>
        </w:rPr>
        <w:t>При реализации амортизируемого имущества налогоплательщиками, использующими пониженные нормы амортизации, перерасчет налоговой базы на сумму недоначисленной амортизации в целях налогообложения не производится.</w:t>
      </w:r>
    </w:p>
    <w:p w:rsidR="00A3618A" w:rsidRDefault="00A3618A" w:rsidP="00AD183B">
      <w:pPr>
        <w:pStyle w:val="11"/>
        <w:rPr>
          <w:rFonts w:eastAsia="Times New Roman"/>
          <w:lang w:eastAsia="en-US"/>
        </w:rPr>
      </w:pPr>
      <w:r>
        <w:rPr>
          <w:rFonts w:eastAsia="Times New Roman"/>
          <w:lang w:eastAsia="en-US"/>
        </w:rPr>
        <w:t>Организация, приобретающая объекты основных средств, бывшие в употреблении, вправе определять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предыдущими собственниками.</w:t>
      </w:r>
    </w:p>
    <w:p w:rsidR="00A3618A" w:rsidRPr="006138C4" w:rsidRDefault="00A3618A" w:rsidP="00AD183B">
      <w:pPr>
        <w:pStyle w:val="11"/>
        <w:rPr>
          <w:rFonts w:eastAsia="Times New Roman"/>
          <w:lang w:eastAsia="en-US"/>
        </w:rPr>
      </w:pPr>
      <w:r>
        <w:rPr>
          <w:rFonts w:eastAsia="Times New Roman"/>
          <w:lang w:eastAsia="en-US"/>
        </w:rPr>
        <w:t>Если срок фактического использования данного основного средства у предыдущих собственников окажется равным или превышающим срок его полезного использования, определяемый классификацией основных средств, утвержденной Правительством РФ, то налогоплательщик вправе самостоятельно определять срок полезного использования этого основного средства с учетом требований техники безопасности и других факторов.</w:t>
      </w:r>
    </w:p>
    <w:p w:rsidR="00A3618A" w:rsidRDefault="00A3618A" w:rsidP="006138C4">
      <w:pPr>
        <w:pStyle w:val="11"/>
        <w:ind w:firstLine="0"/>
        <w:jc w:val="center"/>
        <w:rPr>
          <w:b/>
          <w:bCs/>
          <w:color w:val="000000"/>
          <w:sz w:val="28"/>
          <w:szCs w:val="28"/>
        </w:rPr>
      </w:pPr>
    </w:p>
    <w:p w:rsidR="00A3618A" w:rsidRPr="006138C4" w:rsidRDefault="00A3618A" w:rsidP="006138C4">
      <w:pPr>
        <w:pStyle w:val="11"/>
        <w:ind w:firstLine="0"/>
        <w:jc w:val="center"/>
        <w:rPr>
          <w:b/>
          <w:sz w:val="28"/>
          <w:szCs w:val="28"/>
        </w:rPr>
      </w:pPr>
      <w:r w:rsidRPr="006138C4">
        <w:rPr>
          <w:b/>
          <w:bCs/>
          <w:color w:val="000000"/>
          <w:sz w:val="28"/>
          <w:szCs w:val="28"/>
        </w:rPr>
        <w:t>3.1 Линейный способ</w:t>
      </w:r>
    </w:p>
    <w:p w:rsidR="00A3618A" w:rsidRDefault="00A3618A" w:rsidP="00CA0B62">
      <w:pPr>
        <w:pStyle w:val="11"/>
        <w:rPr>
          <w:rFonts w:eastAsia="Times New Roman"/>
          <w:lang w:eastAsia="en-US"/>
        </w:rPr>
      </w:pPr>
      <w:r>
        <w:tab/>
      </w:r>
      <w:r>
        <w:rPr>
          <w:rFonts w:eastAsia="Times New Roman"/>
          <w:lang w:eastAsia="en-US"/>
        </w:rPr>
        <w:t xml:space="preserve">При применении </w:t>
      </w:r>
      <w:r>
        <w:rPr>
          <w:rFonts w:ascii="BookAntiqua-Italic Cyr" w:hAnsi="BookAntiqua-Italic Cyr" w:cs="BookAntiqua-Italic Cyr"/>
          <w:i/>
          <w:iCs/>
          <w:lang w:eastAsia="en-US"/>
        </w:rPr>
        <w:t xml:space="preserve">линейного метода </w:t>
      </w:r>
      <w:r>
        <w:rPr>
          <w:rFonts w:eastAsia="Times New Roman"/>
          <w:lang w:eastAsia="en-US"/>
        </w:rPr>
        <w:t>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w:t>
      </w:r>
    </w:p>
    <w:p w:rsidR="00A3618A" w:rsidRDefault="00A3618A" w:rsidP="00CA0B62">
      <w:pPr>
        <w:pStyle w:val="11"/>
        <w:rPr>
          <w:rFonts w:eastAsia="Times New Roman"/>
          <w:lang w:eastAsia="en-US"/>
        </w:rPr>
      </w:pPr>
      <w:r>
        <w:rPr>
          <w:rFonts w:eastAsia="Times New Roman"/>
          <w:lang w:eastAsia="en-US"/>
        </w:rPr>
        <w:t>При применении линейного метода норма амортизации по каждому объекту амортизируемого имущества определяется по формуле:</w:t>
      </w:r>
    </w:p>
    <w:p w:rsidR="00A3618A" w:rsidRPr="00CA0B62" w:rsidRDefault="00A3618A" w:rsidP="00CA0B62">
      <w:pPr>
        <w:pStyle w:val="11"/>
        <w:jc w:val="center"/>
        <w:rPr>
          <w:rFonts w:eastAsia="Times New Roman"/>
          <w:b/>
          <w:lang w:eastAsia="en-US"/>
        </w:rPr>
      </w:pPr>
      <w:r w:rsidRPr="00CA0B62">
        <w:rPr>
          <w:rFonts w:eastAsia="Times New Roman"/>
          <w:b/>
          <w:lang w:eastAsia="en-US"/>
        </w:rPr>
        <w:t>K = (1</w:t>
      </w:r>
      <w:r>
        <w:rPr>
          <w:b/>
          <w:lang w:eastAsia="en-US"/>
        </w:rPr>
        <w:t xml:space="preserve"> ÷ </w:t>
      </w:r>
      <w:r w:rsidRPr="00CA0B62">
        <w:rPr>
          <w:rFonts w:eastAsia="Times New Roman"/>
          <w:b/>
          <w:lang w:eastAsia="en-US"/>
        </w:rPr>
        <w:t xml:space="preserve">n) </w:t>
      </w:r>
      <w:r>
        <w:rPr>
          <w:b/>
          <w:lang w:eastAsia="en-US"/>
        </w:rPr>
        <w:t>×</w:t>
      </w:r>
      <w:r w:rsidRPr="00CA0B62">
        <w:rPr>
          <w:rFonts w:eastAsia="Times New Roman"/>
          <w:b/>
          <w:lang w:eastAsia="en-US"/>
        </w:rPr>
        <w:t xml:space="preserve"> 100%,</w:t>
      </w:r>
    </w:p>
    <w:p w:rsidR="00A3618A" w:rsidRDefault="00A3618A" w:rsidP="00CA0B62">
      <w:pPr>
        <w:pStyle w:val="11"/>
        <w:ind w:firstLine="0"/>
        <w:rPr>
          <w:rFonts w:eastAsia="Times New Roman"/>
          <w:lang w:eastAsia="en-US"/>
        </w:rPr>
      </w:pPr>
      <w:r>
        <w:rPr>
          <w:rFonts w:eastAsia="Times New Roman"/>
          <w:lang w:eastAsia="en-US"/>
        </w:rPr>
        <w:t xml:space="preserve">где    </w:t>
      </w:r>
      <w:r w:rsidRPr="00CA0B62">
        <w:rPr>
          <w:rFonts w:eastAsia="Times New Roman"/>
          <w:b/>
          <w:lang w:eastAsia="en-US"/>
        </w:rPr>
        <w:t>K</w:t>
      </w:r>
      <w:r>
        <w:rPr>
          <w:rFonts w:eastAsia="Times New Roman"/>
          <w:lang w:eastAsia="en-US"/>
        </w:rPr>
        <w:t xml:space="preserve"> – норма амортизации в процентах к первоначальной (восстановительной) стоимости объекта амортизируемого имущества;</w:t>
      </w:r>
    </w:p>
    <w:p w:rsidR="00A3618A" w:rsidRDefault="00A3618A" w:rsidP="00CA0B62">
      <w:pPr>
        <w:pStyle w:val="11"/>
        <w:rPr>
          <w:rFonts w:eastAsia="Times New Roman"/>
          <w:lang w:eastAsia="en-US"/>
        </w:rPr>
      </w:pPr>
      <w:r w:rsidRPr="00CA0B62">
        <w:rPr>
          <w:rFonts w:eastAsia="Times New Roman"/>
          <w:b/>
          <w:lang w:eastAsia="en-US"/>
        </w:rPr>
        <w:t>n</w:t>
      </w:r>
      <w:r>
        <w:rPr>
          <w:rFonts w:eastAsia="Times New Roman"/>
          <w:lang w:eastAsia="en-US"/>
        </w:rPr>
        <w:t xml:space="preserve"> – срок полезного использования данного объекта амортизируемого имущества, выраженный в месяцах.</w:t>
      </w:r>
    </w:p>
    <w:p w:rsidR="00A3618A" w:rsidRDefault="00A3618A" w:rsidP="00CA0B62">
      <w:pPr>
        <w:pStyle w:val="11"/>
        <w:rPr>
          <w:rFonts w:eastAsia="Times New Roman"/>
          <w:b/>
          <w:lang w:eastAsia="en-US"/>
        </w:rPr>
      </w:pPr>
    </w:p>
    <w:p w:rsidR="00A3618A" w:rsidRDefault="00A3618A" w:rsidP="00CA0B62">
      <w:pPr>
        <w:pStyle w:val="11"/>
        <w:rPr>
          <w:rFonts w:eastAsia="Times New Roman"/>
          <w:lang w:eastAsia="en-US"/>
        </w:rPr>
      </w:pPr>
      <w:r w:rsidRPr="006E59B5">
        <w:rPr>
          <w:rFonts w:eastAsia="Times New Roman"/>
          <w:b/>
          <w:lang w:eastAsia="en-US"/>
        </w:rPr>
        <w:t>Пример:</w:t>
      </w:r>
      <w:r>
        <w:rPr>
          <w:rFonts w:eastAsia="Times New Roman"/>
          <w:lang w:eastAsia="en-US"/>
        </w:rPr>
        <w:t xml:space="preserve"> </w:t>
      </w:r>
      <w:r w:rsidRPr="00660E90">
        <w:rPr>
          <w:rFonts w:eastAsia="Times New Roman"/>
          <w:lang w:eastAsia="en-US"/>
        </w:rPr>
        <w:t>Если первона</w:t>
      </w:r>
      <w:r>
        <w:rPr>
          <w:rFonts w:eastAsia="Times New Roman"/>
          <w:lang w:eastAsia="en-US"/>
        </w:rPr>
        <w:t>чальная стоимость объекта - 200</w:t>
      </w:r>
      <w:r w:rsidRPr="00660E90">
        <w:rPr>
          <w:rFonts w:eastAsia="Times New Roman"/>
          <w:lang w:eastAsia="en-US"/>
        </w:rPr>
        <w:t xml:space="preserve">000 рублей, а срок полезного использования - 8 лет, то ежемесячная норма начисления амортизации равна 1,042 % (1 </w:t>
      </w:r>
      <w:r>
        <w:rPr>
          <w:lang w:eastAsia="en-US"/>
        </w:rPr>
        <w:t>÷</w:t>
      </w:r>
      <w:r w:rsidRPr="00660E90">
        <w:rPr>
          <w:rFonts w:eastAsia="Times New Roman"/>
          <w:lang w:eastAsia="en-US"/>
        </w:rPr>
        <w:t xml:space="preserve"> (8 </w:t>
      </w:r>
      <w:r>
        <w:rPr>
          <w:lang w:eastAsia="en-US"/>
        </w:rPr>
        <w:t>×</w:t>
      </w:r>
      <w:r w:rsidRPr="00660E90">
        <w:rPr>
          <w:rFonts w:eastAsia="Times New Roman"/>
          <w:lang w:eastAsia="en-US"/>
        </w:rPr>
        <w:t xml:space="preserve"> 12) </w:t>
      </w:r>
      <w:r>
        <w:rPr>
          <w:lang w:eastAsia="en-US"/>
        </w:rPr>
        <w:t>×</w:t>
      </w:r>
      <w:r w:rsidRPr="00660E90">
        <w:rPr>
          <w:rFonts w:eastAsia="Times New Roman"/>
          <w:lang w:eastAsia="en-US"/>
        </w:rPr>
        <w:t xml:space="preserve"> 100 %), а сумма амортизации соста</w:t>
      </w:r>
      <w:r>
        <w:rPr>
          <w:rFonts w:eastAsia="Times New Roman"/>
          <w:lang w:eastAsia="en-US"/>
        </w:rPr>
        <w:t>вит 2 083,33 рубля в месяц (200</w:t>
      </w:r>
      <w:r w:rsidRPr="00660E90">
        <w:rPr>
          <w:rFonts w:eastAsia="Times New Roman"/>
          <w:lang w:eastAsia="en-US"/>
        </w:rPr>
        <w:t xml:space="preserve">000 </w:t>
      </w:r>
      <w:r>
        <w:rPr>
          <w:lang w:eastAsia="en-US"/>
        </w:rPr>
        <w:t xml:space="preserve">× 1,042 %) </w:t>
      </w:r>
      <w:r>
        <w:rPr>
          <w:rFonts w:eastAsia="Times New Roman"/>
          <w:lang w:eastAsia="en-US"/>
        </w:rPr>
        <w:t>или 25</w:t>
      </w:r>
      <w:r w:rsidRPr="00660E90">
        <w:rPr>
          <w:rFonts w:eastAsia="Times New Roman"/>
          <w:lang w:eastAsia="en-US"/>
        </w:rPr>
        <w:t xml:space="preserve">000 рублей в год (2 083 руб. </w:t>
      </w:r>
      <w:r>
        <w:rPr>
          <w:lang w:eastAsia="en-US"/>
        </w:rPr>
        <w:t>×</w:t>
      </w:r>
      <w:r w:rsidRPr="00660E90">
        <w:rPr>
          <w:rFonts w:eastAsia="Times New Roman"/>
          <w:lang w:eastAsia="en-US"/>
        </w:rPr>
        <w:t xml:space="preserve"> 12 мес.).</w:t>
      </w:r>
    </w:p>
    <w:p w:rsidR="00A3618A" w:rsidRDefault="00A3618A" w:rsidP="00CA0B62">
      <w:pPr>
        <w:pStyle w:val="11"/>
        <w:rPr>
          <w:rFonts w:eastAsia="Times New Roman"/>
          <w:lang w:eastAsia="en-US"/>
        </w:rPr>
      </w:pPr>
    </w:p>
    <w:p w:rsidR="00A3618A" w:rsidRDefault="00A3618A" w:rsidP="00CA0B62">
      <w:pPr>
        <w:pStyle w:val="11"/>
        <w:rPr>
          <w:rFonts w:eastAsia="Times New Roman"/>
          <w:lang w:eastAsia="en-US"/>
        </w:rPr>
      </w:pPr>
      <w:r w:rsidRPr="006E59B5">
        <w:rPr>
          <w:rFonts w:eastAsia="Times New Roman"/>
          <w:lang w:eastAsia="en-US"/>
        </w:rPr>
        <w:t>При выборе линейного метода начисления амортизации, как в налоговом, так и в бухгалтерском учете при прочих равных условиях сумма амортизации, относимая на расходы в бухучете, будет равна сумме амортизации, признаваемой расходами в налоговом учете.</w:t>
      </w:r>
    </w:p>
    <w:p w:rsidR="00A3618A" w:rsidRDefault="00A3618A" w:rsidP="006E59B5">
      <w:pPr>
        <w:rPr>
          <w:rFonts w:eastAsia="Times New Roman"/>
          <w:lang w:eastAsia="en-US"/>
        </w:rPr>
      </w:pPr>
    </w:p>
    <w:p w:rsidR="00A3618A" w:rsidRDefault="00A3618A" w:rsidP="006E59B5">
      <w:pPr>
        <w:tabs>
          <w:tab w:val="left" w:pos="1845"/>
        </w:tabs>
        <w:jc w:val="center"/>
        <w:rPr>
          <w:rFonts w:ascii="Arial" w:hAnsi="Arial" w:cs="Arial"/>
          <w:b/>
          <w:bCs/>
          <w:color w:val="000000"/>
          <w:sz w:val="28"/>
          <w:szCs w:val="28"/>
        </w:rPr>
      </w:pPr>
      <w:r w:rsidRPr="006E59B5">
        <w:rPr>
          <w:rFonts w:ascii="Arial" w:hAnsi="Arial" w:cs="Arial"/>
          <w:b/>
          <w:bCs/>
          <w:color w:val="000000"/>
          <w:sz w:val="28"/>
          <w:szCs w:val="28"/>
        </w:rPr>
        <w:t>3.2 Нелинейный способ</w:t>
      </w:r>
    </w:p>
    <w:p w:rsidR="00A3618A" w:rsidRDefault="00A3618A" w:rsidP="006E59B5">
      <w:pPr>
        <w:pStyle w:val="11"/>
        <w:rPr>
          <w:rFonts w:eastAsia="Times New Roman"/>
          <w:lang w:eastAsia="en-US"/>
        </w:rPr>
      </w:pPr>
      <w:r>
        <w:rPr>
          <w:rFonts w:eastAsia="Times New Roman"/>
          <w:lang w:eastAsia="en-US"/>
        </w:rPr>
        <w:t xml:space="preserve">При применении </w:t>
      </w:r>
      <w:r w:rsidRPr="006E59B5">
        <w:rPr>
          <w:rFonts w:eastAsia="Times New Roman"/>
        </w:rPr>
        <w:t>нелинейного метода</w:t>
      </w:r>
      <w:r>
        <w:rPr>
          <w:rFonts w:ascii="BookAntiqua-Italic" w:hAnsi="BookAntiqua-Italic" w:cs="BookAntiqua-Italic"/>
          <w:i/>
          <w:iCs/>
          <w:lang w:eastAsia="en-US"/>
        </w:rPr>
        <w:t xml:space="preserve"> </w:t>
      </w:r>
      <w:r>
        <w:rPr>
          <w:rFonts w:eastAsia="Times New Roman"/>
          <w:lang w:eastAsia="en-US"/>
        </w:rPr>
        <w:t>сумма начисленной за один месяц амортизации в отношении объекта амортизируемого имущества определяется как произведение остаточной стоимости объекта амортизируемого имущества и нормы амортизации, определенной для данного объекта.</w:t>
      </w:r>
    </w:p>
    <w:p w:rsidR="00A3618A" w:rsidRDefault="00A3618A" w:rsidP="006E59B5">
      <w:pPr>
        <w:pStyle w:val="11"/>
        <w:rPr>
          <w:rFonts w:eastAsia="Times New Roman"/>
          <w:lang w:eastAsia="en-US"/>
        </w:rPr>
      </w:pPr>
      <w:r>
        <w:rPr>
          <w:rFonts w:eastAsia="Times New Roman"/>
          <w:lang w:eastAsia="en-US"/>
        </w:rPr>
        <w:t>При применении нелинейного метода норма амортизации объекта амортизируемого имущества определяется по формуле:</w:t>
      </w:r>
    </w:p>
    <w:p w:rsidR="00A3618A" w:rsidRPr="006E59B5" w:rsidRDefault="00A3618A" w:rsidP="006E59B5">
      <w:pPr>
        <w:pStyle w:val="11"/>
        <w:jc w:val="center"/>
        <w:rPr>
          <w:rFonts w:eastAsia="Times New Roman"/>
          <w:b/>
          <w:lang w:eastAsia="en-US"/>
        </w:rPr>
      </w:pPr>
      <w:r w:rsidRPr="006E59B5">
        <w:rPr>
          <w:b/>
          <w:lang w:eastAsia="en-US"/>
        </w:rPr>
        <w:t>K = (2÷n) × 100%,</w:t>
      </w:r>
    </w:p>
    <w:p w:rsidR="00A3618A" w:rsidRDefault="00A3618A" w:rsidP="006E59B5">
      <w:pPr>
        <w:pStyle w:val="11"/>
        <w:ind w:firstLine="0"/>
        <w:rPr>
          <w:rFonts w:eastAsia="Times New Roman"/>
          <w:lang w:eastAsia="en-US"/>
        </w:rPr>
      </w:pPr>
      <w:r>
        <w:rPr>
          <w:rFonts w:eastAsia="Times New Roman"/>
          <w:lang w:eastAsia="en-US"/>
        </w:rPr>
        <w:t xml:space="preserve">    где </w:t>
      </w:r>
      <w:r w:rsidRPr="006E59B5">
        <w:rPr>
          <w:rFonts w:eastAsia="Times New Roman"/>
          <w:b/>
          <w:lang w:eastAsia="en-US"/>
        </w:rPr>
        <w:t>K</w:t>
      </w:r>
      <w:r>
        <w:rPr>
          <w:rFonts w:eastAsia="Times New Roman"/>
          <w:lang w:eastAsia="en-US"/>
        </w:rPr>
        <w:t xml:space="preserve"> – норма амортизации в процентах к остаточной стоимости, применяемая к данному объекту амортизируемого имущества;</w:t>
      </w:r>
    </w:p>
    <w:p w:rsidR="00A3618A" w:rsidRDefault="00A3618A" w:rsidP="006E59B5">
      <w:pPr>
        <w:pStyle w:val="11"/>
        <w:rPr>
          <w:rFonts w:eastAsia="Times New Roman"/>
          <w:lang w:eastAsia="en-US"/>
        </w:rPr>
      </w:pPr>
      <w:r w:rsidRPr="006E59B5">
        <w:rPr>
          <w:rFonts w:eastAsia="Times New Roman"/>
          <w:b/>
          <w:lang w:eastAsia="en-US"/>
        </w:rPr>
        <w:t>n</w:t>
      </w:r>
      <w:r>
        <w:rPr>
          <w:rFonts w:eastAsia="Times New Roman"/>
          <w:lang w:eastAsia="en-US"/>
        </w:rPr>
        <w:t xml:space="preserve"> – срок полезного использования данного объекта амортизируемого имущества, выраженный в месяцах.</w:t>
      </w:r>
    </w:p>
    <w:p w:rsidR="00A3618A" w:rsidRDefault="00A3618A" w:rsidP="006E59B5">
      <w:pPr>
        <w:pStyle w:val="11"/>
        <w:rPr>
          <w:rFonts w:eastAsia="Times New Roman"/>
          <w:lang w:eastAsia="en-US"/>
        </w:rPr>
      </w:pPr>
      <w:r>
        <w:rPr>
          <w:rFonts w:eastAsia="Times New Roman"/>
          <w:lang w:eastAsia="en-US"/>
        </w:rPr>
        <w:t>При этом с месяца, следующего за месяцем, в котором остаточная стоимость объекта амортизируемого имущества достигнет 20 процентов от первоначальной (восстановительной) стоимости этого объекта, амортизация по нему исчисляется в следующем порядке:</w:t>
      </w:r>
    </w:p>
    <w:p w:rsidR="00A3618A" w:rsidRDefault="00A3618A" w:rsidP="006E59B5">
      <w:pPr>
        <w:pStyle w:val="11"/>
        <w:rPr>
          <w:rFonts w:eastAsia="Times New Roman"/>
          <w:lang w:eastAsia="en-US"/>
        </w:rPr>
      </w:pPr>
      <w:r>
        <w:rPr>
          <w:rFonts w:eastAsia="Times New Roman"/>
          <w:lang w:eastAsia="en-US"/>
        </w:rPr>
        <w:t>1. остаточная стоимость объекта амортизируемого имущества в целях начисления амортизации фиксируется как его базовая стоимость для дальнейших расчетов;</w:t>
      </w:r>
    </w:p>
    <w:p w:rsidR="00A3618A" w:rsidRDefault="00A3618A" w:rsidP="006E59B5">
      <w:pPr>
        <w:pStyle w:val="11"/>
        <w:rPr>
          <w:rFonts w:eastAsia="Times New Roman"/>
          <w:lang w:eastAsia="en-US"/>
        </w:rPr>
      </w:pPr>
      <w:r>
        <w:rPr>
          <w:rFonts w:eastAsia="Times New Roman"/>
          <w:lang w:eastAsia="en-US"/>
        </w:rPr>
        <w:t>2. сумма начисляемой за один месяц амортизации в отношении данного объекта амортизируемого имущества определяется путем деления базовой стоимости данного объекта на количество месяцев, оставшихся до истечения срока полезного использования данного объекта.</w:t>
      </w:r>
    </w:p>
    <w:p w:rsidR="00A3618A" w:rsidRDefault="00A3618A" w:rsidP="005F38DC">
      <w:pPr>
        <w:pStyle w:val="11"/>
        <w:rPr>
          <w:rFonts w:eastAsia="Times New Roman"/>
          <w:b/>
          <w:lang w:eastAsia="en-US"/>
        </w:rPr>
      </w:pPr>
    </w:p>
    <w:p w:rsidR="00A3618A" w:rsidRPr="006F68AD" w:rsidRDefault="00A3618A" w:rsidP="005F38DC">
      <w:pPr>
        <w:pStyle w:val="11"/>
      </w:pPr>
      <w:r w:rsidRPr="005F38DC">
        <w:rPr>
          <w:rFonts w:eastAsia="Times New Roman"/>
          <w:b/>
          <w:lang w:eastAsia="en-US"/>
        </w:rPr>
        <w:t>Пример:</w:t>
      </w:r>
      <w:r>
        <w:rPr>
          <w:rFonts w:eastAsia="Times New Roman"/>
          <w:lang w:eastAsia="en-US"/>
        </w:rPr>
        <w:t xml:space="preserve"> </w:t>
      </w:r>
      <w:r w:rsidRPr="006F68AD">
        <w:t xml:space="preserve">Допустим, что первоначальная стоимость объекта </w:t>
      </w:r>
      <w:r>
        <w:t>амортизируемого имущества – 120</w:t>
      </w:r>
      <w:r w:rsidRPr="006F68AD">
        <w:t xml:space="preserve">000 рублей, а срок его полезного использования – </w:t>
      </w:r>
      <w:r>
        <w:t>2</w:t>
      </w:r>
      <w:r w:rsidRPr="006F68AD">
        <w:t xml:space="preserve"> </w:t>
      </w:r>
      <w:r>
        <w:t>года</w:t>
      </w:r>
      <w:r w:rsidRPr="006F68AD">
        <w:t>.</w:t>
      </w:r>
    </w:p>
    <w:p w:rsidR="00A3618A" w:rsidRPr="006F68AD" w:rsidRDefault="00A3618A" w:rsidP="005F38DC">
      <w:pPr>
        <w:pStyle w:val="11"/>
      </w:pPr>
      <w:r w:rsidRPr="006F68AD">
        <w:t xml:space="preserve">Ежемесячная норма амортизации – </w:t>
      </w:r>
      <w:r>
        <w:t>8</w:t>
      </w:r>
      <w:r w:rsidRPr="006F68AD">
        <w:t>,</w:t>
      </w:r>
      <w:r>
        <w:t>333</w:t>
      </w:r>
      <w:r w:rsidRPr="006F68AD">
        <w:t xml:space="preserve"> % (2 </w:t>
      </w:r>
      <w:r>
        <w:t>÷</w:t>
      </w:r>
      <w:r w:rsidRPr="006F68AD">
        <w:t xml:space="preserve"> (</w:t>
      </w:r>
      <w:r>
        <w:t>2</w:t>
      </w:r>
      <w:r w:rsidRPr="006F68AD">
        <w:t xml:space="preserve"> × 12) × 100 %). </w:t>
      </w:r>
    </w:p>
    <w:p w:rsidR="00A3618A" w:rsidRDefault="00A3618A" w:rsidP="005F38DC">
      <w:pPr>
        <w:pStyle w:val="11"/>
      </w:pPr>
      <w:r>
        <w:t>На станок будет начисляться амортизация:</w:t>
      </w:r>
    </w:p>
    <w:p w:rsidR="00A3618A" w:rsidRDefault="00A3618A" w:rsidP="005F38DC">
      <w:pPr>
        <w:pStyle w:val="11"/>
      </w:pPr>
      <w:r>
        <w:t>В 1-й месяц: 120000 × 8</w:t>
      </w:r>
      <w:r w:rsidRPr="006F68AD">
        <w:t>,</w:t>
      </w:r>
      <w:r>
        <w:t>333</w:t>
      </w:r>
      <w:r w:rsidRPr="006F68AD">
        <w:t xml:space="preserve"> %</w:t>
      </w:r>
      <w:r>
        <w:t xml:space="preserve"> = 9999,6 руб.</w:t>
      </w:r>
    </w:p>
    <w:p w:rsidR="00A3618A" w:rsidRDefault="00A3618A" w:rsidP="005F38DC">
      <w:pPr>
        <w:pStyle w:val="11"/>
      </w:pPr>
      <w:r>
        <w:t>Во 2-й месяц: (12000 -  9999,6)</w:t>
      </w:r>
      <w:r w:rsidRPr="00B96D8B">
        <w:t xml:space="preserve"> </w:t>
      </w:r>
      <w:r>
        <w:t>× 8</w:t>
      </w:r>
      <w:r w:rsidRPr="006F68AD">
        <w:t>,</w:t>
      </w:r>
      <w:r>
        <w:t>333</w:t>
      </w:r>
      <w:r w:rsidRPr="006F68AD">
        <w:t xml:space="preserve"> %</w:t>
      </w:r>
      <w:r>
        <w:t xml:space="preserve"> = 9166,3 руб. и т.д.</w:t>
      </w:r>
    </w:p>
    <w:p w:rsidR="00A3618A" w:rsidRDefault="00A3618A" w:rsidP="005F38DC">
      <w:pPr>
        <w:pStyle w:val="11"/>
      </w:pPr>
      <w:r>
        <w:t>Когда остаточная станка станет меньше 24000 руб. (120000 × 20%) предприятию придется перейти на линейный метод начисления амортизации. Это произойдет через 19 месяцев эксплуатации станка. Сумма амортизации по станку составит 97026 руб., а его остаточная стоимость 22974 руб. Оставшийся срок эксплуатации станка 5 месяцев. С этого момента сумма амортизационных отчислений составит: 22974÷ 5 = 4595 руб.</w:t>
      </w:r>
    </w:p>
    <w:p w:rsidR="00A3618A" w:rsidRDefault="00A3618A" w:rsidP="005F38DC">
      <w:pPr>
        <w:pStyle w:val="11"/>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Pr="00A443B0" w:rsidRDefault="00A3618A" w:rsidP="00A443B0">
      <w:pPr>
        <w:rPr>
          <w:rFonts w:eastAsia="Times New Roman"/>
          <w:lang w:eastAsia="en-US"/>
        </w:rPr>
      </w:pPr>
    </w:p>
    <w:p w:rsidR="00A3618A" w:rsidRDefault="00A3618A" w:rsidP="00A443B0">
      <w:pPr>
        <w:rPr>
          <w:rFonts w:eastAsia="Times New Roman"/>
          <w:lang w:eastAsia="en-US"/>
        </w:rPr>
      </w:pPr>
    </w:p>
    <w:p w:rsidR="00A3618A" w:rsidRDefault="00A3618A" w:rsidP="00A443B0">
      <w:pPr>
        <w:rPr>
          <w:rFonts w:eastAsia="Times New Roman"/>
          <w:lang w:eastAsia="en-US"/>
        </w:rPr>
      </w:pPr>
    </w:p>
    <w:p w:rsidR="00A3618A" w:rsidRDefault="00A3618A" w:rsidP="00A443B0">
      <w:pPr>
        <w:ind w:firstLine="708"/>
        <w:rPr>
          <w:rFonts w:eastAsia="Times New Roman"/>
          <w:lang w:eastAsia="en-US"/>
        </w:rPr>
      </w:pPr>
    </w:p>
    <w:p w:rsidR="00A3618A" w:rsidRDefault="00A3618A" w:rsidP="00A443B0">
      <w:pPr>
        <w:ind w:firstLine="708"/>
        <w:rPr>
          <w:rFonts w:eastAsia="Times New Roman"/>
          <w:lang w:eastAsia="en-US"/>
        </w:rPr>
      </w:pPr>
    </w:p>
    <w:p w:rsidR="00A3618A" w:rsidRDefault="00A3618A" w:rsidP="00A443B0">
      <w:pPr>
        <w:ind w:firstLine="708"/>
        <w:rPr>
          <w:rFonts w:eastAsia="Times New Roman"/>
          <w:lang w:eastAsia="en-US"/>
        </w:rPr>
      </w:pPr>
    </w:p>
    <w:p w:rsidR="00A3618A" w:rsidRDefault="00A3618A" w:rsidP="00A443B0">
      <w:pPr>
        <w:ind w:firstLine="708"/>
        <w:rPr>
          <w:rFonts w:eastAsia="Times New Roman"/>
          <w:lang w:eastAsia="en-US"/>
        </w:rPr>
      </w:pPr>
    </w:p>
    <w:p w:rsidR="00A3618A" w:rsidRDefault="00A3618A" w:rsidP="00A443B0">
      <w:pPr>
        <w:ind w:firstLine="708"/>
        <w:jc w:val="center"/>
        <w:rPr>
          <w:rFonts w:ascii="Arial" w:hAnsi="Arial" w:cs="Arial"/>
          <w:b/>
          <w:bCs/>
          <w:color w:val="000000"/>
          <w:sz w:val="28"/>
          <w:szCs w:val="28"/>
        </w:rPr>
      </w:pPr>
      <w:r w:rsidRPr="00A443B0">
        <w:rPr>
          <w:rFonts w:ascii="Arial" w:hAnsi="Arial" w:cs="Arial"/>
          <w:b/>
          <w:bCs/>
          <w:color w:val="000000"/>
          <w:sz w:val="28"/>
          <w:szCs w:val="28"/>
        </w:rPr>
        <w:t>Список литературы</w:t>
      </w:r>
    </w:p>
    <w:p w:rsidR="00A3618A" w:rsidRDefault="00A3618A" w:rsidP="008B35C1">
      <w:pPr>
        <w:autoSpaceDE w:val="0"/>
        <w:autoSpaceDN w:val="0"/>
        <w:adjustRightInd w:val="0"/>
        <w:rPr>
          <w:rFonts w:ascii="Tahoma-Bold" w:hAnsi="Tahoma-Bold" w:cs="Tahoma-Bold"/>
          <w:b/>
          <w:bCs/>
          <w:sz w:val="32"/>
          <w:szCs w:val="32"/>
          <w:lang w:eastAsia="en-US"/>
        </w:rPr>
      </w:pPr>
    </w:p>
    <w:p w:rsidR="00A3618A" w:rsidRPr="008B35C1" w:rsidRDefault="00A3618A" w:rsidP="008B35C1">
      <w:pPr>
        <w:pStyle w:val="11"/>
        <w:numPr>
          <w:ilvl w:val="0"/>
          <w:numId w:val="3"/>
        </w:numPr>
        <w:rPr>
          <w:rFonts w:eastAsia="Times New Roman"/>
          <w:lang w:eastAsia="en-US"/>
        </w:rPr>
      </w:pPr>
      <w:r w:rsidRPr="008B35C1">
        <w:rPr>
          <w:rFonts w:eastAsia="Times New Roman"/>
          <w:bCs/>
          <w:lang w:eastAsia="en-US"/>
        </w:rPr>
        <w:t xml:space="preserve">Николаева Т.П. </w:t>
      </w:r>
      <w:r>
        <w:rPr>
          <w:rFonts w:eastAsia="Times New Roman"/>
          <w:bCs/>
          <w:lang w:eastAsia="en-US"/>
        </w:rPr>
        <w:t>«</w:t>
      </w:r>
      <w:r w:rsidRPr="008B35C1">
        <w:rPr>
          <w:rFonts w:eastAsia="Times New Roman"/>
          <w:bCs/>
          <w:lang w:eastAsia="en-US"/>
        </w:rPr>
        <w:t>ФИНАНСЫ ПРЕДПРИЯТИЙ</w:t>
      </w:r>
      <w:r w:rsidRPr="008B35C1">
        <w:rPr>
          <w:rFonts w:eastAsia="Times New Roman"/>
          <w:lang w:eastAsia="en-US"/>
        </w:rPr>
        <w:t>: Учебно-методический комплекс</w:t>
      </w:r>
      <w:r>
        <w:rPr>
          <w:rFonts w:eastAsia="Times New Roman"/>
          <w:lang w:eastAsia="en-US"/>
        </w:rPr>
        <w:t>»</w:t>
      </w:r>
      <w:r w:rsidRPr="008B35C1">
        <w:rPr>
          <w:rFonts w:eastAsia="Times New Roman"/>
          <w:lang w:eastAsia="en-US"/>
        </w:rPr>
        <w:t xml:space="preserve"> – М.: Изд. центр ЕАОИ. 2008. – 311 с.</w:t>
      </w:r>
      <w:r>
        <w:rPr>
          <w:rFonts w:eastAsia="Times New Roman"/>
          <w:lang w:eastAsia="en-US"/>
        </w:rPr>
        <w:t>;</w:t>
      </w:r>
    </w:p>
    <w:p w:rsidR="00A3618A" w:rsidRPr="008B35C1" w:rsidRDefault="00A3618A" w:rsidP="008B35C1">
      <w:pPr>
        <w:pStyle w:val="11"/>
        <w:numPr>
          <w:ilvl w:val="0"/>
          <w:numId w:val="3"/>
        </w:numPr>
        <w:rPr>
          <w:caps/>
        </w:rPr>
      </w:pPr>
      <w:r w:rsidRPr="008B35C1">
        <w:t>Волков О.И., Скляренко В.К. «Экономика предприятия», М.: Инфра-М</w:t>
      </w:r>
      <w:r>
        <w:t>, 2004</w:t>
      </w:r>
      <w:r w:rsidRPr="008B35C1">
        <w:t>г.</w:t>
      </w:r>
      <w:r>
        <w:t>;</w:t>
      </w:r>
    </w:p>
    <w:p w:rsidR="00A3618A" w:rsidRPr="008B35C1" w:rsidRDefault="00A3618A" w:rsidP="008B35C1">
      <w:pPr>
        <w:pStyle w:val="11"/>
        <w:numPr>
          <w:ilvl w:val="0"/>
          <w:numId w:val="3"/>
        </w:numPr>
        <w:rPr>
          <w:caps/>
        </w:rPr>
      </w:pPr>
      <w:r w:rsidRPr="008B35C1">
        <w:t>Ред. И.Д.Мацкуляк «Государственные и муниципальные финансы</w:t>
      </w:r>
      <w:r>
        <w:t>», М.: РАГС, 2003</w:t>
      </w:r>
      <w:r w:rsidRPr="008B35C1">
        <w:t>г.</w:t>
      </w:r>
      <w:r>
        <w:t>;</w:t>
      </w:r>
    </w:p>
    <w:p w:rsidR="00A3618A" w:rsidRPr="008B35C1" w:rsidRDefault="00A3618A" w:rsidP="008B35C1">
      <w:pPr>
        <w:pStyle w:val="11"/>
        <w:numPr>
          <w:ilvl w:val="0"/>
          <w:numId w:val="3"/>
        </w:numPr>
        <w:rPr>
          <w:caps/>
        </w:rPr>
      </w:pPr>
      <w:r w:rsidRPr="008B35C1">
        <w:t>Колчина Н.В. «Финансы организации (пре</w:t>
      </w:r>
      <w:r>
        <w:t>дприятий), М.: Юнити-Дана, 2007</w:t>
      </w:r>
      <w:r w:rsidRPr="008B35C1">
        <w:t>г.</w:t>
      </w:r>
    </w:p>
    <w:p w:rsidR="00A3618A" w:rsidRPr="00A443B0" w:rsidRDefault="00A3618A" w:rsidP="00A443B0">
      <w:pPr>
        <w:pStyle w:val="11"/>
        <w:rPr>
          <w:rFonts w:eastAsia="Times New Roman"/>
          <w:lang w:eastAsia="en-US"/>
        </w:rPr>
      </w:pPr>
      <w:bookmarkStart w:id="0" w:name="_GoBack"/>
      <w:bookmarkEnd w:id="0"/>
    </w:p>
    <w:sectPr w:rsidR="00A3618A" w:rsidRPr="00A443B0" w:rsidSect="00ED5F1F">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18A" w:rsidRDefault="00A3618A" w:rsidP="00ED5F1F">
      <w:r>
        <w:separator/>
      </w:r>
    </w:p>
  </w:endnote>
  <w:endnote w:type="continuationSeparator" w:id="0">
    <w:p w:rsidR="00A3618A" w:rsidRDefault="00A3618A" w:rsidP="00ED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BookAntiqua-Italic">
    <w:altName w:val="Times New Roman"/>
    <w:panose1 w:val="00000000000000000000"/>
    <w:charset w:val="00"/>
    <w:family w:val="roman"/>
    <w:notTrueType/>
    <w:pitch w:val="default"/>
    <w:sig w:usb0="00000003" w:usb1="00000000" w:usb2="00000000" w:usb3="00000000" w:csb0="00000001" w:csb1="00000000"/>
  </w:font>
  <w:font w:name="BookAntiqua-Italic Cyr">
    <w:altName w:val="Times New Roman"/>
    <w:panose1 w:val="00000000000000000000"/>
    <w:charset w:val="CC"/>
    <w:family w:val="roman"/>
    <w:notTrueType/>
    <w:pitch w:val="default"/>
    <w:sig w:usb0="00000201" w:usb1="00000000" w:usb2="00000000" w:usb3="00000000" w:csb0="00000004" w:csb1="00000000"/>
  </w:font>
  <w:font w:name="Tahoma-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18A" w:rsidRDefault="00A3618A" w:rsidP="00ED5F1F">
      <w:r>
        <w:separator/>
      </w:r>
    </w:p>
  </w:footnote>
  <w:footnote w:type="continuationSeparator" w:id="0">
    <w:p w:rsidR="00A3618A" w:rsidRDefault="00A3618A" w:rsidP="00ED5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18A" w:rsidRDefault="00A3618A">
    <w:pPr>
      <w:pStyle w:val="a4"/>
      <w:jc w:val="right"/>
    </w:pPr>
    <w:r>
      <w:fldChar w:fldCharType="begin"/>
    </w:r>
    <w:r>
      <w:instrText xml:space="preserve"> PAGE   \* MERGEFORMAT </w:instrText>
    </w:r>
    <w:r>
      <w:fldChar w:fldCharType="separate"/>
    </w:r>
    <w:r w:rsidR="00B42B17">
      <w:rPr>
        <w:noProof/>
      </w:rPr>
      <w:t>2</w:t>
    </w:r>
    <w:r>
      <w:fldChar w:fldCharType="end"/>
    </w:r>
  </w:p>
  <w:p w:rsidR="00A3618A" w:rsidRDefault="00A361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26740"/>
    <w:multiLevelType w:val="hybridMultilevel"/>
    <w:tmpl w:val="86E43FB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52316ED5"/>
    <w:multiLevelType w:val="hybridMultilevel"/>
    <w:tmpl w:val="5614A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2C0468"/>
    <w:multiLevelType w:val="hybridMultilevel"/>
    <w:tmpl w:val="77DA5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F1F"/>
    <w:rsid w:val="000112E1"/>
    <w:rsid w:val="00012031"/>
    <w:rsid w:val="00013D4F"/>
    <w:rsid w:val="00045A37"/>
    <w:rsid w:val="000D29E7"/>
    <w:rsid w:val="001116A5"/>
    <w:rsid w:val="001817C4"/>
    <w:rsid w:val="001D41B8"/>
    <w:rsid w:val="00202D40"/>
    <w:rsid w:val="002E7C23"/>
    <w:rsid w:val="002F12E0"/>
    <w:rsid w:val="002F5A5B"/>
    <w:rsid w:val="00301EF7"/>
    <w:rsid w:val="00324D6B"/>
    <w:rsid w:val="0032618B"/>
    <w:rsid w:val="00361131"/>
    <w:rsid w:val="003B343E"/>
    <w:rsid w:val="0043479C"/>
    <w:rsid w:val="00477030"/>
    <w:rsid w:val="00566932"/>
    <w:rsid w:val="005C3FF6"/>
    <w:rsid w:val="005F38DC"/>
    <w:rsid w:val="005F7FE8"/>
    <w:rsid w:val="006138C4"/>
    <w:rsid w:val="00657918"/>
    <w:rsid w:val="00660E90"/>
    <w:rsid w:val="006E59B5"/>
    <w:rsid w:val="006E5CCA"/>
    <w:rsid w:val="006F68AD"/>
    <w:rsid w:val="00700148"/>
    <w:rsid w:val="007007C5"/>
    <w:rsid w:val="00707F47"/>
    <w:rsid w:val="007866E9"/>
    <w:rsid w:val="007C65A9"/>
    <w:rsid w:val="0082086A"/>
    <w:rsid w:val="00837415"/>
    <w:rsid w:val="00837B7F"/>
    <w:rsid w:val="00856A4D"/>
    <w:rsid w:val="008B02AB"/>
    <w:rsid w:val="008B35C1"/>
    <w:rsid w:val="008D1D66"/>
    <w:rsid w:val="009A37B6"/>
    <w:rsid w:val="009C1119"/>
    <w:rsid w:val="009F2EF5"/>
    <w:rsid w:val="00A3618A"/>
    <w:rsid w:val="00A443B0"/>
    <w:rsid w:val="00A65CDF"/>
    <w:rsid w:val="00A71490"/>
    <w:rsid w:val="00AD183B"/>
    <w:rsid w:val="00AE4202"/>
    <w:rsid w:val="00B1195B"/>
    <w:rsid w:val="00B3364E"/>
    <w:rsid w:val="00B42B17"/>
    <w:rsid w:val="00B706AF"/>
    <w:rsid w:val="00B96D8B"/>
    <w:rsid w:val="00C02219"/>
    <w:rsid w:val="00C940F6"/>
    <w:rsid w:val="00CA0B62"/>
    <w:rsid w:val="00CD59A3"/>
    <w:rsid w:val="00CD7DB9"/>
    <w:rsid w:val="00CE0CA1"/>
    <w:rsid w:val="00CE2D05"/>
    <w:rsid w:val="00CF69B5"/>
    <w:rsid w:val="00D00B2C"/>
    <w:rsid w:val="00D2502D"/>
    <w:rsid w:val="00DE0A94"/>
    <w:rsid w:val="00DE616A"/>
    <w:rsid w:val="00E15EB9"/>
    <w:rsid w:val="00ED5F1F"/>
    <w:rsid w:val="00F1670E"/>
    <w:rsid w:val="00F45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C0F55EC-8A0C-40E8-A312-23958B9B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F1F"/>
    <w:rPr>
      <w:rFonts w:ascii="Times New Roman" w:hAnsi="Times New Roman"/>
      <w:sz w:val="24"/>
      <w:szCs w:val="24"/>
    </w:rPr>
  </w:style>
  <w:style w:type="paragraph" w:styleId="1">
    <w:name w:val="heading 1"/>
    <w:basedOn w:val="a"/>
    <w:next w:val="a"/>
    <w:link w:val="10"/>
    <w:qFormat/>
    <w:rsid w:val="00ED5F1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2"/>
    <w:rsid w:val="00B706AF"/>
    <w:pPr>
      <w:spacing w:line="360" w:lineRule="auto"/>
      <w:ind w:firstLine="709"/>
      <w:jc w:val="both"/>
    </w:pPr>
    <w:rPr>
      <w:rFonts w:ascii="Arial" w:eastAsia="Calibri" w:hAnsi="Arial" w:cs="Arial"/>
      <w:sz w:val="24"/>
      <w:szCs w:val="24"/>
      <w:lang w:eastAsia="ru-RU"/>
    </w:rPr>
  </w:style>
  <w:style w:type="paragraph" w:customStyle="1" w:styleId="12">
    <w:name w:val="Без интервала1"/>
    <w:rsid w:val="00B706AF"/>
    <w:rPr>
      <w:rFonts w:eastAsia="Times New Roman"/>
      <w:sz w:val="22"/>
      <w:szCs w:val="22"/>
      <w:lang w:eastAsia="en-US"/>
    </w:rPr>
  </w:style>
  <w:style w:type="paragraph" w:customStyle="1" w:styleId="ConsNormal">
    <w:name w:val="ConsNormal"/>
    <w:rsid w:val="00ED5F1F"/>
    <w:pPr>
      <w:widowControl w:val="0"/>
      <w:autoSpaceDE w:val="0"/>
      <w:autoSpaceDN w:val="0"/>
      <w:adjustRightInd w:val="0"/>
      <w:ind w:right="19772" w:firstLine="720"/>
    </w:pPr>
    <w:rPr>
      <w:rFonts w:ascii="Arial" w:hAnsi="Arial" w:cs="Arial"/>
    </w:rPr>
  </w:style>
  <w:style w:type="table" w:styleId="a3">
    <w:name w:val="Table Grid"/>
    <w:basedOn w:val="a1"/>
    <w:rsid w:val="00ED5F1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ED5F1F"/>
    <w:rPr>
      <w:rFonts w:ascii="Arial" w:hAnsi="Arial" w:cs="Arial"/>
      <w:b/>
      <w:bCs/>
      <w:kern w:val="32"/>
      <w:sz w:val="32"/>
      <w:szCs w:val="32"/>
      <w:lang w:val="x-none" w:eastAsia="ru-RU"/>
    </w:rPr>
  </w:style>
  <w:style w:type="paragraph" w:styleId="a4">
    <w:name w:val="header"/>
    <w:basedOn w:val="a"/>
    <w:link w:val="a5"/>
    <w:rsid w:val="00ED5F1F"/>
    <w:pPr>
      <w:tabs>
        <w:tab w:val="center" w:pos="4677"/>
        <w:tab w:val="right" w:pos="9355"/>
      </w:tabs>
    </w:pPr>
  </w:style>
  <w:style w:type="character" w:customStyle="1" w:styleId="a5">
    <w:name w:val="Верхний колонтитул Знак"/>
    <w:basedOn w:val="a0"/>
    <w:link w:val="a4"/>
    <w:locked/>
    <w:rsid w:val="00ED5F1F"/>
    <w:rPr>
      <w:rFonts w:ascii="Times New Roman" w:hAnsi="Times New Roman" w:cs="Times New Roman"/>
      <w:sz w:val="24"/>
      <w:szCs w:val="24"/>
      <w:lang w:val="x-none" w:eastAsia="ru-RU"/>
    </w:rPr>
  </w:style>
  <w:style w:type="paragraph" w:styleId="a6">
    <w:name w:val="footer"/>
    <w:basedOn w:val="a"/>
    <w:link w:val="a7"/>
    <w:semiHidden/>
    <w:rsid w:val="00ED5F1F"/>
    <w:pPr>
      <w:tabs>
        <w:tab w:val="center" w:pos="4677"/>
        <w:tab w:val="right" w:pos="9355"/>
      </w:tabs>
    </w:pPr>
  </w:style>
  <w:style w:type="character" w:customStyle="1" w:styleId="a7">
    <w:name w:val="Нижний колонтитул Знак"/>
    <w:basedOn w:val="a0"/>
    <w:link w:val="a6"/>
    <w:semiHidden/>
    <w:locked/>
    <w:rsid w:val="00ED5F1F"/>
    <w:rPr>
      <w:rFonts w:ascii="Times New Roman" w:hAnsi="Times New Roman" w:cs="Times New Roman"/>
      <w:sz w:val="24"/>
      <w:szCs w:val="24"/>
      <w:lang w:val="x-none" w:eastAsia="ru-RU"/>
    </w:rPr>
  </w:style>
  <w:style w:type="paragraph" w:styleId="a8">
    <w:name w:val="Balloon Text"/>
    <w:basedOn w:val="a"/>
    <w:link w:val="a9"/>
    <w:semiHidden/>
    <w:rsid w:val="00324D6B"/>
    <w:rPr>
      <w:rFonts w:ascii="Tahoma" w:hAnsi="Tahoma" w:cs="Tahoma"/>
      <w:sz w:val="16"/>
      <w:szCs w:val="16"/>
    </w:rPr>
  </w:style>
  <w:style w:type="character" w:customStyle="1" w:styleId="a9">
    <w:name w:val="Текст выноски Знак"/>
    <w:basedOn w:val="a0"/>
    <w:link w:val="a8"/>
    <w:semiHidden/>
    <w:locked/>
    <w:rsid w:val="00324D6B"/>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«Московский государственный университет экономики, статистики и информатики (МЭСИ)»</vt:lpstr>
    </vt:vector>
  </TitlesOfParts>
  <Company/>
  <LinksUpToDate>false</LinksUpToDate>
  <CharactersWithSpaces>24771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«Московский государственный университет экономики, статистики и информатики (МЭСИ)»</dc:title>
  <dc:subject/>
  <dc:creator>admin</dc:creator>
  <cp:keywords/>
  <dc:description/>
  <cp:lastModifiedBy>admin</cp:lastModifiedBy>
  <cp:revision>2</cp:revision>
  <cp:lastPrinted>2010-01-24T13:50:00Z</cp:lastPrinted>
  <dcterms:created xsi:type="dcterms:W3CDTF">2014-04-14T21:08:00Z</dcterms:created>
  <dcterms:modified xsi:type="dcterms:W3CDTF">2014-04-14T21:08:00Z</dcterms:modified>
</cp:coreProperties>
</file>