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27" w:rsidRDefault="00550127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0E6F8D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A411A7" w:rsidRDefault="00E400D6" w:rsidP="000E6F8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411A7">
        <w:rPr>
          <w:sz w:val="28"/>
          <w:szCs w:val="28"/>
          <w:lang w:val="uk-UA"/>
        </w:rPr>
        <w:t>КОНТРОЛЬНА РОБОТА</w:t>
      </w:r>
    </w:p>
    <w:p w:rsidR="00E400D6" w:rsidRPr="00A411A7" w:rsidRDefault="00E400D6" w:rsidP="000E6F8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A411A7">
        <w:rPr>
          <w:sz w:val="28"/>
          <w:szCs w:val="28"/>
          <w:lang w:val="uk-UA"/>
        </w:rPr>
        <w:t>за темою «Рейтингова оцінка підприємства»</w:t>
      </w: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D6" w:rsidRDefault="00E400D6" w:rsidP="00A411A7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A05F31">
        <w:rPr>
          <w:caps/>
          <w:sz w:val="28"/>
          <w:szCs w:val="28"/>
          <w:lang w:val="uk-UA"/>
        </w:rPr>
        <w:t>«Рейтингова оцінка підприємства»</w:t>
      </w:r>
    </w:p>
    <w:p w:rsidR="00E400D6" w:rsidRPr="000E6F8D" w:rsidRDefault="00E400D6" w:rsidP="00A411A7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:rsidR="00E400D6" w:rsidRPr="000E6F8D" w:rsidRDefault="00E400D6" w:rsidP="000E6F8D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0E6F8D">
        <w:rPr>
          <w:sz w:val="28"/>
          <w:szCs w:val="28"/>
          <w:lang w:val="uk-UA" w:eastAsia="uk-UA"/>
        </w:rPr>
        <w:t>Виконати рейтингову оцінку підприємств на підставі рівня показників їхнього фінансового стану. Значення показників фінансового стану підприємств, що беруть участь у оцінці, наведені в таблиці.</w:t>
      </w:r>
      <w:bookmarkStart w:id="0" w:name="bookmark10"/>
    </w:p>
    <w:p w:rsidR="00E400D6" w:rsidRPr="000E6F8D" w:rsidRDefault="00E400D6" w:rsidP="000E6F8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E6F8D">
        <w:rPr>
          <w:sz w:val="28"/>
          <w:szCs w:val="28"/>
          <w:lang w:val="uk-UA" w:eastAsia="uk-UA"/>
        </w:rPr>
        <w:t>Вихідні дані для рейтингової оцінки</w:t>
      </w:r>
      <w:bookmarkEnd w:id="0"/>
    </w:p>
    <w:p w:rsidR="00E400D6" w:rsidRPr="000E6F8D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850"/>
        <w:gridCol w:w="709"/>
        <w:gridCol w:w="709"/>
        <w:gridCol w:w="851"/>
      </w:tblGrid>
      <w:tr w:rsidR="00E400D6" w:rsidRPr="000E6F8D" w:rsidTr="00E326C3">
        <w:trPr>
          <w:trHeight w:val="379"/>
        </w:trPr>
        <w:tc>
          <w:tcPr>
            <w:tcW w:w="3794" w:type="dxa"/>
            <w:vMerge w:val="restart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Показник</w:t>
            </w:r>
          </w:p>
        </w:tc>
        <w:tc>
          <w:tcPr>
            <w:tcW w:w="3119" w:type="dxa"/>
            <w:gridSpan w:val="4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Номер підприємства</w:t>
            </w:r>
          </w:p>
        </w:tc>
      </w:tr>
      <w:tr w:rsidR="00E400D6" w:rsidRPr="000E6F8D" w:rsidTr="00E326C3">
        <w:trPr>
          <w:trHeight w:val="347"/>
        </w:trPr>
        <w:tc>
          <w:tcPr>
            <w:tcW w:w="3794" w:type="dxa"/>
            <w:vMerge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400D6" w:rsidRPr="000E6F8D" w:rsidRDefault="00E400D6" w:rsidP="00E326C3">
            <w:pPr>
              <w:spacing w:line="360" w:lineRule="auto"/>
              <w:ind w:right="34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4</w:t>
            </w:r>
          </w:p>
        </w:tc>
      </w:tr>
      <w:tr w:rsidR="00E400D6" w:rsidRPr="000E6F8D" w:rsidTr="00E326C3">
        <w:trPr>
          <w:trHeight w:val="178"/>
        </w:trPr>
        <w:tc>
          <w:tcPr>
            <w:tcW w:w="3794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абсолютної ліквідності</w:t>
            </w:r>
          </w:p>
        </w:tc>
        <w:tc>
          <w:tcPr>
            <w:tcW w:w="850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0,14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0,25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0,16</w:t>
            </w:r>
          </w:p>
        </w:tc>
        <w:tc>
          <w:tcPr>
            <w:tcW w:w="851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0,21</w:t>
            </w:r>
          </w:p>
        </w:tc>
      </w:tr>
      <w:tr w:rsidR="00E400D6" w:rsidRPr="000E6F8D" w:rsidTr="00E326C3">
        <w:trPr>
          <w:trHeight w:val="187"/>
        </w:trPr>
        <w:tc>
          <w:tcPr>
            <w:tcW w:w="3794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термінової ліквідності</w:t>
            </w:r>
          </w:p>
        </w:tc>
        <w:tc>
          <w:tcPr>
            <w:tcW w:w="850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0,97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0,78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0,68</w:t>
            </w:r>
          </w:p>
        </w:tc>
        <w:tc>
          <w:tcPr>
            <w:tcW w:w="851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0,75</w:t>
            </w:r>
          </w:p>
        </w:tc>
      </w:tr>
      <w:tr w:rsidR="00E400D6" w:rsidRPr="000E6F8D" w:rsidTr="00E326C3">
        <w:trPr>
          <w:trHeight w:val="184"/>
        </w:trPr>
        <w:tc>
          <w:tcPr>
            <w:tcW w:w="3794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поточної ліквідності</w:t>
            </w:r>
          </w:p>
        </w:tc>
        <w:tc>
          <w:tcPr>
            <w:tcW w:w="850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1,7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1,6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1,8</w:t>
            </w:r>
          </w:p>
        </w:tc>
        <w:tc>
          <w:tcPr>
            <w:tcW w:w="851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1,9</w:t>
            </w:r>
          </w:p>
        </w:tc>
      </w:tr>
      <w:tr w:rsidR="00E400D6" w:rsidRPr="000E6F8D" w:rsidTr="00E326C3">
        <w:trPr>
          <w:trHeight w:val="180"/>
        </w:trPr>
        <w:tc>
          <w:tcPr>
            <w:tcW w:w="3794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автономії</w:t>
            </w:r>
          </w:p>
        </w:tc>
        <w:tc>
          <w:tcPr>
            <w:tcW w:w="850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0,65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0,92</w:t>
            </w:r>
          </w:p>
        </w:tc>
        <w:tc>
          <w:tcPr>
            <w:tcW w:w="851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0,82</w:t>
            </w:r>
          </w:p>
        </w:tc>
      </w:tr>
      <w:tr w:rsidR="00E400D6" w:rsidRPr="000E6F8D" w:rsidTr="00E326C3">
        <w:trPr>
          <w:trHeight w:val="203"/>
        </w:trPr>
        <w:tc>
          <w:tcPr>
            <w:tcW w:w="3794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маневреності власних коштів</w:t>
            </w:r>
          </w:p>
        </w:tc>
        <w:tc>
          <w:tcPr>
            <w:tcW w:w="850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0,21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0,16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0,24</w:t>
            </w:r>
          </w:p>
        </w:tc>
        <w:tc>
          <w:tcPr>
            <w:tcW w:w="851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0,25</w:t>
            </w:r>
          </w:p>
        </w:tc>
      </w:tr>
    </w:tbl>
    <w:p w:rsidR="00E400D6" w:rsidRPr="00A411A7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uk-UA" w:eastAsia="uk-UA"/>
        </w:rPr>
      </w:pPr>
    </w:p>
    <w:p w:rsidR="00E400D6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uk-UA" w:eastAsia="uk-UA"/>
        </w:rPr>
      </w:pPr>
      <w:r w:rsidRPr="00A411A7">
        <w:rPr>
          <w:rStyle w:val="a6"/>
          <w:i w:val="0"/>
          <w:sz w:val="28"/>
          <w:szCs w:val="28"/>
          <w:lang w:val="uk-UA" w:eastAsia="uk-UA"/>
        </w:rPr>
        <w:t>Розрахуємо</w:t>
      </w:r>
      <w:r w:rsidR="00E326C3">
        <w:rPr>
          <w:rStyle w:val="a6"/>
          <w:i w:val="0"/>
          <w:sz w:val="28"/>
          <w:szCs w:val="28"/>
          <w:lang w:val="uk-UA" w:eastAsia="uk-UA"/>
        </w:rPr>
        <w:t xml:space="preserve"> </w:t>
      </w:r>
      <w:r w:rsidRPr="00A411A7">
        <w:rPr>
          <w:rFonts w:eastAsia="Arial Unicode MS"/>
          <w:sz w:val="28"/>
          <w:szCs w:val="28"/>
          <w:lang w:val="uk-UA" w:eastAsia="uk-UA"/>
        </w:rPr>
        <w:t xml:space="preserve">показник </w:t>
      </w:r>
      <w:r w:rsidRPr="00A411A7">
        <w:rPr>
          <w:rFonts w:eastAsia="Arial Unicode MS"/>
          <w:sz w:val="28"/>
          <w:szCs w:val="28"/>
          <w:lang w:val="en-US" w:eastAsia="uk-UA"/>
        </w:rPr>
        <w:t>R</w:t>
      </w:r>
      <w:r w:rsidRPr="00A411A7">
        <w:rPr>
          <w:rFonts w:eastAsia="Arial Unicode MS"/>
          <w:sz w:val="28"/>
          <w:szCs w:val="28"/>
          <w:lang w:val="uk-UA" w:eastAsia="uk-UA"/>
        </w:rPr>
        <w:t>, що характеризує ступінь відповідності фактичних значень фінансових показників кожного підприємства, що беруть участь в оцінці, показникам еталонного підприємства. Формула має вигляд:</w:t>
      </w:r>
    </w:p>
    <w:p w:rsidR="00E400D6" w:rsidRPr="00A411A7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eastAsia="Arial Unicode MS"/>
          <w:sz w:val="28"/>
          <w:szCs w:val="28"/>
          <w:lang w:val="uk-UA"/>
        </w:rPr>
      </w:pPr>
    </w:p>
    <w:p w:rsidR="00E400D6" w:rsidRPr="00A411A7" w:rsidRDefault="00183728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en-US" w:eastAsia="uk-UA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7.75pt">
            <v:imagedata r:id="rId7" o:title="" chromakey="white"/>
          </v:shape>
        </w:pict>
      </w:r>
    </w:p>
    <w:p w:rsidR="00E400D6" w:rsidRPr="00A411A7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en-US" w:eastAsia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A411A7">
        <w:rPr>
          <w:rFonts w:eastAsia="Arial Unicode MS"/>
          <w:sz w:val="28"/>
          <w:szCs w:val="28"/>
          <w:lang w:val="uk-UA" w:eastAsia="uk-UA"/>
        </w:rPr>
        <w:t>деКіф — фактичний рівень і-го показника;</w:t>
      </w:r>
      <w:r w:rsidR="00E326C3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A411A7">
        <w:rPr>
          <w:rFonts w:eastAsia="Arial Unicode MS"/>
          <w:sz w:val="28"/>
          <w:szCs w:val="28"/>
          <w:lang w:val="uk-UA" w:eastAsia="uk-UA"/>
        </w:rPr>
        <w:t>Кімах — еталонне значення і-го показника;</w:t>
      </w:r>
      <w:r w:rsidR="00E326C3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A411A7">
        <w:rPr>
          <w:rFonts w:eastAsia="Arial Unicode MS"/>
          <w:sz w:val="28"/>
          <w:szCs w:val="28"/>
          <w:lang w:val="uk-UA" w:eastAsia="uk-UA"/>
        </w:rPr>
        <w:t>і — кількість оціночних показників;</w:t>
      </w:r>
      <w:r w:rsidR="00E326C3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A411A7">
        <w:rPr>
          <w:rFonts w:eastAsia="Arial Unicode MS"/>
          <w:sz w:val="28"/>
          <w:szCs w:val="28"/>
          <w:lang w:val="en-US" w:eastAsia="uk-UA"/>
        </w:rPr>
        <w:t>j</w:t>
      </w:r>
      <w:r w:rsidRPr="00A411A7">
        <w:rPr>
          <w:rFonts w:eastAsia="Arial Unicode MS"/>
          <w:sz w:val="28"/>
          <w:szCs w:val="28"/>
          <w:lang w:val="uk-UA" w:eastAsia="uk-UA"/>
        </w:rPr>
        <w:t xml:space="preserve"> — кількість підприємств, що беруть участь у оцінці.</w:t>
      </w:r>
    </w:p>
    <w:p w:rsidR="00E400D6" w:rsidRPr="00A411A7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A411A7">
        <w:rPr>
          <w:rFonts w:eastAsia="Arial Unicode MS"/>
          <w:sz w:val="28"/>
          <w:szCs w:val="28"/>
          <w:lang w:val="uk-UA" w:eastAsia="uk-UA"/>
        </w:rPr>
        <w:t xml:space="preserve">Підприємство із мінімальним значенням показника </w:t>
      </w:r>
      <w:r w:rsidRPr="00A411A7">
        <w:rPr>
          <w:rFonts w:eastAsia="Arial Unicode MS"/>
          <w:sz w:val="28"/>
          <w:szCs w:val="28"/>
          <w:lang w:val="en-US" w:eastAsia="uk-UA"/>
        </w:rPr>
        <w:t>R</w:t>
      </w:r>
      <w:r w:rsidRPr="00A411A7">
        <w:rPr>
          <w:rFonts w:eastAsia="Arial Unicode MS"/>
          <w:sz w:val="28"/>
          <w:szCs w:val="28"/>
          <w:lang w:val="uk-UA" w:eastAsia="uk-UA"/>
        </w:rPr>
        <w:t xml:space="preserve"> буде мати найбільш стійкийфінансовий стан, тому що фактичні значення його показників найбільш наближені до еталонного. </w:t>
      </w:r>
    </w:p>
    <w:p w:rsidR="00E400D6" w:rsidRPr="00A411A7" w:rsidRDefault="00E400D6" w:rsidP="00A411A7">
      <w:pPr>
        <w:pStyle w:val="121"/>
        <w:shd w:val="clear" w:color="auto" w:fill="auto"/>
        <w:spacing w:line="360" w:lineRule="auto"/>
        <w:ind w:firstLine="709"/>
        <w:jc w:val="both"/>
        <w:rPr>
          <w:rStyle w:val="120"/>
          <w:sz w:val="28"/>
          <w:szCs w:val="28"/>
          <w:lang w:val="uk-UA" w:eastAsia="uk-UA"/>
        </w:rPr>
      </w:pPr>
    </w:p>
    <w:p w:rsidR="00E400D6" w:rsidRPr="00A411A7" w:rsidRDefault="00E400D6" w:rsidP="00A411A7">
      <w:pPr>
        <w:pStyle w:val="121"/>
        <w:shd w:val="clear" w:color="auto" w:fill="auto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lang w:val="uk-UA"/>
        </w:rPr>
      </w:pPr>
      <w:r w:rsidRPr="00A411A7">
        <w:rPr>
          <w:rStyle w:val="120"/>
          <w:sz w:val="28"/>
          <w:szCs w:val="28"/>
          <w:lang w:val="uk-UA" w:eastAsia="uk-UA"/>
        </w:rPr>
        <w:t>Рейтингова оцінка методом еталонного підприємства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709"/>
        <w:gridCol w:w="708"/>
        <w:gridCol w:w="708"/>
        <w:gridCol w:w="708"/>
        <w:gridCol w:w="992"/>
      </w:tblGrid>
      <w:tr w:rsidR="00E400D6" w:rsidRPr="00A411A7" w:rsidTr="00E326C3">
        <w:trPr>
          <w:trHeight w:val="292"/>
        </w:trPr>
        <w:tc>
          <w:tcPr>
            <w:tcW w:w="3794" w:type="dxa"/>
            <w:vMerge w:val="restart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Показник</w:t>
            </w:r>
          </w:p>
        </w:tc>
        <w:tc>
          <w:tcPr>
            <w:tcW w:w="2833" w:type="dxa"/>
            <w:gridSpan w:val="4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Номер підприємства</w:t>
            </w:r>
          </w:p>
        </w:tc>
        <w:tc>
          <w:tcPr>
            <w:tcW w:w="992" w:type="dxa"/>
            <w:vMerge w:val="restart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 w:eastAsia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Еталон</w:t>
            </w:r>
          </w:p>
        </w:tc>
      </w:tr>
      <w:tr w:rsidR="00E400D6" w:rsidRPr="00A411A7" w:rsidTr="00E326C3">
        <w:trPr>
          <w:trHeight w:val="302"/>
        </w:trPr>
        <w:tc>
          <w:tcPr>
            <w:tcW w:w="3794" w:type="dxa"/>
            <w:vMerge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vMerge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</w:p>
        </w:tc>
      </w:tr>
      <w:tr w:rsidR="00E400D6" w:rsidRPr="00A411A7" w:rsidTr="00E326C3">
        <w:trPr>
          <w:trHeight w:val="325"/>
        </w:trPr>
        <w:tc>
          <w:tcPr>
            <w:tcW w:w="3794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абсолютної ліквідності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0,14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0,25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0,16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0,21</w:t>
            </w:r>
          </w:p>
        </w:tc>
        <w:tc>
          <w:tcPr>
            <w:tcW w:w="992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0,25</w:t>
            </w:r>
          </w:p>
        </w:tc>
      </w:tr>
      <w:tr w:rsidR="00E400D6" w:rsidRPr="00A411A7" w:rsidTr="00E326C3">
        <w:trPr>
          <w:trHeight w:val="335"/>
        </w:trPr>
        <w:tc>
          <w:tcPr>
            <w:tcW w:w="3794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термінової ліквідності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0,97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0,78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0,68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0,75</w:t>
            </w:r>
          </w:p>
        </w:tc>
        <w:tc>
          <w:tcPr>
            <w:tcW w:w="992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0,97</w:t>
            </w:r>
          </w:p>
        </w:tc>
      </w:tr>
      <w:tr w:rsidR="00E400D6" w:rsidRPr="00A411A7" w:rsidTr="00E326C3">
        <w:trPr>
          <w:trHeight w:val="346"/>
        </w:trPr>
        <w:tc>
          <w:tcPr>
            <w:tcW w:w="3794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поточної ліквідності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1,7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1,6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1,8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1,9</w:t>
            </w:r>
          </w:p>
        </w:tc>
        <w:tc>
          <w:tcPr>
            <w:tcW w:w="992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1,9</w:t>
            </w:r>
          </w:p>
        </w:tc>
      </w:tr>
      <w:tr w:rsidR="00E400D6" w:rsidRPr="00A411A7" w:rsidTr="00E326C3">
        <w:trPr>
          <w:trHeight w:val="369"/>
        </w:trPr>
        <w:tc>
          <w:tcPr>
            <w:tcW w:w="3794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автономії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0,65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0,92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0,82</w:t>
            </w:r>
          </w:p>
        </w:tc>
        <w:tc>
          <w:tcPr>
            <w:tcW w:w="992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0,92</w:t>
            </w:r>
          </w:p>
        </w:tc>
      </w:tr>
      <w:tr w:rsidR="00E400D6" w:rsidRPr="00A411A7" w:rsidTr="00E326C3">
        <w:trPr>
          <w:trHeight w:val="172"/>
        </w:trPr>
        <w:tc>
          <w:tcPr>
            <w:tcW w:w="3794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маневреності власних коштів</w:t>
            </w:r>
          </w:p>
        </w:tc>
        <w:tc>
          <w:tcPr>
            <w:tcW w:w="709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0,21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0,16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0,24</w:t>
            </w:r>
          </w:p>
        </w:tc>
        <w:tc>
          <w:tcPr>
            <w:tcW w:w="70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0,25</w:t>
            </w:r>
          </w:p>
        </w:tc>
        <w:tc>
          <w:tcPr>
            <w:tcW w:w="992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0,25</w:t>
            </w:r>
          </w:p>
        </w:tc>
      </w:tr>
    </w:tbl>
    <w:p w:rsidR="00E400D6" w:rsidRPr="00A411A7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uk-UA" w:eastAsia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A411A7">
        <w:rPr>
          <w:rFonts w:eastAsia="Arial Unicode MS"/>
          <w:sz w:val="28"/>
          <w:szCs w:val="28"/>
          <w:lang w:val="uk-UA" w:eastAsia="uk-UA"/>
        </w:rPr>
        <w:t>Визначаємо показник відповідності фактичних фінансових коефіцієнтів еталонному рівню для кожного підприємства:</w:t>
      </w:r>
    </w:p>
    <w:p w:rsidR="00E400D6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uk-UA" w:eastAsia="uk-UA"/>
        </w:rPr>
      </w:pPr>
      <w:r w:rsidRPr="00A411A7">
        <w:rPr>
          <w:rStyle w:val="a6"/>
          <w:i w:val="0"/>
          <w:sz w:val="28"/>
          <w:szCs w:val="28"/>
          <w:lang w:val="uk-UA" w:eastAsia="uk-UA"/>
        </w:rPr>
        <w:t>Підприємство № 1</w:t>
      </w:r>
    </w:p>
    <w:p w:rsidR="00E400D6" w:rsidRPr="00A411A7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uk-UA" w:eastAsia="uk-UA"/>
        </w:rPr>
      </w:pPr>
    </w:p>
    <w:p w:rsidR="00E400D6" w:rsidRPr="000E6F8D" w:rsidRDefault="00183728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uk-UA" w:eastAsia="uk-UA"/>
        </w:rPr>
      </w:pPr>
      <w:r>
        <w:rPr>
          <w:rStyle w:val="a6"/>
          <w:sz w:val="28"/>
          <w:szCs w:val="28"/>
          <w:lang w:val="uk-UA" w:eastAsia="uk-UA"/>
        </w:rPr>
        <w:pict>
          <v:shape id="_x0000_i1026" type="#_x0000_t75" style="width:399pt;height:30pt">
            <v:imagedata r:id="rId8" o:title=""/>
          </v:shape>
        </w:pict>
      </w:r>
    </w:p>
    <w:p w:rsidR="00E400D6" w:rsidRPr="00A411A7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uk-UA" w:eastAsia="uk-UA"/>
        </w:rPr>
      </w:pPr>
    </w:p>
    <w:p w:rsidR="00E400D6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uk-UA" w:eastAsia="uk-UA"/>
        </w:rPr>
      </w:pPr>
      <w:r w:rsidRPr="00A411A7">
        <w:rPr>
          <w:rStyle w:val="a6"/>
          <w:i w:val="0"/>
          <w:sz w:val="28"/>
          <w:szCs w:val="28"/>
          <w:lang w:val="uk-UA" w:eastAsia="uk-UA"/>
        </w:rPr>
        <w:t>Підприємство № 2</w:t>
      </w:r>
    </w:p>
    <w:p w:rsidR="00E400D6" w:rsidRPr="00A411A7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uk-UA" w:eastAsia="uk-UA"/>
        </w:rPr>
      </w:pPr>
    </w:p>
    <w:p w:rsidR="00E400D6" w:rsidRPr="000E6F8D" w:rsidRDefault="00183728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en-US" w:eastAsia="uk-UA"/>
        </w:rPr>
      </w:pPr>
      <w:r>
        <w:rPr>
          <w:rStyle w:val="a6"/>
          <w:sz w:val="28"/>
          <w:szCs w:val="28"/>
          <w:lang w:val="en-US" w:eastAsia="uk-UA"/>
        </w:rPr>
        <w:pict>
          <v:shape id="_x0000_i1027" type="#_x0000_t75" style="width:412.5pt;height:29.25pt">
            <v:imagedata r:id="rId9" o:title=""/>
          </v:shape>
        </w:pict>
      </w:r>
    </w:p>
    <w:p w:rsidR="00E400D6" w:rsidRPr="00A411A7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uk-UA" w:eastAsia="uk-UA"/>
        </w:rPr>
      </w:pPr>
    </w:p>
    <w:p w:rsidR="00E400D6" w:rsidRPr="00A411A7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uk-UA" w:eastAsia="uk-UA"/>
        </w:rPr>
      </w:pPr>
      <w:r w:rsidRPr="00A411A7">
        <w:rPr>
          <w:rStyle w:val="a6"/>
          <w:i w:val="0"/>
          <w:sz w:val="28"/>
          <w:szCs w:val="28"/>
          <w:lang w:val="uk-UA" w:eastAsia="uk-UA"/>
        </w:rPr>
        <w:t>Підприємство № 3</w:t>
      </w:r>
    </w:p>
    <w:p w:rsidR="00E400D6" w:rsidRPr="00A411A7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uk-UA" w:eastAsia="uk-UA"/>
        </w:rPr>
      </w:pPr>
    </w:p>
    <w:p w:rsidR="00E400D6" w:rsidRPr="000E6F8D" w:rsidRDefault="00183728" w:rsidP="00A411A7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pict>
          <v:shape id="_x0000_i1028" type="#_x0000_t75" style="width:417.75pt;height:32.25pt">
            <v:imagedata r:id="rId10" o:title=""/>
          </v:shape>
        </w:pict>
      </w:r>
    </w:p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:rsidR="00E400D6" w:rsidRPr="00A411A7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uk-UA" w:eastAsia="uk-UA"/>
        </w:rPr>
      </w:pPr>
      <w:r w:rsidRPr="00A411A7">
        <w:rPr>
          <w:rStyle w:val="a6"/>
          <w:i w:val="0"/>
          <w:sz w:val="28"/>
          <w:szCs w:val="28"/>
          <w:lang w:val="uk-UA" w:eastAsia="uk-UA"/>
        </w:rPr>
        <w:t>Підприємство № 4</w:t>
      </w:r>
    </w:p>
    <w:p w:rsidR="00E400D6" w:rsidRPr="00A411A7" w:rsidRDefault="00E400D6" w:rsidP="00A411A7">
      <w:pPr>
        <w:pStyle w:val="a3"/>
        <w:shd w:val="clear" w:color="auto" w:fill="auto"/>
        <w:tabs>
          <w:tab w:val="left" w:pos="851"/>
          <w:tab w:val="left" w:pos="993"/>
        </w:tabs>
        <w:spacing w:line="360" w:lineRule="auto"/>
        <w:ind w:firstLine="709"/>
        <w:jc w:val="both"/>
        <w:rPr>
          <w:rStyle w:val="a6"/>
          <w:i w:val="0"/>
          <w:sz w:val="28"/>
          <w:szCs w:val="28"/>
          <w:lang w:val="en-US" w:eastAsia="uk-UA"/>
        </w:rPr>
      </w:pPr>
    </w:p>
    <w:p w:rsidR="00E400D6" w:rsidRPr="000E6F8D" w:rsidRDefault="00183728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sz w:val="28"/>
          <w:szCs w:val="28"/>
          <w:lang w:val="uk-UA" w:eastAsia="uk-UA"/>
        </w:rPr>
        <w:pict>
          <v:shape id="_x0000_i1029" type="#_x0000_t75" style="width:412.5pt;height:34.5pt">
            <v:imagedata r:id="rId11" o:title=""/>
          </v:shape>
        </w:pict>
      </w:r>
    </w:p>
    <w:p w:rsidR="00E326C3" w:rsidRDefault="00E326C3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 w:eastAsia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 w:eastAsia="uk-UA"/>
        </w:rPr>
      </w:pPr>
      <w:r w:rsidRPr="00A411A7">
        <w:rPr>
          <w:rFonts w:eastAsia="Arial Unicode MS"/>
          <w:sz w:val="28"/>
          <w:szCs w:val="28"/>
          <w:lang w:val="uk-UA" w:eastAsia="uk-UA"/>
        </w:rPr>
        <w:t>На підставі значень показника</w:t>
      </w:r>
      <w:r w:rsidR="00A05F31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A411A7">
        <w:rPr>
          <w:rFonts w:eastAsia="Arial Unicode MS"/>
          <w:sz w:val="28"/>
          <w:szCs w:val="28"/>
          <w:lang w:val="en-US" w:eastAsia="uk-UA"/>
        </w:rPr>
        <w:t>R</w:t>
      </w:r>
      <w:r w:rsidR="00A05F31">
        <w:rPr>
          <w:rFonts w:eastAsia="Arial Unicode MS"/>
          <w:sz w:val="28"/>
          <w:szCs w:val="28"/>
          <w:lang w:val="uk-UA" w:eastAsia="uk-UA"/>
        </w:rPr>
        <w:t xml:space="preserve"> </w:t>
      </w:r>
      <w:r w:rsidRPr="00A411A7">
        <w:rPr>
          <w:rFonts w:eastAsia="Arial Unicode MS"/>
          <w:sz w:val="28"/>
          <w:szCs w:val="28"/>
          <w:lang w:val="uk-UA" w:eastAsia="uk-UA"/>
        </w:rPr>
        <w:t>підприємства будуть проранжовані за рівнем фінансового стану у такий спосіб:</w:t>
      </w:r>
    </w:p>
    <w:p w:rsidR="00E400D6" w:rsidRPr="00A411A7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A411A7">
        <w:rPr>
          <w:rFonts w:eastAsia="Arial Unicode MS"/>
          <w:sz w:val="28"/>
          <w:szCs w:val="28"/>
          <w:lang w:val="uk-UA" w:eastAsia="uk-UA"/>
        </w:rPr>
        <w:t>Розташування підприємств за рівнем фінансового стану за результатами рейтингової оцінки методом еталонного підприємства</w:t>
      </w:r>
      <w:r>
        <w:rPr>
          <w:rFonts w:eastAsia="Arial Unicode MS"/>
          <w:sz w:val="28"/>
          <w:szCs w:val="28"/>
          <w:lang w:val="uk-UA" w:eastAsia="uk-UA"/>
        </w:rPr>
        <w:t>:</w:t>
      </w:r>
    </w:p>
    <w:p w:rsidR="00E400D6" w:rsidRPr="00A411A7" w:rsidRDefault="00E326C3" w:rsidP="00A411A7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701"/>
        <w:gridCol w:w="1418"/>
      </w:tblGrid>
      <w:tr w:rsidR="00E400D6" w:rsidRPr="00A411A7" w:rsidTr="00E326C3">
        <w:tc>
          <w:tcPr>
            <w:tcW w:w="817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Місце</w:t>
            </w:r>
          </w:p>
        </w:tc>
        <w:tc>
          <w:tcPr>
            <w:tcW w:w="1701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№ підприємства</w:t>
            </w:r>
          </w:p>
        </w:tc>
        <w:tc>
          <w:tcPr>
            <w:tcW w:w="141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 xml:space="preserve">Значення </w:t>
            </w:r>
            <w:r w:rsidRPr="000E6F8D">
              <w:rPr>
                <w:rFonts w:eastAsia="Arial Unicode MS"/>
                <w:sz w:val="20"/>
                <w:szCs w:val="20"/>
                <w:lang w:val="en-US" w:eastAsia="uk-UA"/>
              </w:rPr>
              <w:t>R</w:t>
            </w:r>
          </w:p>
        </w:tc>
      </w:tr>
      <w:tr w:rsidR="00E400D6" w:rsidRPr="00A411A7" w:rsidTr="00E326C3">
        <w:tc>
          <w:tcPr>
            <w:tcW w:w="817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701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0E6F8D">
              <w:rPr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41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0E6F8D">
              <w:rPr>
                <w:sz w:val="20"/>
                <w:szCs w:val="20"/>
                <w:lang w:val="uk-UA" w:eastAsia="en-US"/>
              </w:rPr>
              <w:t>0,091</w:t>
            </w:r>
          </w:p>
        </w:tc>
      </w:tr>
      <w:tr w:rsidR="00E400D6" w:rsidRPr="00A411A7" w:rsidTr="00E326C3">
        <w:tc>
          <w:tcPr>
            <w:tcW w:w="817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01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0E6F8D">
              <w:rPr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41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0E6F8D">
              <w:rPr>
                <w:sz w:val="20"/>
                <w:szCs w:val="20"/>
                <w:lang w:val="uk-UA" w:eastAsia="en-US"/>
              </w:rPr>
              <w:t>0,224</w:t>
            </w:r>
          </w:p>
        </w:tc>
      </w:tr>
      <w:tr w:rsidR="00E400D6" w:rsidRPr="00A411A7" w:rsidTr="00E326C3">
        <w:tc>
          <w:tcPr>
            <w:tcW w:w="817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01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0E6F8D">
              <w:rPr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41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0E6F8D">
              <w:rPr>
                <w:sz w:val="20"/>
                <w:szCs w:val="20"/>
                <w:lang w:val="uk-UA" w:eastAsia="en-US"/>
              </w:rPr>
              <w:t>0,280</w:t>
            </w:r>
          </w:p>
        </w:tc>
      </w:tr>
      <w:tr w:rsidR="00E400D6" w:rsidRPr="00A411A7" w:rsidTr="00E326C3">
        <w:tc>
          <w:tcPr>
            <w:tcW w:w="817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701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0E6F8D">
              <w:rPr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418" w:type="dxa"/>
          </w:tcPr>
          <w:p w:rsidR="00E400D6" w:rsidRPr="000E6F8D" w:rsidRDefault="00E400D6" w:rsidP="000E6F8D">
            <w:pPr>
              <w:spacing w:line="360" w:lineRule="auto"/>
              <w:jc w:val="both"/>
              <w:rPr>
                <w:sz w:val="20"/>
                <w:szCs w:val="20"/>
                <w:lang w:val="uk-UA" w:eastAsia="en-US"/>
              </w:rPr>
            </w:pPr>
            <w:r w:rsidRPr="000E6F8D">
              <w:rPr>
                <w:sz w:val="20"/>
                <w:szCs w:val="20"/>
                <w:lang w:val="uk-UA" w:eastAsia="en-US"/>
              </w:rPr>
              <w:t>0,289</w:t>
            </w:r>
          </w:p>
        </w:tc>
      </w:tr>
    </w:tbl>
    <w:p w:rsidR="00E400D6" w:rsidRPr="00A411A7" w:rsidRDefault="00E400D6" w:rsidP="00A411A7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 w:eastAsia="uk-UA"/>
        </w:rPr>
      </w:pPr>
      <w:r w:rsidRPr="00A411A7">
        <w:rPr>
          <w:rFonts w:eastAsia="Arial Unicode MS"/>
          <w:sz w:val="28"/>
          <w:szCs w:val="28"/>
          <w:lang w:val="uk-UA" w:eastAsia="uk-UA"/>
        </w:rPr>
        <w:t>МЕТОД СУМИ МІСЦЬ</w:t>
      </w:r>
    </w:p>
    <w:p w:rsidR="00E400D6" w:rsidRPr="00A411A7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A411A7">
        <w:rPr>
          <w:rFonts w:eastAsia="Arial Unicode MS"/>
          <w:sz w:val="28"/>
          <w:szCs w:val="28"/>
          <w:lang w:val="uk-UA" w:eastAsia="uk-UA"/>
        </w:rPr>
        <w:t>При оцінці методом суми місць кожному показнику підприємств, що беруть участь в оцінці, надається місце в залежності від його значення (чим ближче значення показника до оптимального — тим вище місце). Далі визначається сума місць за кожним підприємством. Найбільш високе місце в рейтингу посяде підприємство з мінімальною сумою місць.</w:t>
      </w:r>
    </w:p>
    <w:p w:rsidR="00E400D6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 w:eastAsia="uk-UA"/>
        </w:rPr>
      </w:pPr>
      <w:r w:rsidRPr="00A411A7">
        <w:rPr>
          <w:rFonts w:eastAsia="Arial Unicode MS"/>
          <w:sz w:val="28"/>
          <w:szCs w:val="28"/>
          <w:lang w:val="uk-UA" w:eastAsia="uk-UA"/>
        </w:rPr>
        <w:t>Приклад рейтингової оцінки методом суми місць</w:t>
      </w:r>
    </w:p>
    <w:p w:rsidR="00E400D6" w:rsidRPr="00A411A7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567"/>
        <w:gridCol w:w="567"/>
        <w:gridCol w:w="727"/>
      </w:tblGrid>
      <w:tr w:rsidR="00E400D6" w:rsidRPr="000E6F8D" w:rsidTr="00E326C3">
        <w:trPr>
          <w:trHeight w:val="346"/>
        </w:trPr>
        <w:tc>
          <w:tcPr>
            <w:tcW w:w="3794" w:type="dxa"/>
            <w:vMerge w:val="restart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Показник</w:t>
            </w:r>
          </w:p>
        </w:tc>
        <w:tc>
          <w:tcPr>
            <w:tcW w:w="2428" w:type="dxa"/>
            <w:gridSpan w:val="4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№ підприємства, місце</w:t>
            </w:r>
          </w:p>
        </w:tc>
      </w:tr>
      <w:tr w:rsidR="00E400D6" w:rsidRPr="000E6F8D" w:rsidTr="00E326C3">
        <w:trPr>
          <w:trHeight w:val="356"/>
        </w:trPr>
        <w:tc>
          <w:tcPr>
            <w:tcW w:w="3794" w:type="dxa"/>
            <w:vMerge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72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4</w:t>
            </w:r>
          </w:p>
        </w:tc>
      </w:tr>
      <w:tr w:rsidR="00E400D6" w:rsidRPr="000E6F8D" w:rsidTr="00E326C3">
        <w:trPr>
          <w:trHeight w:val="339"/>
        </w:trPr>
        <w:tc>
          <w:tcPr>
            <w:tcW w:w="3794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абсолютної ліквідності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3</w:t>
            </w:r>
          </w:p>
        </w:tc>
        <w:tc>
          <w:tcPr>
            <w:tcW w:w="72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2</w:t>
            </w:r>
          </w:p>
        </w:tc>
      </w:tr>
      <w:tr w:rsidR="00E400D6" w:rsidRPr="000E6F8D" w:rsidTr="00E326C3">
        <w:trPr>
          <w:trHeight w:val="348"/>
        </w:trPr>
        <w:tc>
          <w:tcPr>
            <w:tcW w:w="3794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термінової ліквідності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4</w:t>
            </w:r>
          </w:p>
        </w:tc>
        <w:tc>
          <w:tcPr>
            <w:tcW w:w="72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3</w:t>
            </w:r>
          </w:p>
        </w:tc>
      </w:tr>
      <w:tr w:rsidR="00E400D6" w:rsidRPr="000E6F8D" w:rsidTr="00E326C3">
        <w:trPr>
          <w:trHeight w:val="344"/>
        </w:trPr>
        <w:tc>
          <w:tcPr>
            <w:tcW w:w="3794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поточної ліквідності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2</w:t>
            </w:r>
          </w:p>
        </w:tc>
        <w:tc>
          <w:tcPr>
            <w:tcW w:w="72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</w:tr>
      <w:tr w:rsidR="00E400D6" w:rsidRPr="000E6F8D" w:rsidTr="00E326C3">
        <w:trPr>
          <w:trHeight w:val="341"/>
        </w:trPr>
        <w:tc>
          <w:tcPr>
            <w:tcW w:w="3794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автономії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72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2</w:t>
            </w:r>
          </w:p>
        </w:tc>
      </w:tr>
      <w:tr w:rsidR="00E400D6" w:rsidRPr="000E6F8D" w:rsidTr="00E326C3">
        <w:trPr>
          <w:trHeight w:val="184"/>
        </w:trPr>
        <w:tc>
          <w:tcPr>
            <w:tcW w:w="3794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Коефіцієнт маневреності власних коштів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2</w:t>
            </w:r>
          </w:p>
        </w:tc>
        <w:tc>
          <w:tcPr>
            <w:tcW w:w="72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</w:tr>
      <w:tr w:rsidR="00E400D6" w:rsidRPr="000E6F8D" w:rsidTr="00E326C3">
        <w:trPr>
          <w:trHeight w:val="181"/>
        </w:trPr>
        <w:tc>
          <w:tcPr>
            <w:tcW w:w="3794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 w:eastAsia="uk-UA"/>
              </w:rPr>
              <w:t>Сума місць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15</w:t>
            </w:r>
          </w:p>
        </w:tc>
        <w:tc>
          <w:tcPr>
            <w:tcW w:w="56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12</w:t>
            </w:r>
          </w:p>
        </w:tc>
        <w:tc>
          <w:tcPr>
            <w:tcW w:w="727" w:type="dxa"/>
          </w:tcPr>
          <w:p w:rsidR="00E400D6" w:rsidRPr="000E6F8D" w:rsidRDefault="00E400D6" w:rsidP="00E326C3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0E6F8D">
              <w:rPr>
                <w:rFonts w:eastAsia="Arial Unicode MS"/>
                <w:sz w:val="20"/>
                <w:szCs w:val="20"/>
                <w:lang w:val="uk-UA"/>
              </w:rPr>
              <w:t>9</w:t>
            </w:r>
          </w:p>
        </w:tc>
      </w:tr>
    </w:tbl>
    <w:p w:rsidR="00E400D6" w:rsidRPr="00A411A7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/>
        </w:rPr>
      </w:pPr>
    </w:p>
    <w:p w:rsidR="00E400D6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 w:eastAsia="uk-UA"/>
        </w:rPr>
      </w:pPr>
      <w:r w:rsidRPr="00A411A7">
        <w:rPr>
          <w:rFonts w:eastAsia="Arial Unicode MS"/>
          <w:sz w:val="28"/>
          <w:szCs w:val="28"/>
          <w:lang w:val="uk-UA" w:eastAsia="uk-UA"/>
        </w:rPr>
        <w:t>На основі отриманих даних підприємства будуть проранжовані за рівнем фінансового стану у такий спосіб:</w:t>
      </w:r>
    </w:p>
    <w:p w:rsidR="00E326C3" w:rsidRPr="00A411A7" w:rsidRDefault="00E326C3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 w:eastAsia="uk-UA"/>
        </w:rPr>
      </w:pPr>
    </w:p>
    <w:p w:rsidR="00E400D6" w:rsidRPr="00A411A7" w:rsidRDefault="00E400D6" w:rsidP="00A411A7">
      <w:pPr>
        <w:spacing w:line="360" w:lineRule="auto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A411A7">
        <w:rPr>
          <w:rFonts w:eastAsia="Arial Unicode MS"/>
          <w:sz w:val="28"/>
          <w:szCs w:val="28"/>
          <w:lang w:val="uk-UA" w:eastAsia="uk-UA"/>
        </w:rPr>
        <w:t>Розташування підприємств за рівнем фінансового стану за результатами рейтингової оцінки методом суми місць</w:t>
      </w:r>
      <w:r w:rsidR="00A05F31">
        <w:rPr>
          <w:rFonts w:eastAsia="Arial Unicode MS"/>
          <w:sz w:val="28"/>
          <w:szCs w:val="28"/>
          <w:lang w:val="uk-UA" w:eastAsia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559"/>
      </w:tblGrid>
      <w:tr w:rsidR="00E400D6" w:rsidRPr="00735420" w:rsidTr="00E326C3">
        <w:trPr>
          <w:trHeight w:val="352"/>
        </w:trPr>
        <w:tc>
          <w:tcPr>
            <w:tcW w:w="959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 w:eastAsia="uk-UA"/>
              </w:rPr>
              <w:t>Місце</w:t>
            </w:r>
          </w:p>
        </w:tc>
        <w:tc>
          <w:tcPr>
            <w:tcW w:w="1843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 w:eastAsia="uk-UA"/>
              </w:rPr>
              <w:t>№ підприємства</w:t>
            </w:r>
          </w:p>
        </w:tc>
        <w:tc>
          <w:tcPr>
            <w:tcW w:w="1559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 w:eastAsia="uk-UA"/>
              </w:rPr>
              <w:t>Сума місць</w:t>
            </w:r>
          </w:p>
        </w:tc>
      </w:tr>
      <w:tr w:rsidR="00E400D6" w:rsidRPr="00735420" w:rsidTr="00E326C3">
        <w:trPr>
          <w:trHeight w:val="347"/>
        </w:trPr>
        <w:tc>
          <w:tcPr>
            <w:tcW w:w="959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/>
              </w:rPr>
              <w:t>9</w:t>
            </w:r>
          </w:p>
        </w:tc>
      </w:tr>
      <w:tr w:rsidR="00E400D6" w:rsidRPr="00735420" w:rsidTr="00E326C3">
        <w:trPr>
          <w:trHeight w:val="344"/>
        </w:trPr>
        <w:tc>
          <w:tcPr>
            <w:tcW w:w="959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/>
              </w:rPr>
              <w:t>12</w:t>
            </w:r>
          </w:p>
        </w:tc>
      </w:tr>
      <w:tr w:rsidR="00E400D6" w:rsidRPr="00735420" w:rsidTr="00E326C3">
        <w:trPr>
          <w:trHeight w:val="368"/>
        </w:trPr>
        <w:tc>
          <w:tcPr>
            <w:tcW w:w="959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/>
              </w:rPr>
              <w:t>14</w:t>
            </w:r>
          </w:p>
        </w:tc>
      </w:tr>
      <w:tr w:rsidR="00E400D6" w:rsidRPr="00735420" w:rsidTr="00E326C3">
        <w:trPr>
          <w:trHeight w:val="156"/>
        </w:trPr>
        <w:tc>
          <w:tcPr>
            <w:tcW w:w="959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</w:tcPr>
          <w:p w:rsidR="00E400D6" w:rsidRPr="00735420" w:rsidRDefault="00E400D6" w:rsidP="00E326C3">
            <w:pPr>
              <w:framePr w:wrap="notBeside" w:vAnchor="text" w:hAnchor="text" w:xAlign="center" w:y="1"/>
              <w:spacing w:line="360" w:lineRule="auto"/>
              <w:ind w:firstLine="120"/>
              <w:jc w:val="both"/>
              <w:rPr>
                <w:rFonts w:eastAsia="Arial Unicode MS"/>
                <w:sz w:val="20"/>
                <w:szCs w:val="20"/>
                <w:lang w:val="uk-UA"/>
              </w:rPr>
            </w:pPr>
            <w:r w:rsidRPr="00735420">
              <w:rPr>
                <w:rFonts w:eastAsia="Arial Unicode MS"/>
                <w:sz w:val="20"/>
                <w:szCs w:val="20"/>
                <w:lang w:val="uk-UA"/>
              </w:rPr>
              <w:t>15</w:t>
            </w:r>
          </w:p>
        </w:tc>
      </w:tr>
    </w:tbl>
    <w:p w:rsidR="00E400D6" w:rsidRDefault="00E400D6" w:rsidP="00A411A7">
      <w:pPr>
        <w:spacing w:line="360" w:lineRule="auto"/>
        <w:ind w:firstLine="709"/>
        <w:jc w:val="both"/>
        <w:rPr>
          <w:rFonts w:eastAsia="Arial Unicode MS"/>
          <w:caps/>
          <w:sz w:val="28"/>
          <w:szCs w:val="28"/>
          <w:lang w:val="uk-UA" w:eastAsia="uk-UA"/>
        </w:rPr>
      </w:pPr>
      <w:bookmarkStart w:id="1" w:name="bookmark17"/>
      <w:r w:rsidRPr="00A411A7">
        <w:rPr>
          <w:rFonts w:eastAsia="Arial Unicode MS"/>
          <w:caps/>
          <w:sz w:val="28"/>
          <w:szCs w:val="28"/>
          <w:lang w:val="uk-UA" w:eastAsia="uk-UA"/>
        </w:rPr>
        <w:t>література</w:t>
      </w:r>
      <w:bookmarkEnd w:id="1"/>
    </w:p>
    <w:p w:rsidR="00E400D6" w:rsidRPr="00A411A7" w:rsidRDefault="00E400D6" w:rsidP="00A411A7">
      <w:pPr>
        <w:spacing w:line="360" w:lineRule="auto"/>
        <w:ind w:firstLine="709"/>
        <w:jc w:val="both"/>
        <w:rPr>
          <w:rFonts w:eastAsia="Arial Unicode MS"/>
          <w:caps/>
          <w:sz w:val="28"/>
          <w:szCs w:val="28"/>
          <w:lang w:val="uk-UA"/>
        </w:rPr>
      </w:pPr>
    </w:p>
    <w:p w:rsidR="00E400D6" w:rsidRPr="00A411A7" w:rsidRDefault="00E400D6" w:rsidP="00735420">
      <w:pPr>
        <w:numPr>
          <w:ilvl w:val="0"/>
          <w:numId w:val="11"/>
        </w:numPr>
        <w:tabs>
          <w:tab w:val="left" w:pos="480"/>
          <w:tab w:val="left" w:pos="993"/>
          <w:tab w:val="left" w:pos="1134"/>
        </w:tabs>
        <w:spacing w:line="360" w:lineRule="auto"/>
        <w:jc w:val="both"/>
        <w:rPr>
          <w:rFonts w:eastAsia="Arial Unicode MS"/>
          <w:sz w:val="28"/>
          <w:szCs w:val="28"/>
          <w:lang w:val="uk-UA"/>
        </w:rPr>
      </w:pPr>
      <w:r w:rsidRPr="00A411A7">
        <w:rPr>
          <w:rFonts w:eastAsia="Arial Unicode MS"/>
          <w:sz w:val="28"/>
          <w:szCs w:val="28"/>
          <w:lang w:val="uk-UA" w:eastAsia="uk-UA"/>
        </w:rPr>
        <w:t>Білик М.Д., Павловська О В., Притуляк Н.М., Невмержицька Н.Ю., Фінансовий аналіз: Навч. посібник. - К : КНЕУ, 2005. -592 с.</w:t>
      </w:r>
    </w:p>
    <w:p w:rsidR="00E400D6" w:rsidRPr="00A411A7" w:rsidRDefault="00E400D6" w:rsidP="00735420">
      <w:pPr>
        <w:numPr>
          <w:ilvl w:val="0"/>
          <w:numId w:val="11"/>
        </w:numPr>
        <w:tabs>
          <w:tab w:val="left" w:pos="480"/>
          <w:tab w:val="left" w:pos="993"/>
          <w:tab w:val="left" w:pos="1134"/>
        </w:tabs>
        <w:spacing w:line="360" w:lineRule="auto"/>
        <w:jc w:val="both"/>
        <w:rPr>
          <w:rFonts w:eastAsia="Arial Unicode MS"/>
          <w:sz w:val="28"/>
          <w:szCs w:val="28"/>
        </w:rPr>
      </w:pPr>
      <w:r w:rsidRPr="00A411A7">
        <w:rPr>
          <w:rFonts w:eastAsia="Arial Unicode MS"/>
          <w:sz w:val="28"/>
          <w:szCs w:val="28"/>
          <w:lang w:eastAsia="uk-UA"/>
        </w:rPr>
        <w:t>Бланк И.А. Управление формированием капитала. К.: Ника-центр, 1998. - 544 с.</w:t>
      </w:r>
    </w:p>
    <w:p w:rsidR="00E400D6" w:rsidRPr="00A411A7" w:rsidRDefault="00E400D6" w:rsidP="00735420">
      <w:pPr>
        <w:numPr>
          <w:ilvl w:val="0"/>
          <w:numId w:val="11"/>
        </w:numPr>
        <w:tabs>
          <w:tab w:val="left" w:pos="480"/>
          <w:tab w:val="left" w:pos="993"/>
          <w:tab w:val="left" w:pos="1134"/>
        </w:tabs>
        <w:spacing w:line="360" w:lineRule="auto"/>
        <w:jc w:val="both"/>
        <w:rPr>
          <w:rFonts w:eastAsia="Arial Unicode MS"/>
          <w:sz w:val="28"/>
          <w:szCs w:val="28"/>
        </w:rPr>
      </w:pPr>
      <w:r w:rsidRPr="00A411A7">
        <w:rPr>
          <w:rFonts w:eastAsia="Arial Unicode MS"/>
          <w:sz w:val="28"/>
          <w:szCs w:val="28"/>
          <w:lang w:eastAsia="uk-UA"/>
        </w:rPr>
        <w:t>Костырко Л.А. Стратегия финансово-экономической деятельности хозяйствующего субъекта: методология и организация: Монография. - Луганск: Изд-во ВНУ им. В.Даля. 2002. - 560 с.</w:t>
      </w:r>
    </w:p>
    <w:p w:rsidR="00E400D6" w:rsidRPr="00A411A7" w:rsidRDefault="00E400D6" w:rsidP="00735420">
      <w:pPr>
        <w:numPr>
          <w:ilvl w:val="0"/>
          <w:numId w:val="11"/>
        </w:numPr>
        <w:tabs>
          <w:tab w:val="left" w:pos="480"/>
          <w:tab w:val="left" w:pos="993"/>
          <w:tab w:val="left" w:pos="1134"/>
        </w:tabs>
        <w:spacing w:line="360" w:lineRule="auto"/>
        <w:jc w:val="both"/>
        <w:rPr>
          <w:rFonts w:eastAsia="Arial Unicode MS"/>
          <w:sz w:val="28"/>
          <w:szCs w:val="28"/>
        </w:rPr>
      </w:pPr>
      <w:r w:rsidRPr="00A411A7">
        <w:rPr>
          <w:rFonts w:eastAsia="Arial Unicode MS"/>
          <w:sz w:val="28"/>
          <w:szCs w:val="28"/>
          <w:lang w:eastAsia="uk-UA"/>
        </w:rPr>
        <w:t>Костырко Л.А. Финансовый анализ. - Луганск: Изд-во Восточноукр. гос. ун-та им. В.Даля, 2000. - 185 с.</w:t>
      </w:r>
    </w:p>
    <w:p w:rsidR="00E400D6" w:rsidRPr="00A411A7" w:rsidRDefault="00E400D6" w:rsidP="00735420">
      <w:pPr>
        <w:tabs>
          <w:tab w:val="left" w:pos="480"/>
          <w:tab w:val="left" w:pos="993"/>
          <w:tab w:val="left" w:pos="1134"/>
        </w:tabs>
        <w:spacing w:line="360" w:lineRule="auto"/>
        <w:jc w:val="both"/>
        <w:rPr>
          <w:sz w:val="28"/>
          <w:szCs w:val="28"/>
          <w:lang w:val="uk-UA" w:eastAsia="en-US"/>
        </w:rPr>
      </w:pPr>
      <w:r w:rsidRPr="00A411A7">
        <w:rPr>
          <w:rFonts w:eastAsia="Arial Unicode MS"/>
          <w:color w:val="000000"/>
          <w:sz w:val="28"/>
          <w:szCs w:val="28"/>
          <w:lang w:val="uk-UA" w:eastAsia="uk-UA"/>
        </w:rPr>
        <w:t>Костирко Р.О Фінансовий аналіз: Навч посібник. - X. Фактор, 2007. - 784 с.</w:t>
      </w:r>
      <w:bookmarkStart w:id="2" w:name="_GoBack"/>
      <w:bookmarkEnd w:id="2"/>
    </w:p>
    <w:sectPr w:rsidR="00E400D6" w:rsidRPr="00A411A7" w:rsidSect="00A411A7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D6" w:rsidRDefault="00E400D6" w:rsidP="00DB72D7">
      <w:r>
        <w:separator/>
      </w:r>
    </w:p>
  </w:endnote>
  <w:endnote w:type="continuationSeparator" w:id="0">
    <w:p w:rsidR="00E400D6" w:rsidRDefault="00E400D6" w:rsidP="00DB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D6" w:rsidRDefault="00E400D6" w:rsidP="00DB72D7">
      <w:r>
        <w:separator/>
      </w:r>
    </w:p>
  </w:footnote>
  <w:footnote w:type="continuationSeparator" w:id="0">
    <w:p w:rsidR="00E400D6" w:rsidRDefault="00E400D6" w:rsidP="00DB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7"/>
    <w:multiLevelType w:val="multilevel"/>
    <w:tmpl w:val="00000006"/>
    <w:lvl w:ilvl="0">
      <w:start w:val="3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9"/>
    <w:multiLevelType w:val="multilevel"/>
    <w:tmpl w:val="C92AE6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2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2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2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2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2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2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2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2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20"/>
        <w:w w:val="100"/>
        <w:position w:val="0"/>
        <w:sz w:val="20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7">
    <w:nsid w:val="00000011"/>
    <w:multiLevelType w:val="multilevel"/>
    <w:tmpl w:val="E22429B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8">
    <w:nsid w:val="0ECA7D1D"/>
    <w:multiLevelType w:val="hybridMultilevel"/>
    <w:tmpl w:val="2D6C111A"/>
    <w:lvl w:ilvl="0" w:tplc="14067EB4">
      <w:start w:val="7"/>
      <w:numFmt w:val="decimal"/>
      <w:lvlText w:val="%1"/>
      <w:lvlJc w:val="left"/>
      <w:pPr>
        <w:ind w:left="820" w:hanging="360"/>
      </w:pPr>
      <w:rPr>
        <w:rFonts w:eastAsia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9">
    <w:nsid w:val="51DC2D1B"/>
    <w:multiLevelType w:val="hybridMultilevel"/>
    <w:tmpl w:val="D544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A85B3E"/>
    <w:multiLevelType w:val="hybridMultilevel"/>
    <w:tmpl w:val="752C924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EEA"/>
    <w:rsid w:val="00074AD5"/>
    <w:rsid w:val="000827EE"/>
    <w:rsid w:val="00092B81"/>
    <w:rsid w:val="000E6F8D"/>
    <w:rsid w:val="00183728"/>
    <w:rsid w:val="001B105D"/>
    <w:rsid w:val="00320A71"/>
    <w:rsid w:val="003959A9"/>
    <w:rsid w:val="0040559A"/>
    <w:rsid w:val="004A1CBC"/>
    <w:rsid w:val="004C4FDD"/>
    <w:rsid w:val="004E2252"/>
    <w:rsid w:val="0050678B"/>
    <w:rsid w:val="005328AD"/>
    <w:rsid w:val="00550127"/>
    <w:rsid w:val="0056584F"/>
    <w:rsid w:val="005A6679"/>
    <w:rsid w:val="005E5EEA"/>
    <w:rsid w:val="005E70F1"/>
    <w:rsid w:val="00605F39"/>
    <w:rsid w:val="006351EE"/>
    <w:rsid w:val="006E72CC"/>
    <w:rsid w:val="00735420"/>
    <w:rsid w:val="0074448E"/>
    <w:rsid w:val="0083790F"/>
    <w:rsid w:val="008A3467"/>
    <w:rsid w:val="00966835"/>
    <w:rsid w:val="009D1D82"/>
    <w:rsid w:val="009E4399"/>
    <w:rsid w:val="00A05F31"/>
    <w:rsid w:val="00A1185B"/>
    <w:rsid w:val="00A411A7"/>
    <w:rsid w:val="00A643F9"/>
    <w:rsid w:val="00A6673B"/>
    <w:rsid w:val="00A8589A"/>
    <w:rsid w:val="00AF6F01"/>
    <w:rsid w:val="00B260C4"/>
    <w:rsid w:val="00B3705D"/>
    <w:rsid w:val="00B94DE6"/>
    <w:rsid w:val="00C203EA"/>
    <w:rsid w:val="00D02A4F"/>
    <w:rsid w:val="00D834ED"/>
    <w:rsid w:val="00DB72D7"/>
    <w:rsid w:val="00E326C3"/>
    <w:rsid w:val="00E400D6"/>
    <w:rsid w:val="00F9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61B1718-C0A9-46BF-B131-8828079F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E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966835"/>
    <w:pPr>
      <w:ind w:left="720"/>
    </w:pPr>
  </w:style>
  <w:style w:type="paragraph" w:styleId="a3">
    <w:name w:val="Body Text"/>
    <w:basedOn w:val="a"/>
    <w:link w:val="a4"/>
    <w:rsid w:val="00966835"/>
    <w:pPr>
      <w:shd w:val="clear" w:color="auto" w:fill="FFFFFF"/>
      <w:spacing w:line="240" w:lineRule="atLeast"/>
      <w:ind w:hanging="420"/>
    </w:pPr>
    <w:rPr>
      <w:rFonts w:eastAsia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semiHidden/>
    <w:locked/>
    <w:rsid w:val="0096683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ий текст Знак"/>
    <w:basedOn w:val="a0"/>
    <w:link w:val="a3"/>
    <w:semiHidden/>
    <w:locked/>
    <w:rsid w:val="0074448E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+ Курсив"/>
    <w:rsid w:val="00966835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7">
    <w:name w:val="Колонтитул_"/>
    <w:basedOn w:val="a0"/>
    <w:link w:val="a8"/>
    <w:locked/>
    <w:rsid w:val="00B260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pt2">
    <w:name w:val="Колонтитул + 9 pt2"/>
    <w:basedOn w:val="a7"/>
    <w:rsid w:val="00B260C4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paragraph" w:customStyle="1" w:styleId="a8">
    <w:name w:val="Колонтитул"/>
    <w:basedOn w:val="a"/>
    <w:link w:val="a7"/>
    <w:rsid w:val="00B260C4"/>
    <w:pPr>
      <w:shd w:val="clear" w:color="auto" w:fill="FFFFFF"/>
    </w:pPr>
    <w:rPr>
      <w:rFonts w:eastAsia="Times New Roman"/>
      <w:sz w:val="20"/>
      <w:szCs w:val="20"/>
      <w:lang w:eastAsia="en-US"/>
    </w:rPr>
  </w:style>
  <w:style w:type="paragraph" w:styleId="a9">
    <w:name w:val="header"/>
    <w:basedOn w:val="a"/>
    <w:link w:val="aa"/>
    <w:rsid w:val="00DB72D7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DB72D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locked/>
    <w:rsid w:val="00DB72D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Текст покажчика місця заповнення1"/>
    <w:basedOn w:val="a0"/>
    <w:semiHidden/>
    <w:rsid w:val="001B105D"/>
    <w:rPr>
      <w:rFonts w:cs="Times New Roman"/>
      <w:color w:val="808080"/>
    </w:rPr>
  </w:style>
  <w:style w:type="character" w:customStyle="1" w:styleId="ac">
    <w:name w:val="Нижній колонтитул Знак"/>
    <w:basedOn w:val="a0"/>
    <w:link w:val="ab"/>
    <w:locked/>
    <w:rsid w:val="00DB72D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semiHidden/>
    <w:rsid w:val="001B105D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locked/>
    <w:rsid w:val="0083790F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e">
    <w:name w:val="Текст у виносці Знак"/>
    <w:basedOn w:val="a0"/>
    <w:link w:val="ad"/>
    <w:semiHidden/>
    <w:locked/>
    <w:rsid w:val="001B105D"/>
    <w:rPr>
      <w:rFonts w:ascii="Tahoma" w:hAnsi="Tahoma" w:cs="Tahoma"/>
      <w:sz w:val="16"/>
      <w:szCs w:val="16"/>
      <w:lang w:val="x-none" w:eastAsia="ru-RU"/>
    </w:rPr>
  </w:style>
  <w:style w:type="paragraph" w:customStyle="1" w:styleId="20">
    <w:name w:val="Заголовок №2"/>
    <w:basedOn w:val="a"/>
    <w:link w:val="2"/>
    <w:rsid w:val="0083790F"/>
    <w:pPr>
      <w:shd w:val="clear" w:color="auto" w:fill="FFFFFF"/>
      <w:spacing w:after="300" w:line="240" w:lineRule="atLeast"/>
      <w:jc w:val="center"/>
      <w:outlineLvl w:val="1"/>
    </w:pPr>
    <w:rPr>
      <w:rFonts w:eastAsia="Times New Roman"/>
      <w:b/>
      <w:bCs/>
      <w:i/>
      <w:iCs/>
      <w:sz w:val="21"/>
      <w:szCs w:val="21"/>
      <w:lang w:eastAsia="en-US"/>
    </w:rPr>
  </w:style>
  <w:style w:type="table" w:customStyle="1" w:styleId="151">
    <w:name w:val="Середній список 1 – акцент 51"/>
    <w:rsid w:val="00C203EA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Calibri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Calibri"/>
      </w:rPr>
      <w:tblPr/>
      <w:tcPr>
        <w:shd w:val="clear" w:color="auto" w:fill="D2EAF1"/>
      </w:tcPr>
    </w:tblStylePr>
    <w:tblStylePr w:type="band1Horz">
      <w:rPr>
        <w:rFonts w:cs="Calibri"/>
      </w:rPr>
      <w:tblPr/>
      <w:tcPr>
        <w:shd w:val="clear" w:color="auto" w:fill="D2EAF1"/>
      </w:tcPr>
    </w:tblStylePr>
  </w:style>
  <w:style w:type="table" w:customStyle="1" w:styleId="241">
    <w:name w:val="Середній список 2 – акцент 41"/>
    <w:rsid w:val="00C203EA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customStyle="1" w:styleId="141">
    <w:name w:val="Середня сітка 1 – акцент 41"/>
    <w:rsid w:val="00C203EA"/>
    <w:rPr>
      <w:rFonts w:eastAsia="Times New Roman" w:cs="Calibri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BFB1D0"/>
      </w:tcPr>
    </w:tblStylePr>
    <w:tblStylePr w:type="band1Horz">
      <w:rPr>
        <w:rFonts w:cs="Calibri"/>
      </w:rPr>
      <w:tblPr/>
      <w:tcPr>
        <w:shd w:val="clear" w:color="auto" w:fill="BFB1D0"/>
      </w:tcPr>
    </w:tblStylePr>
  </w:style>
  <w:style w:type="table" w:customStyle="1" w:styleId="1510">
    <w:name w:val="Середня сітка 1 – акцент 51"/>
    <w:rsid w:val="00C203EA"/>
    <w:rPr>
      <w:rFonts w:eastAsia="Times New Roman" w:cs="Calibri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5D5E2"/>
      </w:tcPr>
    </w:tblStylePr>
    <w:tblStylePr w:type="band1Horz">
      <w:rPr>
        <w:rFonts w:cs="Calibri"/>
      </w:rPr>
      <w:tblPr/>
      <w:tcPr>
        <w:shd w:val="clear" w:color="auto" w:fill="A5D5E2"/>
      </w:tcPr>
    </w:tblStylePr>
  </w:style>
  <w:style w:type="table" w:customStyle="1" w:styleId="41">
    <w:name w:val="Світла сітка – акцент 41"/>
    <w:rsid w:val="00C203EA"/>
    <w:rPr>
      <w:rFonts w:eastAsia="Times New Roman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12">
    <w:name w:val="Основной текст (12)_"/>
    <w:basedOn w:val="a0"/>
    <w:link w:val="121"/>
    <w:locked/>
    <w:rsid w:val="00A1185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20">
    <w:name w:val="Основной текст (12)"/>
    <w:basedOn w:val="12"/>
    <w:rsid w:val="00A1185B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A1185B"/>
    <w:pPr>
      <w:shd w:val="clear" w:color="auto" w:fill="FFFFFF"/>
      <w:spacing w:line="240" w:lineRule="atLeast"/>
    </w:pPr>
    <w:rPr>
      <w:rFonts w:eastAsia="Times New Roman"/>
      <w:b/>
      <w:bCs/>
      <w:i/>
      <w:iCs/>
      <w:sz w:val="21"/>
      <w:szCs w:val="21"/>
      <w:lang w:eastAsia="en-US"/>
    </w:rPr>
  </w:style>
  <w:style w:type="table" w:styleId="af">
    <w:name w:val="Table Grid"/>
    <w:basedOn w:val="a1"/>
    <w:rsid w:val="00A8589A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редня заливка 1 – акцент 41"/>
    <w:rsid w:val="0056584F"/>
    <w:rPr>
      <w:rFonts w:eastAsia="Times New Roman" w:cs="Calibri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FD8E8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customStyle="1" w:styleId="410">
    <w:name w:val="Світла заливка – акцент 41"/>
    <w:rsid w:val="003959A9"/>
    <w:rPr>
      <w:rFonts w:eastAsia="Times New Roman"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 РОБОТА</vt:lpstr>
    </vt:vector>
  </TitlesOfParts>
  <Company>home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 РОБОТА</dc:title>
  <dc:subject/>
  <dc:creator>Надя Витя</dc:creator>
  <cp:keywords/>
  <dc:description/>
  <cp:lastModifiedBy>Irina</cp:lastModifiedBy>
  <cp:revision>2</cp:revision>
  <dcterms:created xsi:type="dcterms:W3CDTF">2014-08-16T18:24:00Z</dcterms:created>
  <dcterms:modified xsi:type="dcterms:W3CDTF">2014-08-16T18:24:00Z</dcterms:modified>
</cp:coreProperties>
</file>