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33" w:rsidRDefault="00B45633">
      <w:pPr>
        <w:pStyle w:val="1"/>
        <w:spacing w:line="360" w:lineRule="auto"/>
        <w:ind w:firstLine="0"/>
        <w:jc w:val="center"/>
        <w:rPr>
          <w:sz w:val="36"/>
          <w:szCs w:val="36"/>
        </w:rPr>
      </w:pPr>
    </w:p>
    <w:p w:rsidR="00B45633" w:rsidRDefault="00B45633">
      <w:pPr>
        <w:pStyle w:val="1"/>
        <w:spacing w:line="360" w:lineRule="auto"/>
        <w:ind w:firstLine="0"/>
        <w:jc w:val="center"/>
        <w:rPr>
          <w:i/>
          <w:iCs/>
          <w:sz w:val="52"/>
          <w:szCs w:val="36"/>
        </w:rPr>
      </w:pPr>
    </w:p>
    <w:p w:rsidR="00B45633" w:rsidRDefault="00B45633">
      <w:pPr>
        <w:pStyle w:val="1"/>
        <w:spacing w:line="360" w:lineRule="auto"/>
        <w:ind w:firstLine="0"/>
        <w:jc w:val="center"/>
        <w:rPr>
          <w:i/>
          <w:iCs/>
          <w:sz w:val="52"/>
          <w:szCs w:val="36"/>
        </w:rPr>
      </w:pPr>
    </w:p>
    <w:p w:rsidR="00B45633" w:rsidRDefault="00B45633">
      <w:pPr>
        <w:pStyle w:val="1"/>
        <w:spacing w:line="360" w:lineRule="auto"/>
        <w:ind w:firstLine="0"/>
        <w:jc w:val="center"/>
        <w:rPr>
          <w:i/>
          <w:iCs/>
          <w:sz w:val="52"/>
          <w:szCs w:val="36"/>
        </w:rPr>
      </w:pPr>
    </w:p>
    <w:p w:rsidR="00B45633" w:rsidRDefault="00B45633">
      <w:pPr>
        <w:pStyle w:val="1"/>
        <w:spacing w:line="360" w:lineRule="auto"/>
        <w:ind w:firstLine="0"/>
        <w:jc w:val="center"/>
        <w:rPr>
          <w:i/>
          <w:iCs/>
          <w:sz w:val="52"/>
          <w:szCs w:val="36"/>
        </w:rPr>
      </w:pPr>
    </w:p>
    <w:p w:rsidR="00B45633" w:rsidRDefault="0093277A">
      <w:pPr>
        <w:pStyle w:val="1"/>
        <w:spacing w:line="360" w:lineRule="auto"/>
        <w:ind w:firstLine="0"/>
        <w:jc w:val="center"/>
        <w:rPr>
          <w:i/>
          <w:iCs/>
          <w:sz w:val="52"/>
          <w:szCs w:val="36"/>
        </w:rPr>
      </w:pPr>
      <w:r>
        <w:rPr>
          <w:i/>
          <w:iCs/>
          <w:sz w:val="52"/>
          <w:szCs w:val="36"/>
        </w:rPr>
        <w:t xml:space="preserve">РЕФЕРАТ </w:t>
      </w:r>
    </w:p>
    <w:p w:rsidR="00B45633" w:rsidRDefault="0093277A">
      <w:pPr>
        <w:pStyle w:val="1"/>
        <w:spacing w:line="360" w:lineRule="auto"/>
        <w:ind w:firstLine="0"/>
        <w:jc w:val="center"/>
        <w:rPr>
          <w:sz w:val="52"/>
          <w:szCs w:val="36"/>
        </w:rPr>
      </w:pPr>
      <w:r>
        <w:rPr>
          <w:sz w:val="52"/>
          <w:szCs w:val="36"/>
        </w:rPr>
        <w:t>на тему:</w:t>
      </w:r>
    </w:p>
    <w:p w:rsidR="00B45633" w:rsidRDefault="0093277A">
      <w:pPr>
        <w:pStyle w:val="1"/>
        <w:spacing w:line="360" w:lineRule="auto"/>
        <w:ind w:firstLine="0"/>
        <w:jc w:val="center"/>
        <w:rPr>
          <w:sz w:val="52"/>
          <w:szCs w:val="36"/>
        </w:rPr>
      </w:pPr>
      <w:r>
        <w:rPr>
          <w:sz w:val="52"/>
          <w:szCs w:val="36"/>
        </w:rPr>
        <w:t>АН</w:t>
      </w:r>
      <w:r>
        <w:rPr>
          <w:sz w:val="52"/>
          <w:szCs w:val="36"/>
          <w:lang w:val="ru-RU"/>
        </w:rPr>
        <w:t>А</w:t>
      </w:r>
      <w:r>
        <w:rPr>
          <w:sz w:val="52"/>
          <w:szCs w:val="36"/>
        </w:rPr>
        <w:t>ЛОГІЯ ТА ЇЇ ВИДИ</w:t>
      </w:r>
    </w:p>
    <w:p w:rsidR="00B45633" w:rsidRDefault="00B45633">
      <w:pPr>
        <w:rPr>
          <w:lang w:val="uk-UA"/>
        </w:rPr>
      </w:pPr>
    </w:p>
    <w:p w:rsidR="00B45633" w:rsidRDefault="0093277A">
      <w:pPr>
        <w:pStyle w:val="1"/>
        <w:spacing w:line="39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aps/>
          <w:sz w:val="28"/>
          <w:szCs w:val="28"/>
        </w:rPr>
        <w:br w:type="page"/>
        <w:t>П</w:t>
      </w:r>
      <w:r>
        <w:rPr>
          <w:b w:val="0"/>
          <w:bCs w:val="0"/>
          <w:sz w:val="28"/>
          <w:szCs w:val="28"/>
        </w:rPr>
        <w:t>оруч з індукцією і дедукцією можливий третій спосіб умовиводів – логічний перехід від відомого знання про окремий предмет або його групи до нового знання про другий окремий предмет або іншій його групі, який називається аналогією.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 xml:space="preserve">В науці і юридичній практиці нерідко досліджуються окремі явища, відносно яких ще не отримані узагальнення. В цих випадках судять про нове явище, опираючись на раніше набуті знання по схожому одиничному явищу, тобто уподібнюють одне явище іншому. 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Умовивід по аналогії – це виведення про приналежність одиничному предмету певної прикмети, основане на схожості цього предмета в суттєвих прикметах з іншим одиничним предметом.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Якщо позначити символами a і b два одиничних предмети або події, а P, Q, S, T – їх прикмети, то вивід по аналогії можна представити наступною схемою:</w:t>
      </w:r>
    </w:p>
    <w:p w:rsidR="00B45633" w:rsidRDefault="0093277A">
      <w:pPr>
        <w:spacing w:line="396" w:lineRule="auto"/>
        <w:ind w:left="2880"/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a має прикмети P, Q, S, T </w:t>
      </w:r>
    </w:p>
    <w:p w:rsidR="00B45633" w:rsidRDefault="0093277A">
      <w:pPr>
        <w:spacing w:line="396" w:lineRule="auto"/>
        <w:ind w:left="2880"/>
        <w:jc w:val="both"/>
        <w:rPr>
          <w:i/>
          <w:iCs/>
          <w:u w:val="single"/>
          <w:lang w:val="uk-UA"/>
        </w:rPr>
      </w:pPr>
      <w:r>
        <w:rPr>
          <w:i/>
          <w:iCs/>
          <w:u w:val="single"/>
          <w:lang w:val="uk-UA"/>
        </w:rPr>
        <w:t>b має прикмети P, Q, S</w:t>
      </w:r>
    </w:p>
    <w:p w:rsidR="00B45633" w:rsidRDefault="0093277A">
      <w:pPr>
        <w:spacing w:line="396" w:lineRule="auto"/>
        <w:ind w:left="2880"/>
        <w:jc w:val="both"/>
        <w:rPr>
          <w:lang w:val="uk-UA"/>
        </w:rPr>
      </w:pPr>
      <w:r>
        <w:rPr>
          <w:i/>
          <w:iCs/>
          <w:lang w:val="uk-UA"/>
        </w:rPr>
        <w:t xml:space="preserve">Отже, b, ймовірно, має прикмету T </w:t>
      </w:r>
    </w:p>
    <w:p w:rsidR="00B45633" w:rsidRDefault="00B45633">
      <w:pPr>
        <w:spacing w:line="396" w:lineRule="auto"/>
        <w:jc w:val="both"/>
        <w:rPr>
          <w:lang w:val="uk-UA"/>
        </w:rPr>
      </w:pP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 xml:space="preserve">Аналогія не є довільною логічною побудовою, в її основі лежать об’єктивні властивості і відношення предметів реальної дійсності. Кожний конкретний предмет або явище, володіючи великою кількістю ознак, представляє не випадкову їх комбінацію, а певну єдність, комплекс. Якою б дрібною не була та чи інша ознака, її існування і зміни завжди обумовлені станом інших сторін предмета або зовнішніх умов. 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Що стосується ролі аналогії в юридичній теорії та практиці, то до аналогії звертаються у випадках правової оцінки, а також в процесі розслідування і проведення криміналістичних експертиз.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З логічної сторони юридична оцінка стану справи протікає, як правило, у формі силогізму, де великим засновком виступає визначена норма права, а меншим – знання про конкретний факт. Поруч з цим в окремих правових системах припускається правова оцінка по аналогії закону або по прецеденту. Виходячи з практичної складності передбачити і перерахувати в законі всі види правопорушень, які можуть виникнути в майбутньому, законодавець надає суду право оцінювати не передбачені законом випадки по нормам, які регулюють схожі правовідносини. В цьому і полягає суть правового інституту аналогії закону.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Аналізуючи фактичний матеріал, суддя і слідчий використовують не тільки загальні знання, отримані наукою і практикою, але й звертаються і до індивідуального досвіту – свого і чужого. Порівняння конкретної справи з раніше розслідуваними одиничними випадками допомагає виявити схожість між ними і на цій основі, уподібнивши одну подію іншій, виявити нові, раніше невідомі прикмети і обставини злочину.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В найбільш чіткій формі умовиводи по аналогії зустрічаються при розкритті злочинів по способу їх здійснення.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Нерідко умовиводи по аналогії часто використовують при проведенні окремих видів криміналістичних експертиз, які ставлять завдання ідентифікації особистості або матеріальних предметів: встановлення особи по прикметам зовнішності, по відбиткам пальців, по слідам ніг, зубів, рук і т.п.; встановлення виконавця тексту або підпису; встановлення зброї по стріляним кулям та гільзам, а також інструментів, засобів взлому, транспортних засобів по їх слідам тощо. В силу різних причин висновки експерта-криміналіста можуть мати характер проблематичних висновків. На відміну від достовірних висновків такі ймовірні висновки експертів, як і будь-які інші припущення, не можуть виконувати роль судових доказів. Але ці ж висновки нерідко грають важливу роль, надаючи слідству додаткову інформацію для побудови версій та їх перевірки, виконанні оперативних дій і т.п.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 xml:space="preserve">По характеру уподібнюваних об’єктів розрізняють два види аналогій: аналогію предметів і аналогію відносин. 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Аналогія предметів – умовивід, в якому об’єктом уподібнення виступають два одиничних предмети, а переношуваною ознакою – властивості цих предметів.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 xml:space="preserve">Прикладом може служити пояснення в історії фізики механізму поширення звуку, коли рух звуку було уподібнено хвильовому руху рідини, в результаті чого виникла хвильова теорія звуку. Об’єкти уподібнення тут – рідина і звук, переношувана прикмета – хвильовий спосіб їх поширення. </w:t>
      </w:r>
      <w:r>
        <w:t>Коли перед ф</w:t>
      </w:r>
      <w:r>
        <w:rPr>
          <w:lang w:val="uk-UA"/>
        </w:rPr>
        <w:t>ізикою в подальшому постало питання про природу світлового руху, нідерландський фізик і математик 17 ст. Гюйгенс, опираючись на схожість світла і звука в таких властивостях, як їх прямолінійне поширення, відображення, заломлення і інтерференція, уподібнив світловий рух звуковому і прийшов до висновку, що світло також має хвильову природу.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Логічною основою переносу прикмет в аналогіях подібного роду виступає схожість уподібнюваних предметів в суттєвих прикметах, характеризуючи предмет в цілому або зі сторони окремих його властивостей.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Аналогія відносин – умовивід, в якому об’єктом уподібнення виступають відносини між двома парами предметів, а переношуваною прикметою – властивості цих відносин.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Історія знає багато прикладів наукових відкритті завдяки уподібненню відносин в області фізики, астрономії, біології, математики і т.д. При аналізі явищ суспільного життя аналогія відносин часто допомагає правильному підходу до оцінки окремих подій, сприяє проведенню правильної тактичної лінії в політиці.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 xml:space="preserve">При звертанні до аналогії відносин слід мати на увазі особливості цього висновку і не змішувати його з висновками по аналогії предметів. Якщо в останньому уподібнюються два одиничних предмети, то в першому самі предмети не порівнюються і навіть не можуть не припускати уподібнення. Уподібнення відносин між х і у відношенню між </w:t>
      </w:r>
      <w:r>
        <w:rPr>
          <w:lang w:val="en-US"/>
        </w:rPr>
        <w:t>m</w:t>
      </w:r>
      <w:r>
        <w:rPr>
          <w:lang w:val="uk-UA"/>
        </w:rPr>
        <w:t xml:space="preserve"> і </w:t>
      </w:r>
      <w:r>
        <w:rPr>
          <w:lang w:val="en-US"/>
        </w:rPr>
        <w:t>n</w:t>
      </w:r>
      <w:r>
        <w:rPr>
          <w:lang w:val="uk-UA"/>
        </w:rPr>
        <w:t xml:space="preserve"> не означає, що х повинен бути схожий з </w:t>
      </w:r>
      <w:r>
        <w:rPr>
          <w:lang w:val="en-US"/>
        </w:rPr>
        <w:t>m</w:t>
      </w:r>
      <w:r>
        <w:rPr>
          <w:lang w:val="uk-UA"/>
        </w:rPr>
        <w:t xml:space="preserve">, а у схожий з </w:t>
      </w:r>
      <w:r>
        <w:rPr>
          <w:lang w:val="en-US"/>
        </w:rPr>
        <w:t>n</w:t>
      </w:r>
      <w:r>
        <w:rPr>
          <w:lang w:val="uk-UA"/>
        </w:rPr>
        <w:t>. Ці предмети можуть бути і не порівнювані. Важливо, щоб відносини між першою парою предметів відповідало відношенню між двома предметами другої пари.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Помилкове розуміння висновків по аналогії відносин зустрічається і в щоденній практиці, що зумовлює змішування аналогій відносин з аналогією предметів.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 xml:space="preserve">Знання, отримані по аналогії, бувають неоднаковими по своїй обґрунтованості: в одних випадках висновки носять проблематичний характер, в других – достовірний. 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Цінність висновків у міркуваннях по аналогії визначається характером вихідного знання про порівнювані об’єкти: 1) схожість уподібнюваних об’єктів; 2) різниця між ними; 3) характер залежності між прикметами схожості і прикметами, що переноситься. Розглянемо детальніше ці умови.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 xml:space="preserve">1) </w:t>
      </w:r>
      <w:r>
        <w:rPr>
          <w:i/>
          <w:iCs/>
          <w:lang w:val="uk-UA"/>
        </w:rPr>
        <w:t>Схожість уподібнюваних об’єктів</w:t>
      </w:r>
      <w:r>
        <w:rPr>
          <w:lang w:val="uk-UA"/>
        </w:rPr>
        <w:t>. Встановлення схожих прикмет у порівнюваних предметів або відносин служить основною підставою застосування самого умовисновку по аналогії. Висновок буде правдивим тільки в тому випадку, коли виявлено і зафіксовано дійсна схожість, при цьому не в будь-яких, а тільки в суттєвих прикметах.</w:t>
      </w:r>
    </w:p>
    <w:p w:rsidR="00B45633" w:rsidRDefault="0093277A">
      <w:pPr>
        <w:pStyle w:val="a3"/>
        <w:spacing w:line="396" w:lineRule="auto"/>
      </w:pPr>
      <w:r>
        <w:tab/>
        <w:t xml:space="preserve">2) </w:t>
      </w:r>
      <w:r>
        <w:rPr>
          <w:i/>
          <w:iCs/>
        </w:rPr>
        <w:t>Розбіжності між уподібнюваними об’єктами</w:t>
      </w:r>
      <w:r>
        <w:t>. Важливою умовою обґрунтованості висновків по аналогії є врахування тих прикмет, по яких розрізняють уподібнювані об’єкти. В природі не буває абсолютно схожих явищ: найбільш висока ступінь схожості завжди передбачає відмінності. Значить,  в будь-якому випадку уподібнення мають місце і розбіжності між порівнюваними предметами. Розбіжності ці по-різному впливають на процес висновку по аналогії.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В одних випадках розбіжності бувають несуттєвими, тобто сумісними з переношуваною ознакою. Вони не перешкоджають уподібненню і переносу прикмети, хоча, як правило, видозмінюють форму, інтенсивність або умови його прояву.</w:t>
      </w:r>
    </w:p>
    <w:p w:rsidR="00B45633" w:rsidRDefault="0093277A">
      <w:pPr>
        <w:pStyle w:val="a3"/>
        <w:spacing w:line="396" w:lineRule="auto"/>
      </w:pPr>
      <w:r>
        <w:tab/>
        <w:t>Властивості, які перешкоджають переносу прикмет з одного предмета на інший, називаються негативними прикметами розбіжності. Як правило, вони несумісні з переношуваною ознакою або відношенням.  Якщо у предмета а поруч з ознаками схожості А, В, С виявляють ознаку М, яка несумісна з переношуваною ознакою Т, або особливі умови, перешкоджають його прояву, то ця обставина взагалі виключає застосування аналогії.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3) Зв’язок між ознаками. В залежності від характеру зв’язку між прикметами розрізняють сувору аналогію, яка дає достовірний висновок, і аналогію несувору, висновок якої носить проблематичний характер.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Сувора аналогія відрізняється необхідним зв’язком переношуваної прикмети з прикметами схожості.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Несувора аналогія – це таке уподібнення, коли залежність між схожими і переношуваними прикметами мислиться як необхідна тільки з більшою або меншою ступінню ймовірності. В цьому випадку, виявивши у другого об’єкта прикмети схожості, можна тільки в логічно ослабленій формі робити висновок про приналежність останньому переношуваної ознаки.</w:t>
      </w:r>
    </w:p>
    <w:p w:rsidR="00B45633" w:rsidRDefault="0093277A">
      <w:pPr>
        <w:spacing w:line="396" w:lineRule="auto"/>
        <w:jc w:val="both"/>
        <w:rPr>
          <w:lang w:val="uk-UA"/>
        </w:rPr>
      </w:pPr>
      <w:r>
        <w:rPr>
          <w:lang w:val="uk-UA"/>
        </w:rPr>
        <w:tab/>
        <w:t>Несувора аналогія часто зустрічається в суспільно-історичних дослідженнях, оскільки тут досить важко врахувати таку залежність між явищами, які з необхідністю вказували б на всі витікаючі наслідки.</w:t>
      </w:r>
    </w:p>
    <w:p w:rsidR="00B45633" w:rsidRDefault="00B45633">
      <w:pPr>
        <w:spacing w:line="396" w:lineRule="auto"/>
        <w:jc w:val="both"/>
        <w:rPr>
          <w:lang w:val="uk-UA"/>
        </w:rPr>
      </w:pPr>
    </w:p>
    <w:p w:rsidR="00B45633" w:rsidRDefault="0093277A">
      <w:pPr>
        <w:pStyle w:val="10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Список використаної літератури</w:t>
      </w:r>
    </w:p>
    <w:p w:rsidR="00B45633" w:rsidRDefault="00B45633">
      <w:pPr>
        <w:rPr>
          <w:lang w:val="uk-UA"/>
        </w:rPr>
      </w:pPr>
    </w:p>
    <w:p w:rsidR="00B45633" w:rsidRDefault="0093277A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Тофтул М.Г. Логіка. – К., 1999. – С. 332</w:t>
      </w:r>
    </w:p>
    <w:p w:rsidR="00B45633" w:rsidRDefault="0093277A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Конверський А.С. Логіка. – К., 1998. – С. 266</w:t>
      </w:r>
    </w:p>
    <w:p w:rsidR="00B45633" w:rsidRDefault="0093277A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Кондаков И.В. Логика. – М., 1984. – С. 68</w:t>
      </w:r>
    </w:p>
    <w:p w:rsidR="00B45633" w:rsidRDefault="0093277A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Хоменко І.В., Алексюк І.А. Основи логіки. – К., 1996. – С. 113</w:t>
      </w:r>
    </w:p>
    <w:p w:rsidR="00B45633" w:rsidRDefault="0093277A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Хоменко І.В. Що таке логіка //Барви творчості. К., 1995. – С. 83-95</w:t>
      </w:r>
    </w:p>
    <w:p w:rsidR="00B45633" w:rsidRDefault="00B45633">
      <w:pPr>
        <w:spacing w:line="396" w:lineRule="auto"/>
        <w:jc w:val="both"/>
        <w:rPr>
          <w:lang w:val="en-US"/>
        </w:rPr>
      </w:pPr>
      <w:bookmarkStart w:id="0" w:name="_GoBack"/>
      <w:bookmarkEnd w:id="0"/>
    </w:p>
    <w:sectPr w:rsidR="00B4563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20271"/>
    <w:multiLevelType w:val="singleLevel"/>
    <w:tmpl w:val="38104C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9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77A"/>
    <w:rsid w:val="0093277A"/>
    <w:rsid w:val="00B45633"/>
    <w:rsid w:val="00C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E04BD-F3E4-4699-B84B-175260D5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widowControl w:val="0"/>
      <w:ind w:firstLine="220"/>
      <w:outlineLvl w:val="0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lang w:val="uk-UA"/>
    </w:r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ind w:firstLine="426"/>
      <w:jc w:val="center"/>
      <w:outlineLvl w:val="0"/>
    </w:pPr>
    <w:rPr>
      <w:sz w:val="48"/>
      <w:szCs w:val="4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Особливості умовиводу за аналогією </vt:lpstr>
    </vt:vector>
  </TitlesOfParts>
  <Manager>Гуманітарні науки</Manager>
  <Company>Гуманітарні науки</Company>
  <LinksUpToDate>false</LinksUpToDate>
  <CharactersWithSpaces>8702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Особливості умовиводу за аналогією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2014-04-17T06:16:00Z</dcterms:created>
  <dcterms:modified xsi:type="dcterms:W3CDTF">2014-04-17T06:16:00Z</dcterms:modified>
  <cp:category>Гуманітарні науки</cp:category>
</cp:coreProperties>
</file>