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34B" w:rsidRPr="00CE4321" w:rsidRDefault="000E434B" w:rsidP="006C62DE">
      <w:pPr>
        <w:pStyle w:val="1"/>
        <w:spacing w:before="0" w:beforeAutospacing="0" w:after="0" w:afterAutospacing="0" w:line="360" w:lineRule="auto"/>
        <w:jc w:val="center"/>
        <w:rPr>
          <w:b w:val="0"/>
          <w:sz w:val="32"/>
          <w:szCs w:val="28"/>
        </w:rPr>
      </w:pPr>
      <w:bookmarkStart w:id="0" w:name="_Toc295816784"/>
      <w:bookmarkStart w:id="1" w:name="_Toc272765884"/>
      <w:r w:rsidRPr="00CE4321">
        <w:rPr>
          <w:b w:val="0"/>
          <w:sz w:val="32"/>
          <w:szCs w:val="28"/>
        </w:rPr>
        <w:t>С</w:t>
      </w:r>
      <w:bookmarkEnd w:id="0"/>
      <w:r w:rsidR="00CE4321">
        <w:rPr>
          <w:b w:val="0"/>
          <w:sz w:val="32"/>
          <w:szCs w:val="28"/>
        </w:rPr>
        <w:t>одержание</w:t>
      </w:r>
    </w:p>
    <w:p w:rsidR="000E434B" w:rsidRPr="000E434B" w:rsidRDefault="000E434B" w:rsidP="00CE4321">
      <w:pPr>
        <w:pStyle w:val="1"/>
        <w:spacing w:before="0" w:beforeAutospacing="0" w:after="0" w:afterAutospacing="0" w:line="360" w:lineRule="auto"/>
        <w:ind w:firstLine="709"/>
        <w:jc w:val="both"/>
        <w:rPr>
          <w:sz w:val="28"/>
          <w:szCs w:val="28"/>
        </w:rPr>
      </w:pPr>
    </w:p>
    <w:p w:rsidR="000E434B" w:rsidRPr="000E434B" w:rsidRDefault="000E434B" w:rsidP="00CE4321">
      <w:pPr>
        <w:pStyle w:val="11"/>
        <w:tabs>
          <w:tab w:val="right" w:leader="dot" w:pos="9345"/>
        </w:tabs>
        <w:spacing w:line="360" w:lineRule="auto"/>
        <w:jc w:val="both"/>
        <w:rPr>
          <w:rFonts w:ascii="Calibri" w:hAnsi="Calibri"/>
          <w:noProof/>
          <w:sz w:val="28"/>
          <w:szCs w:val="28"/>
        </w:rPr>
      </w:pPr>
      <w:r w:rsidRPr="000E434B">
        <w:rPr>
          <w:sz w:val="28"/>
          <w:szCs w:val="28"/>
        </w:rPr>
        <w:fldChar w:fldCharType="begin"/>
      </w:r>
      <w:r w:rsidRPr="000E434B">
        <w:rPr>
          <w:sz w:val="28"/>
          <w:szCs w:val="28"/>
        </w:rPr>
        <w:instrText xml:space="preserve"> TOC \o "1-3" \h \z \u </w:instrText>
      </w:r>
      <w:r w:rsidRPr="000E434B">
        <w:rPr>
          <w:sz w:val="28"/>
          <w:szCs w:val="28"/>
        </w:rPr>
        <w:fldChar w:fldCharType="separate"/>
      </w:r>
      <w:hyperlink w:anchor="_Toc295816785" w:history="1">
        <w:r w:rsidRPr="000E434B">
          <w:rPr>
            <w:rStyle w:val="a3"/>
            <w:noProof/>
            <w:sz w:val="28"/>
            <w:szCs w:val="28"/>
          </w:rPr>
          <w:t>Введение</w:t>
        </w:r>
        <w:r w:rsidRPr="000E434B">
          <w:rPr>
            <w:noProof/>
            <w:webHidden/>
            <w:sz w:val="28"/>
            <w:szCs w:val="28"/>
          </w:rPr>
          <w:tab/>
        </w:r>
        <w:r w:rsidRPr="000E434B">
          <w:rPr>
            <w:noProof/>
            <w:webHidden/>
            <w:sz w:val="28"/>
            <w:szCs w:val="28"/>
          </w:rPr>
          <w:fldChar w:fldCharType="begin"/>
        </w:r>
        <w:r w:rsidRPr="000E434B">
          <w:rPr>
            <w:noProof/>
            <w:webHidden/>
            <w:sz w:val="28"/>
            <w:szCs w:val="28"/>
          </w:rPr>
          <w:instrText xml:space="preserve"> PAGEREF _Toc295816785 \h </w:instrText>
        </w:r>
        <w:r w:rsidRPr="000E434B">
          <w:rPr>
            <w:noProof/>
            <w:webHidden/>
            <w:sz w:val="28"/>
            <w:szCs w:val="28"/>
          </w:rPr>
        </w:r>
        <w:r w:rsidRPr="000E434B">
          <w:rPr>
            <w:noProof/>
            <w:webHidden/>
            <w:sz w:val="28"/>
            <w:szCs w:val="28"/>
          </w:rPr>
          <w:fldChar w:fldCharType="separate"/>
        </w:r>
        <w:r w:rsidRPr="000E434B">
          <w:rPr>
            <w:noProof/>
            <w:webHidden/>
            <w:sz w:val="28"/>
            <w:szCs w:val="28"/>
          </w:rPr>
          <w:t>3</w:t>
        </w:r>
        <w:r w:rsidRPr="000E434B">
          <w:rPr>
            <w:noProof/>
            <w:webHidden/>
            <w:sz w:val="28"/>
            <w:szCs w:val="28"/>
          </w:rPr>
          <w:fldChar w:fldCharType="end"/>
        </w:r>
      </w:hyperlink>
    </w:p>
    <w:p w:rsidR="000E434B" w:rsidRPr="000E434B" w:rsidRDefault="00AA04E4" w:rsidP="00CE4321">
      <w:pPr>
        <w:pStyle w:val="11"/>
        <w:tabs>
          <w:tab w:val="right" w:leader="dot" w:pos="9345"/>
        </w:tabs>
        <w:spacing w:line="360" w:lineRule="auto"/>
        <w:jc w:val="both"/>
        <w:rPr>
          <w:rFonts w:ascii="Calibri" w:hAnsi="Calibri"/>
          <w:noProof/>
          <w:sz w:val="28"/>
          <w:szCs w:val="28"/>
        </w:rPr>
      </w:pPr>
      <w:hyperlink w:anchor="_Toc295816786" w:history="1">
        <w:r w:rsidR="000E434B" w:rsidRPr="000E434B">
          <w:rPr>
            <w:rStyle w:val="a3"/>
            <w:noProof/>
            <w:sz w:val="28"/>
            <w:szCs w:val="28"/>
          </w:rPr>
          <w:t>1. Теоретические основы функционирования Резервного фонда РФ</w:t>
        </w:r>
        <w:r w:rsidR="000E434B" w:rsidRPr="000E434B">
          <w:rPr>
            <w:noProof/>
            <w:webHidden/>
            <w:sz w:val="28"/>
            <w:szCs w:val="28"/>
          </w:rPr>
          <w:tab/>
        </w:r>
        <w:r w:rsidR="000E434B" w:rsidRPr="000E434B">
          <w:rPr>
            <w:noProof/>
            <w:webHidden/>
            <w:sz w:val="28"/>
            <w:szCs w:val="28"/>
          </w:rPr>
          <w:fldChar w:fldCharType="begin"/>
        </w:r>
        <w:r w:rsidR="000E434B" w:rsidRPr="000E434B">
          <w:rPr>
            <w:noProof/>
            <w:webHidden/>
            <w:sz w:val="28"/>
            <w:szCs w:val="28"/>
          </w:rPr>
          <w:instrText xml:space="preserve"> PAGEREF _Toc295816786 \h </w:instrText>
        </w:r>
        <w:r w:rsidR="000E434B" w:rsidRPr="000E434B">
          <w:rPr>
            <w:noProof/>
            <w:webHidden/>
            <w:sz w:val="28"/>
            <w:szCs w:val="28"/>
          </w:rPr>
        </w:r>
        <w:r w:rsidR="000E434B" w:rsidRPr="000E434B">
          <w:rPr>
            <w:noProof/>
            <w:webHidden/>
            <w:sz w:val="28"/>
            <w:szCs w:val="28"/>
          </w:rPr>
          <w:fldChar w:fldCharType="separate"/>
        </w:r>
        <w:r w:rsidR="000E434B" w:rsidRPr="000E434B">
          <w:rPr>
            <w:noProof/>
            <w:webHidden/>
            <w:sz w:val="28"/>
            <w:szCs w:val="28"/>
          </w:rPr>
          <w:t>5</w:t>
        </w:r>
        <w:r w:rsidR="000E434B" w:rsidRPr="000E434B">
          <w:rPr>
            <w:noProof/>
            <w:webHidden/>
            <w:sz w:val="28"/>
            <w:szCs w:val="28"/>
          </w:rPr>
          <w:fldChar w:fldCharType="end"/>
        </w:r>
      </w:hyperlink>
    </w:p>
    <w:p w:rsidR="000E434B" w:rsidRPr="000E434B" w:rsidRDefault="00AA04E4" w:rsidP="00CE4321">
      <w:pPr>
        <w:pStyle w:val="11"/>
        <w:tabs>
          <w:tab w:val="right" w:leader="dot" w:pos="9345"/>
        </w:tabs>
        <w:spacing w:line="360" w:lineRule="auto"/>
        <w:jc w:val="both"/>
        <w:rPr>
          <w:rFonts w:ascii="Calibri" w:hAnsi="Calibri"/>
          <w:noProof/>
          <w:sz w:val="28"/>
          <w:szCs w:val="28"/>
        </w:rPr>
      </w:pPr>
      <w:hyperlink w:anchor="_Toc295816787" w:history="1">
        <w:r w:rsidR="000E434B" w:rsidRPr="000E434B">
          <w:rPr>
            <w:rStyle w:val="a3"/>
            <w:noProof/>
            <w:sz w:val="28"/>
            <w:szCs w:val="28"/>
          </w:rPr>
          <w:t>2. Формирование и использование средств Резервного фонда</w:t>
        </w:r>
        <w:r w:rsidR="000E434B" w:rsidRPr="000E434B">
          <w:rPr>
            <w:noProof/>
            <w:webHidden/>
            <w:sz w:val="28"/>
            <w:szCs w:val="28"/>
          </w:rPr>
          <w:tab/>
        </w:r>
        <w:r w:rsidR="000E434B" w:rsidRPr="000E434B">
          <w:rPr>
            <w:noProof/>
            <w:webHidden/>
            <w:sz w:val="28"/>
            <w:szCs w:val="28"/>
          </w:rPr>
          <w:fldChar w:fldCharType="begin"/>
        </w:r>
        <w:r w:rsidR="000E434B" w:rsidRPr="000E434B">
          <w:rPr>
            <w:noProof/>
            <w:webHidden/>
            <w:sz w:val="28"/>
            <w:szCs w:val="28"/>
          </w:rPr>
          <w:instrText xml:space="preserve"> PAGEREF _Toc295816787 \h </w:instrText>
        </w:r>
        <w:r w:rsidR="000E434B" w:rsidRPr="000E434B">
          <w:rPr>
            <w:noProof/>
            <w:webHidden/>
            <w:sz w:val="28"/>
            <w:szCs w:val="28"/>
          </w:rPr>
        </w:r>
        <w:r w:rsidR="000E434B" w:rsidRPr="000E434B">
          <w:rPr>
            <w:noProof/>
            <w:webHidden/>
            <w:sz w:val="28"/>
            <w:szCs w:val="28"/>
          </w:rPr>
          <w:fldChar w:fldCharType="separate"/>
        </w:r>
        <w:r w:rsidR="000E434B" w:rsidRPr="000E434B">
          <w:rPr>
            <w:noProof/>
            <w:webHidden/>
            <w:sz w:val="28"/>
            <w:szCs w:val="28"/>
          </w:rPr>
          <w:t>14</w:t>
        </w:r>
        <w:r w:rsidR="000E434B" w:rsidRPr="000E434B">
          <w:rPr>
            <w:noProof/>
            <w:webHidden/>
            <w:sz w:val="28"/>
            <w:szCs w:val="28"/>
          </w:rPr>
          <w:fldChar w:fldCharType="end"/>
        </w:r>
      </w:hyperlink>
    </w:p>
    <w:p w:rsidR="000E434B" w:rsidRPr="000E434B" w:rsidRDefault="00AA04E4" w:rsidP="00CE4321">
      <w:pPr>
        <w:pStyle w:val="11"/>
        <w:tabs>
          <w:tab w:val="right" w:leader="dot" w:pos="9345"/>
        </w:tabs>
        <w:spacing w:line="360" w:lineRule="auto"/>
        <w:jc w:val="both"/>
        <w:rPr>
          <w:rFonts w:ascii="Calibri" w:hAnsi="Calibri"/>
          <w:noProof/>
          <w:sz w:val="28"/>
          <w:szCs w:val="28"/>
        </w:rPr>
      </w:pPr>
      <w:hyperlink w:anchor="_Toc295816788" w:history="1">
        <w:r w:rsidR="000E434B" w:rsidRPr="000E434B">
          <w:rPr>
            <w:rStyle w:val="a3"/>
            <w:noProof/>
            <w:sz w:val="28"/>
            <w:szCs w:val="28"/>
          </w:rPr>
          <w:t>3. Проблемы и перспективы развития Резервного фонда</w:t>
        </w:r>
        <w:r w:rsidR="000E434B" w:rsidRPr="000E434B">
          <w:rPr>
            <w:noProof/>
            <w:webHidden/>
            <w:sz w:val="28"/>
            <w:szCs w:val="28"/>
          </w:rPr>
          <w:tab/>
        </w:r>
        <w:r w:rsidR="000E434B" w:rsidRPr="000E434B">
          <w:rPr>
            <w:noProof/>
            <w:webHidden/>
            <w:sz w:val="28"/>
            <w:szCs w:val="28"/>
          </w:rPr>
          <w:fldChar w:fldCharType="begin"/>
        </w:r>
        <w:r w:rsidR="000E434B" w:rsidRPr="000E434B">
          <w:rPr>
            <w:noProof/>
            <w:webHidden/>
            <w:sz w:val="28"/>
            <w:szCs w:val="28"/>
          </w:rPr>
          <w:instrText xml:space="preserve"> PAGEREF _Toc295816788 \h </w:instrText>
        </w:r>
        <w:r w:rsidR="000E434B" w:rsidRPr="000E434B">
          <w:rPr>
            <w:noProof/>
            <w:webHidden/>
            <w:sz w:val="28"/>
            <w:szCs w:val="28"/>
          </w:rPr>
        </w:r>
        <w:r w:rsidR="000E434B" w:rsidRPr="000E434B">
          <w:rPr>
            <w:noProof/>
            <w:webHidden/>
            <w:sz w:val="28"/>
            <w:szCs w:val="28"/>
          </w:rPr>
          <w:fldChar w:fldCharType="separate"/>
        </w:r>
        <w:r w:rsidR="000E434B" w:rsidRPr="000E434B">
          <w:rPr>
            <w:noProof/>
            <w:webHidden/>
            <w:sz w:val="28"/>
            <w:szCs w:val="28"/>
          </w:rPr>
          <w:t>2</w:t>
        </w:r>
        <w:r w:rsidR="006C62DE">
          <w:rPr>
            <w:noProof/>
            <w:webHidden/>
            <w:sz w:val="28"/>
            <w:szCs w:val="28"/>
          </w:rPr>
          <w:t>5</w:t>
        </w:r>
        <w:r w:rsidR="000E434B" w:rsidRPr="000E434B">
          <w:rPr>
            <w:noProof/>
            <w:webHidden/>
            <w:sz w:val="28"/>
            <w:szCs w:val="28"/>
          </w:rPr>
          <w:fldChar w:fldCharType="end"/>
        </w:r>
      </w:hyperlink>
    </w:p>
    <w:p w:rsidR="000E434B" w:rsidRPr="000E434B" w:rsidRDefault="00AA04E4" w:rsidP="00CE4321">
      <w:pPr>
        <w:pStyle w:val="11"/>
        <w:tabs>
          <w:tab w:val="right" w:leader="dot" w:pos="9345"/>
        </w:tabs>
        <w:spacing w:line="360" w:lineRule="auto"/>
        <w:jc w:val="both"/>
        <w:rPr>
          <w:rFonts w:ascii="Calibri" w:hAnsi="Calibri"/>
          <w:noProof/>
          <w:sz w:val="28"/>
          <w:szCs w:val="28"/>
        </w:rPr>
      </w:pPr>
      <w:hyperlink w:anchor="_Toc295816789" w:history="1">
        <w:r w:rsidR="000E434B" w:rsidRPr="000E434B">
          <w:rPr>
            <w:rStyle w:val="a3"/>
            <w:noProof/>
            <w:sz w:val="28"/>
            <w:szCs w:val="28"/>
          </w:rPr>
          <w:t>Заключение</w:t>
        </w:r>
        <w:r w:rsidR="000E434B" w:rsidRPr="000E434B">
          <w:rPr>
            <w:noProof/>
            <w:webHidden/>
            <w:sz w:val="28"/>
            <w:szCs w:val="28"/>
          </w:rPr>
          <w:tab/>
        </w:r>
        <w:r w:rsidR="000E434B" w:rsidRPr="000E434B">
          <w:rPr>
            <w:noProof/>
            <w:webHidden/>
            <w:sz w:val="28"/>
            <w:szCs w:val="28"/>
          </w:rPr>
          <w:fldChar w:fldCharType="begin"/>
        </w:r>
        <w:r w:rsidR="000E434B" w:rsidRPr="000E434B">
          <w:rPr>
            <w:noProof/>
            <w:webHidden/>
            <w:sz w:val="28"/>
            <w:szCs w:val="28"/>
          </w:rPr>
          <w:instrText xml:space="preserve"> PAGEREF _Toc295816789 \h </w:instrText>
        </w:r>
        <w:r w:rsidR="000E434B" w:rsidRPr="000E434B">
          <w:rPr>
            <w:noProof/>
            <w:webHidden/>
            <w:sz w:val="28"/>
            <w:szCs w:val="28"/>
          </w:rPr>
        </w:r>
        <w:r w:rsidR="000E434B" w:rsidRPr="000E434B">
          <w:rPr>
            <w:noProof/>
            <w:webHidden/>
            <w:sz w:val="28"/>
            <w:szCs w:val="28"/>
          </w:rPr>
          <w:fldChar w:fldCharType="separate"/>
        </w:r>
        <w:r w:rsidR="000E434B" w:rsidRPr="000E434B">
          <w:rPr>
            <w:noProof/>
            <w:webHidden/>
            <w:sz w:val="28"/>
            <w:szCs w:val="28"/>
          </w:rPr>
          <w:t>3</w:t>
        </w:r>
        <w:r w:rsidR="006C62DE">
          <w:rPr>
            <w:noProof/>
            <w:webHidden/>
            <w:sz w:val="28"/>
            <w:szCs w:val="28"/>
          </w:rPr>
          <w:t>3</w:t>
        </w:r>
        <w:r w:rsidR="000E434B" w:rsidRPr="000E434B">
          <w:rPr>
            <w:noProof/>
            <w:webHidden/>
            <w:sz w:val="28"/>
            <w:szCs w:val="28"/>
          </w:rPr>
          <w:fldChar w:fldCharType="end"/>
        </w:r>
      </w:hyperlink>
    </w:p>
    <w:p w:rsidR="000E434B" w:rsidRPr="000E434B" w:rsidRDefault="00AA04E4" w:rsidP="00CE4321">
      <w:pPr>
        <w:pStyle w:val="11"/>
        <w:tabs>
          <w:tab w:val="right" w:leader="dot" w:pos="9345"/>
        </w:tabs>
        <w:spacing w:line="360" w:lineRule="auto"/>
        <w:jc w:val="both"/>
        <w:rPr>
          <w:rFonts w:ascii="Calibri" w:hAnsi="Calibri"/>
          <w:noProof/>
          <w:sz w:val="28"/>
          <w:szCs w:val="28"/>
        </w:rPr>
      </w:pPr>
      <w:hyperlink w:anchor="_Toc295816790" w:history="1">
        <w:r w:rsidR="000E434B" w:rsidRPr="000E434B">
          <w:rPr>
            <w:rStyle w:val="a3"/>
            <w:noProof/>
            <w:sz w:val="28"/>
            <w:szCs w:val="28"/>
          </w:rPr>
          <w:t>Список использованной литературы</w:t>
        </w:r>
        <w:r w:rsidR="000E434B" w:rsidRPr="000E434B">
          <w:rPr>
            <w:noProof/>
            <w:webHidden/>
            <w:sz w:val="28"/>
            <w:szCs w:val="28"/>
          </w:rPr>
          <w:tab/>
        </w:r>
        <w:r w:rsidR="000E434B" w:rsidRPr="000E434B">
          <w:rPr>
            <w:noProof/>
            <w:webHidden/>
            <w:sz w:val="28"/>
            <w:szCs w:val="28"/>
          </w:rPr>
          <w:fldChar w:fldCharType="begin"/>
        </w:r>
        <w:r w:rsidR="000E434B" w:rsidRPr="000E434B">
          <w:rPr>
            <w:noProof/>
            <w:webHidden/>
            <w:sz w:val="28"/>
            <w:szCs w:val="28"/>
          </w:rPr>
          <w:instrText xml:space="preserve"> PAGEREF _Toc295816790 \h </w:instrText>
        </w:r>
        <w:r w:rsidR="000E434B" w:rsidRPr="000E434B">
          <w:rPr>
            <w:noProof/>
            <w:webHidden/>
            <w:sz w:val="28"/>
            <w:szCs w:val="28"/>
          </w:rPr>
        </w:r>
        <w:r w:rsidR="000E434B" w:rsidRPr="000E434B">
          <w:rPr>
            <w:noProof/>
            <w:webHidden/>
            <w:sz w:val="28"/>
            <w:szCs w:val="28"/>
          </w:rPr>
          <w:fldChar w:fldCharType="separate"/>
        </w:r>
        <w:r w:rsidR="000E434B" w:rsidRPr="000E434B">
          <w:rPr>
            <w:noProof/>
            <w:webHidden/>
            <w:sz w:val="28"/>
            <w:szCs w:val="28"/>
          </w:rPr>
          <w:t>3</w:t>
        </w:r>
        <w:r w:rsidR="006C62DE">
          <w:rPr>
            <w:noProof/>
            <w:webHidden/>
            <w:sz w:val="28"/>
            <w:szCs w:val="28"/>
          </w:rPr>
          <w:t>4</w:t>
        </w:r>
        <w:r w:rsidR="000E434B" w:rsidRPr="000E434B">
          <w:rPr>
            <w:noProof/>
            <w:webHidden/>
            <w:sz w:val="28"/>
            <w:szCs w:val="28"/>
          </w:rPr>
          <w:fldChar w:fldCharType="end"/>
        </w:r>
      </w:hyperlink>
    </w:p>
    <w:p w:rsidR="00D9666F" w:rsidRPr="00CE4321" w:rsidRDefault="000E434B" w:rsidP="00CE4321">
      <w:pPr>
        <w:pStyle w:val="1"/>
        <w:spacing w:before="0" w:beforeAutospacing="0" w:after="0" w:afterAutospacing="0" w:line="360" w:lineRule="auto"/>
        <w:jc w:val="both"/>
        <w:rPr>
          <w:b w:val="0"/>
          <w:sz w:val="32"/>
          <w:szCs w:val="28"/>
        </w:rPr>
      </w:pPr>
      <w:r w:rsidRPr="000E434B">
        <w:rPr>
          <w:sz w:val="28"/>
          <w:szCs w:val="28"/>
        </w:rPr>
        <w:fldChar w:fldCharType="end"/>
      </w:r>
      <w:r w:rsidRPr="000E434B">
        <w:rPr>
          <w:sz w:val="28"/>
          <w:szCs w:val="28"/>
        </w:rPr>
        <w:br w:type="page"/>
      </w:r>
      <w:bookmarkStart w:id="2" w:name="_Toc295816785"/>
      <w:r w:rsidR="00D9666F" w:rsidRPr="00CE4321">
        <w:rPr>
          <w:b w:val="0"/>
          <w:sz w:val="32"/>
          <w:szCs w:val="28"/>
        </w:rPr>
        <w:t>В</w:t>
      </w:r>
      <w:bookmarkEnd w:id="1"/>
      <w:bookmarkEnd w:id="2"/>
      <w:r w:rsidR="00CE4321">
        <w:rPr>
          <w:b w:val="0"/>
          <w:sz w:val="32"/>
          <w:szCs w:val="28"/>
        </w:rPr>
        <w:t>ВЕДЕНИЕ</w:t>
      </w:r>
    </w:p>
    <w:p w:rsidR="00D9666F" w:rsidRPr="000E434B" w:rsidRDefault="00D9666F" w:rsidP="00CE4321">
      <w:pPr>
        <w:pStyle w:val="1"/>
        <w:spacing w:before="0" w:beforeAutospacing="0" w:after="0" w:afterAutospacing="0" w:line="360" w:lineRule="auto"/>
        <w:ind w:firstLine="709"/>
        <w:jc w:val="both"/>
        <w:rPr>
          <w:sz w:val="28"/>
          <w:szCs w:val="28"/>
        </w:rPr>
      </w:pPr>
    </w:p>
    <w:p w:rsidR="00AC41B4" w:rsidRPr="000E434B" w:rsidRDefault="00AC41B4" w:rsidP="00CE4321">
      <w:pPr>
        <w:autoSpaceDE w:val="0"/>
        <w:autoSpaceDN w:val="0"/>
        <w:adjustRightInd w:val="0"/>
        <w:spacing w:line="360" w:lineRule="auto"/>
        <w:ind w:firstLine="709"/>
        <w:jc w:val="both"/>
        <w:rPr>
          <w:sz w:val="28"/>
          <w:szCs w:val="28"/>
        </w:rPr>
      </w:pPr>
      <w:r w:rsidRPr="000E434B">
        <w:rPr>
          <w:sz w:val="28"/>
          <w:szCs w:val="28"/>
        </w:rPr>
        <w:t xml:space="preserve">Стабилизационный фонд Российской Федерации </w:t>
      </w:r>
      <w:r w:rsidR="00C839E4" w:rsidRPr="000E434B">
        <w:rPr>
          <w:sz w:val="28"/>
          <w:szCs w:val="28"/>
        </w:rPr>
        <w:t xml:space="preserve">– </w:t>
      </w:r>
      <w:r w:rsidRPr="000E434B">
        <w:rPr>
          <w:sz w:val="28"/>
          <w:szCs w:val="28"/>
        </w:rPr>
        <w:t>это часть средств федерального бюджета, образующаяся за счет превышения цены на нефть над базовой ценой на нефть, подлежащая обособленному использованию в целях обеспечения сбалансированности федерального бюджета при снижении цены на нефть ниже базовой.</w:t>
      </w:r>
    </w:p>
    <w:p w:rsidR="00AC41B4" w:rsidRPr="000E434B" w:rsidRDefault="00AC41B4" w:rsidP="00CE4321">
      <w:pPr>
        <w:autoSpaceDE w:val="0"/>
        <w:autoSpaceDN w:val="0"/>
        <w:adjustRightInd w:val="0"/>
        <w:spacing w:line="360" w:lineRule="auto"/>
        <w:ind w:firstLine="709"/>
        <w:jc w:val="both"/>
        <w:rPr>
          <w:sz w:val="28"/>
          <w:szCs w:val="28"/>
        </w:rPr>
      </w:pPr>
      <w:r w:rsidRPr="000E434B">
        <w:rPr>
          <w:sz w:val="28"/>
          <w:szCs w:val="28"/>
        </w:rPr>
        <w:t>Тема актуальна, поскольку д</w:t>
      </w:r>
      <w:r w:rsidR="005058A5" w:rsidRPr="000E434B">
        <w:rPr>
          <w:sz w:val="28"/>
          <w:szCs w:val="28"/>
        </w:rPr>
        <w:t xml:space="preserve">искуссия о том, как использовать </w:t>
      </w:r>
      <w:r w:rsidR="002C6BAA" w:rsidRPr="000E434B">
        <w:rPr>
          <w:sz w:val="28"/>
          <w:szCs w:val="28"/>
        </w:rPr>
        <w:t xml:space="preserve">Резервный </w:t>
      </w:r>
      <w:r w:rsidR="005058A5" w:rsidRPr="000E434B">
        <w:rPr>
          <w:sz w:val="28"/>
          <w:szCs w:val="28"/>
        </w:rPr>
        <w:t>фонд РФ (объем которого в настоящее время составляет около 2,5 трлн. руб.), приобрела всенародный характер.</w:t>
      </w:r>
    </w:p>
    <w:p w:rsidR="00AC41B4" w:rsidRPr="000E434B" w:rsidRDefault="005058A5" w:rsidP="00CE4321">
      <w:pPr>
        <w:autoSpaceDE w:val="0"/>
        <w:autoSpaceDN w:val="0"/>
        <w:adjustRightInd w:val="0"/>
        <w:spacing w:line="360" w:lineRule="auto"/>
        <w:ind w:firstLine="709"/>
        <w:jc w:val="both"/>
        <w:rPr>
          <w:sz w:val="28"/>
          <w:szCs w:val="28"/>
        </w:rPr>
      </w:pPr>
      <w:r w:rsidRPr="000E434B">
        <w:rPr>
          <w:sz w:val="28"/>
          <w:szCs w:val="28"/>
        </w:rPr>
        <w:t>В обсуждении участвуют не только чиновники, эксперты, политики и журналисты, но</w:t>
      </w:r>
      <w:r w:rsidR="00AC41B4" w:rsidRPr="000E434B">
        <w:rPr>
          <w:sz w:val="28"/>
          <w:szCs w:val="28"/>
        </w:rPr>
        <w:t xml:space="preserve"> и самые широкие слои населения.</w:t>
      </w:r>
    </w:p>
    <w:p w:rsidR="005058A5" w:rsidRPr="000E434B" w:rsidRDefault="005058A5" w:rsidP="00CE4321">
      <w:pPr>
        <w:autoSpaceDE w:val="0"/>
        <w:autoSpaceDN w:val="0"/>
        <w:adjustRightInd w:val="0"/>
        <w:spacing w:line="360" w:lineRule="auto"/>
        <w:ind w:firstLine="709"/>
        <w:jc w:val="both"/>
        <w:rPr>
          <w:sz w:val="28"/>
          <w:szCs w:val="28"/>
        </w:rPr>
      </w:pPr>
      <w:r w:rsidRPr="000E434B">
        <w:rPr>
          <w:sz w:val="28"/>
          <w:szCs w:val="28"/>
        </w:rPr>
        <w:t>В июне 200</w:t>
      </w:r>
      <w:r w:rsidR="00AC41B4" w:rsidRPr="000E434B">
        <w:rPr>
          <w:sz w:val="28"/>
          <w:szCs w:val="28"/>
        </w:rPr>
        <w:t>9</w:t>
      </w:r>
      <w:r w:rsidR="00C839E4" w:rsidRPr="000E434B">
        <w:rPr>
          <w:sz w:val="28"/>
          <w:szCs w:val="28"/>
        </w:rPr>
        <w:t> г</w:t>
      </w:r>
      <w:r w:rsidRPr="000E434B">
        <w:rPr>
          <w:sz w:val="28"/>
          <w:szCs w:val="28"/>
        </w:rPr>
        <w:t>. Всероссийский центр изучения общественного мнения (ВЦИОМ) провел опрос, в ходе которого выяснилось, что почти 9</w:t>
      </w:r>
      <w:r w:rsidR="00C839E4" w:rsidRPr="000E434B">
        <w:rPr>
          <w:sz w:val="28"/>
          <w:szCs w:val="28"/>
        </w:rPr>
        <w:t>0%</w:t>
      </w:r>
      <w:r w:rsidRPr="000E434B">
        <w:rPr>
          <w:sz w:val="28"/>
          <w:szCs w:val="28"/>
        </w:rPr>
        <w:t xml:space="preserve"> россиян предлагают израсходовать средства Стабилизационного фонда. Только </w:t>
      </w:r>
      <w:r w:rsidR="00C839E4" w:rsidRPr="000E434B">
        <w:rPr>
          <w:sz w:val="28"/>
          <w:szCs w:val="28"/>
        </w:rPr>
        <w:t>5%</w:t>
      </w:r>
      <w:r w:rsidRPr="000E434B">
        <w:rPr>
          <w:sz w:val="28"/>
          <w:szCs w:val="28"/>
        </w:rPr>
        <w:t xml:space="preserve"> опрошенных уверены, что средства Стабилизационного фонда расходовать нельзя. Направить средства </w:t>
      </w:r>
      <w:r w:rsidR="002C6BAA" w:rsidRPr="000E434B">
        <w:rPr>
          <w:sz w:val="28"/>
          <w:szCs w:val="28"/>
        </w:rPr>
        <w:t>Фонд</w:t>
      </w:r>
      <w:r w:rsidRPr="000E434B">
        <w:rPr>
          <w:sz w:val="28"/>
          <w:szCs w:val="28"/>
        </w:rPr>
        <w:t>а на реформу здравоохранения предлагают 3</w:t>
      </w:r>
      <w:r w:rsidR="00C839E4" w:rsidRPr="000E434B">
        <w:rPr>
          <w:sz w:val="28"/>
          <w:szCs w:val="28"/>
        </w:rPr>
        <w:t>2%</w:t>
      </w:r>
      <w:r w:rsidRPr="000E434B">
        <w:rPr>
          <w:sz w:val="28"/>
          <w:szCs w:val="28"/>
        </w:rPr>
        <w:t xml:space="preserve"> опрошенных, на повышение пенсий </w:t>
      </w:r>
      <w:r w:rsidR="00C839E4" w:rsidRPr="000E434B">
        <w:rPr>
          <w:sz w:val="28"/>
          <w:szCs w:val="28"/>
        </w:rPr>
        <w:t xml:space="preserve">– </w:t>
      </w:r>
      <w:r w:rsidRPr="000E434B">
        <w:rPr>
          <w:sz w:val="28"/>
          <w:szCs w:val="28"/>
        </w:rPr>
        <w:t>2</w:t>
      </w:r>
      <w:r w:rsidR="00C839E4" w:rsidRPr="000E434B">
        <w:rPr>
          <w:sz w:val="28"/>
          <w:szCs w:val="28"/>
        </w:rPr>
        <w:t>8%</w:t>
      </w:r>
      <w:r w:rsidRPr="000E434B">
        <w:rPr>
          <w:sz w:val="28"/>
          <w:szCs w:val="28"/>
        </w:rPr>
        <w:t xml:space="preserve">, на повышение зарплаты бюджетников </w:t>
      </w:r>
      <w:r w:rsidR="00C839E4" w:rsidRPr="000E434B">
        <w:rPr>
          <w:sz w:val="28"/>
          <w:szCs w:val="28"/>
        </w:rPr>
        <w:t xml:space="preserve">– </w:t>
      </w:r>
      <w:r w:rsidRPr="000E434B">
        <w:rPr>
          <w:sz w:val="28"/>
          <w:szCs w:val="28"/>
        </w:rPr>
        <w:t>2</w:t>
      </w:r>
      <w:r w:rsidR="00C839E4" w:rsidRPr="000E434B">
        <w:rPr>
          <w:sz w:val="28"/>
          <w:szCs w:val="28"/>
        </w:rPr>
        <w:t>6%</w:t>
      </w:r>
      <w:r w:rsidRPr="000E434B">
        <w:rPr>
          <w:sz w:val="28"/>
          <w:szCs w:val="28"/>
        </w:rPr>
        <w:t xml:space="preserve">, на реформу образования </w:t>
      </w:r>
      <w:r w:rsidR="00C839E4" w:rsidRPr="000E434B">
        <w:rPr>
          <w:sz w:val="28"/>
          <w:szCs w:val="28"/>
        </w:rPr>
        <w:t xml:space="preserve">– </w:t>
      </w:r>
      <w:r w:rsidRPr="000E434B">
        <w:rPr>
          <w:sz w:val="28"/>
          <w:szCs w:val="28"/>
        </w:rPr>
        <w:t>1</w:t>
      </w:r>
      <w:r w:rsidR="00C839E4" w:rsidRPr="000E434B">
        <w:rPr>
          <w:sz w:val="28"/>
          <w:szCs w:val="28"/>
        </w:rPr>
        <w:t>9%</w:t>
      </w:r>
      <w:r w:rsidRPr="000E434B">
        <w:rPr>
          <w:sz w:val="28"/>
          <w:szCs w:val="28"/>
        </w:rPr>
        <w:t xml:space="preserve">, на повышение других социальных выплат (инвалидам, сиротам) </w:t>
      </w:r>
      <w:r w:rsidR="00C839E4" w:rsidRPr="000E434B">
        <w:rPr>
          <w:sz w:val="28"/>
          <w:szCs w:val="28"/>
        </w:rPr>
        <w:t xml:space="preserve">– </w:t>
      </w:r>
      <w:r w:rsidRPr="000E434B">
        <w:rPr>
          <w:sz w:val="28"/>
          <w:szCs w:val="28"/>
        </w:rPr>
        <w:t>1</w:t>
      </w:r>
      <w:r w:rsidR="00C839E4" w:rsidRPr="000E434B">
        <w:rPr>
          <w:sz w:val="28"/>
          <w:szCs w:val="28"/>
        </w:rPr>
        <w:t>5%.</w:t>
      </w:r>
    </w:p>
    <w:p w:rsidR="00AC41B4" w:rsidRPr="000E434B" w:rsidRDefault="005058A5" w:rsidP="00CE4321">
      <w:pPr>
        <w:autoSpaceDE w:val="0"/>
        <w:autoSpaceDN w:val="0"/>
        <w:adjustRightInd w:val="0"/>
        <w:spacing w:line="360" w:lineRule="auto"/>
        <w:ind w:firstLine="709"/>
        <w:jc w:val="both"/>
        <w:rPr>
          <w:sz w:val="28"/>
          <w:szCs w:val="28"/>
        </w:rPr>
      </w:pPr>
      <w:r w:rsidRPr="000E434B">
        <w:rPr>
          <w:sz w:val="28"/>
          <w:szCs w:val="28"/>
        </w:rPr>
        <w:t xml:space="preserve">Настроение российских граждан можно понять. В сложившейся ситуации нельзя не согласиться с достаточно одиозным и популистским высказыванием </w:t>
      </w:r>
      <w:r w:rsidR="00C839E4" w:rsidRPr="000E434B">
        <w:rPr>
          <w:sz w:val="28"/>
          <w:szCs w:val="28"/>
        </w:rPr>
        <w:t>С. Глазьева</w:t>
      </w:r>
      <w:r w:rsidRPr="000E434B">
        <w:rPr>
          <w:sz w:val="28"/>
          <w:szCs w:val="28"/>
        </w:rPr>
        <w:t xml:space="preserve">, что </w:t>
      </w:r>
      <w:r w:rsidR="00C839E4" w:rsidRPr="000E434B">
        <w:rPr>
          <w:sz w:val="28"/>
          <w:szCs w:val="28"/>
        </w:rPr>
        <w:t>«а</w:t>
      </w:r>
      <w:r w:rsidRPr="000E434B">
        <w:rPr>
          <w:sz w:val="28"/>
          <w:szCs w:val="28"/>
        </w:rPr>
        <w:t>бсурдной и просто аморальной является политика Правительства по замораживанию сотен миллиардов рублей в Стабилизационном фонде на фоне нищенской зарплаты работников бюджетной сферы, катастрофического недофинансирования расходов на образование, науку и здравоохранение, разложения пораженной коррупцией правоохранительной системы и других язв бедного</w:t>
      </w:r>
      <w:r w:rsidR="00AC41B4" w:rsidRPr="000E434B">
        <w:rPr>
          <w:sz w:val="28"/>
          <w:szCs w:val="28"/>
        </w:rPr>
        <w:t xml:space="preserve"> и беспомощного государства</w:t>
      </w:r>
      <w:r w:rsidR="00C839E4" w:rsidRPr="000E434B">
        <w:rPr>
          <w:sz w:val="28"/>
          <w:szCs w:val="28"/>
        </w:rPr>
        <w:t>».</w:t>
      </w:r>
    </w:p>
    <w:p w:rsidR="005058A5" w:rsidRPr="000E434B" w:rsidRDefault="005058A5" w:rsidP="00CE4321">
      <w:pPr>
        <w:autoSpaceDE w:val="0"/>
        <w:autoSpaceDN w:val="0"/>
        <w:adjustRightInd w:val="0"/>
        <w:spacing w:line="360" w:lineRule="auto"/>
        <w:ind w:firstLine="709"/>
        <w:jc w:val="both"/>
        <w:rPr>
          <w:sz w:val="28"/>
          <w:szCs w:val="28"/>
        </w:rPr>
      </w:pPr>
      <w:r w:rsidRPr="000E434B">
        <w:rPr>
          <w:sz w:val="28"/>
          <w:szCs w:val="28"/>
        </w:rPr>
        <w:t xml:space="preserve">Здесь неуместно вступать в дискуссию о том, можно ли считать Россию </w:t>
      </w:r>
      <w:r w:rsidR="00C839E4" w:rsidRPr="000E434B">
        <w:rPr>
          <w:sz w:val="28"/>
          <w:szCs w:val="28"/>
        </w:rPr>
        <w:t>«б</w:t>
      </w:r>
      <w:r w:rsidRPr="000E434B">
        <w:rPr>
          <w:sz w:val="28"/>
          <w:szCs w:val="28"/>
        </w:rPr>
        <w:t>едным и беспомощным государством</w:t>
      </w:r>
      <w:r w:rsidR="00C839E4" w:rsidRPr="000E434B">
        <w:rPr>
          <w:sz w:val="28"/>
          <w:szCs w:val="28"/>
        </w:rPr>
        <w:t xml:space="preserve">» </w:t>
      </w:r>
      <w:r w:rsidRPr="000E434B">
        <w:rPr>
          <w:sz w:val="28"/>
          <w:szCs w:val="28"/>
        </w:rPr>
        <w:t>(такие слова, высказанные народным избранником, представляют собой прямое оскорбление и России, и всег</w:t>
      </w:r>
      <w:r w:rsidR="00AC41B4" w:rsidRPr="000E434B">
        <w:rPr>
          <w:sz w:val="28"/>
          <w:szCs w:val="28"/>
        </w:rPr>
        <w:t>о русского народа</w:t>
      </w:r>
      <w:r w:rsidRPr="000E434B">
        <w:rPr>
          <w:sz w:val="28"/>
          <w:szCs w:val="28"/>
        </w:rPr>
        <w:t xml:space="preserve">, однако наш Стабилизационный фонд действительно </w:t>
      </w:r>
      <w:r w:rsidR="00C839E4" w:rsidRPr="000E434B">
        <w:rPr>
          <w:sz w:val="28"/>
          <w:szCs w:val="28"/>
        </w:rPr>
        <w:t>«б</w:t>
      </w:r>
      <w:r w:rsidRPr="000E434B">
        <w:rPr>
          <w:sz w:val="28"/>
          <w:szCs w:val="28"/>
        </w:rPr>
        <w:t xml:space="preserve">ольше напоминает огромную </w:t>
      </w:r>
      <w:r w:rsidR="00C839E4" w:rsidRPr="000E434B">
        <w:rPr>
          <w:sz w:val="28"/>
          <w:szCs w:val="28"/>
        </w:rPr>
        <w:t>«з</w:t>
      </w:r>
      <w:r w:rsidRPr="000E434B">
        <w:rPr>
          <w:sz w:val="28"/>
          <w:szCs w:val="28"/>
        </w:rPr>
        <w:t>аначку</w:t>
      </w:r>
      <w:r w:rsidR="00C839E4" w:rsidRPr="000E434B">
        <w:rPr>
          <w:sz w:val="28"/>
          <w:szCs w:val="28"/>
        </w:rPr>
        <w:t>»,</w:t>
      </w:r>
      <w:r w:rsidRPr="000E434B">
        <w:rPr>
          <w:sz w:val="28"/>
          <w:szCs w:val="28"/>
        </w:rPr>
        <w:t xml:space="preserve"> лежащую мертвым грузом</w:t>
      </w:r>
      <w:r w:rsidR="00C839E4" w:rsidRPr="000E434B">
        <w:rPr>
          <w:sz w:val="28"/>
          <w:szCs w:val="28"/>
        </w:rPr>
        <w:t>»,</w:t>
      </w:r>
      <w:r w:rsidRPr="000E434B">
        <w:rPr>
          <w:sz w:val="28"/>
          <w:szCs w:val="28"/>
        </w:rPr>
        <w:t xml:space="preserve"> и не является инструментом развития экономики, которым должен быть</w:t>
      </w:r>
      <w:r w:rsidR="00AC41B4" w:rsidRPr="000E434B">
        <w:rPr>
          <w:sz w:val="28"/>
          <w:szCs w:val="28"/>
        </w:rPr>
        <w:t>.</w:t>
      </w:r>
    </w:p>
    <w:p w:rsidR="00AC41B4" w:rsidRPr="000E434B" w:rsidRDefault="00AC41B4" w:rsidP="00CE4321">
      <w:pPr>
        <w:autoSpaceDE w:val="0"/>
        <w:autoSpaceDN w:val="0"/>
        <w:adjustRightInd w:val="0"/>
        <w:spacing w:line="360" w:lineRule="auto"/>
        <w:ind w:firstLine="709"/>
        <w:jc w:val="both"/>
        <w:rPr>
          <w:rStyle w:val="HTML"/>
          <w:rFonts w:ascii="Times New Roman" w:hAnsi="Times New Roman" w:cs="Times New Roman"/>
          <w:sz w:val="28"/>
          <w:szCs w:val="28"/>
        </w:rPr>
      </w:pPr>
      <w:r w:rsidRPr="000E434B">
        <w:rPr>
          <w:sz w:val="28"/>
          <w:szCs w:val="28"/>
        </w:rPr>
        <w:t xml:space="preserve">Таким образом, цель настоящей работы – изучение </w:t>
      </w:r>
      <w:r w:rsidR="002C6BAA" w:rsidRPr="000E434B">
        <w:rPr>
          <w:rStyle w:val="HTML"/>
          <w:rFonts w:ascii="Times New Roman" w:hAnsi="Times New Roman" w:cs="Times New Roman"/>
          <w:sz w:val="28"/>
          <w:szCs w:val="28"/>
        </w:rPr>
        <w:t xml:space="preserve">Резервного </w:t>
      </w:r>
      <w:r w:rsidRPr="000E434B">
        <w:rPr>
          <w:rStyle w:val="HTML"/>
          <w:rFonts w:ascii="Times New Roman" w:hAnsi="Times New Roman" w:cs="Times New Roman"/>
          <w:sz w:val="28"/>
          <w:szCs w:val="28"/>
        </w:rPr>
        <w:t>фонда и его роли для экономики России.</w:t>
      </w:r>
    </w:p>
    <w:p w:rsidR="00AC41B4" w:rsidRPr="000E434B" w:rsidRDefault="00AC41B4" w:rsidP="00CE4321">
      <w:pPr>
        <w:autoSpaceDE w:val="0"/>
        <w:autoSpaceDN w:val="0"/>
        <w:adjustRightInd w:val="0"/>
        <w:spacing w:line="360" w:lineRule="auto"/>
        <w:ind w:firstLine="709"/>
        <w:jc w:val="both"/>
        <w:rPr>
          <w:rStyle w:val="HTML"/>
          <w:rFonts w:ascii="Times New Roman" w:hAnsi="Times New Roman" w:cs="Times New Roman"/>
          <w:sz w:val="28"/>
          <w:szCs w:val="28"/>
        </w:rPr>
      </w:pPr>
      <w:r w:rsidRPr="000E434B">
        <w:rPr>
          <w:rStyle w:val="HTML"/>
          <w:rFonts w:ascii="Times New Roman" w:hAnsi="Times New Roman" w:cs="Times New Roman"/>
          <w:sz w:val="28"/>
          <w:szCs w:val="28"/>
        </w:rPr>
        <w:t>Задачами работы являются:</w:t>
      </w:r>
    </w:p>
    <w:p w:rsidR="00AC41B4" w:rsidRPr="000E434B" w:rsidRDefault="00AC41B4" w:rsidP="00CE4321">
      <w:pPr>
        <w:numPr>
          <w:ilvl w:val="0"/>
          <w:numId w:val="18"/>
        </w:numPr>
        <w:autoSpaceDE w:val="0"/>
        <w:autoSpaceDN w:val="0"/>
        <w:adjustRightInd w:val="0"/>
        <w:spacing w:line="360" w:lineRule="auto"/>
        <w:ind w:left="0" w:firstLine="709"/>
        <w:jc w:val="both"/>
        <w:rPr>
          <w:sz w:val="28"/>
          <w:szCs w:val="28"/>
        </w:rPr>
      </w:pPr>
      <w:r w:rsidRPr="000E434B">
        <w:rPr>
          <w:sz w:val="28"/>
          <w:szCs w:val="28"/>
        </w:rPr>
        <w:t xml:space="preserve">Изучить </w:t>
      </w:r>
      <w:r w:rsidR="002C6BAA" w:rsidRPr="000E434B">
        <w:rPr>
          <w:sz w:val="28"/>
          <w:szCs w:val="28"/>
        </w:rPr>
        <w:t>Резервный</w:t>
      </w:r>
      <w:r w:rsidRPr="000E434B">
        <w:rPr>
          <w:sz w:val="28"/>
          <w:szCs w:val="28"/>
        </w:rPr>
        <w:t xml:space="preserve"> фонд Российской Федерации – сущность и необходимость образования;</w:t>
      </w:r>
    </w:p>
    <w:p w:rsidR="00AC41B4" w:rsidRPr="000E434B" w:rsidRDefault="00AC41B4" w:rsidP="00CE4321">
      <w:pPr>
        <w:numPr>
          <w:ilvl w:val="0"/>
          <w:numId w:val="18"/>
        </w:numPr>
        <w:autoSpaceDE w:val="0"/>
        <w:autoSpaceDN w:val="0"/>
        <w:adjustRightInd w:val="0"/>
        <w:spacing w:line="360" w:lineRule="auto"/>
        <w:ind w:left="0" w:firstLine="709"/>
        <w:jc w:val="both"/>
        <w:rPr>
          <w:sz w:val="28"/>
          <w:szCs w:val="28"/>
        </w:rPr>
      </w:pPr>
      <w:r w:rsidRPr="000E434B">
        <w:rPr>
          <w:sz w:val="28"/>
          <w:szCs w:val="28"/>
        </w:rPr>
        <w:t>Рассмотреть управление средствами и правила инвестирования средств Фонда;</w:t>
      </w:r>
    </w:p>
    <w:p w:rsidR="00AC41B4" w:rsidRPr="000E434B" w:rsidRDefault="00AC41B4" w:rsidP="00CE4321">
      <w:pPr>
        <w:numPr>
          <w:ilvl w:val="0"/>
          <w:numId w:val="18"/>
        </w:numPr>
        <w:autoSpaceDE w:val="0"/>
        <w:autoSpaceDN w:val="0"/>
        <w:adjustRightInd w:val="0"/>
        <w:spacing w:line="360" w:lineRule="auto"/>
        <w:ind w:left="0" w:firstLine="709"/>
        <w:jc w:val="both"/>
        <w:rPr>
          <w:sz w:val="28"/>
          <w:szCs w:val="28"/>
        </w:rPr>
      </w:pPr>
      <w:r w:rsidRPr="000E434B">
        <w:rPr>
          <w:sz w:val="28"/>
          <w:szCs w:val="28"/>
        </w:rPr>
        <w:t xml:space="preserve">Проанализировать проблемы выбора модели функционирования </w:t>
      </w:r>
      <w:r w:rsidR="002C6BAA" w:rsidRPr="000E434B">
        <w:rPr>
          <w:sz w:val="28"/>
          <w:szCs w:val="28"/>
        </w:rPr>
        <w:t>Резервного</w:t>
      </w:r>
      <w:r w:rsidRPr="000E434B">
        <w:rPr>
          <w:sz w:val="28"/>
          <w:szCs w:val="28"/>
        </w:rPr>
        <w:t xml:space="preserve"> фонда;</w:t>
      </w:r>
    </w:p>
    <w:p w:rsidR="00AC41B4" w:rsidRPr="000E434B" w:rsidRDefault="00AC41B4" w:rsidP="00CE4321">
      <w:pPr>
        <w:numPr>
          <w:ilvl w:val="0"/>
          <w:numId w:val="18"/>
        </w:numPr>
        <w:autoSpaceDE w:val="0"/>
        <w:autoSpaceDN w:val="0"/>
        <w:adjustRightInd w:val="0"/>
        <w:spacing w:line="360" w:lineRule="auto"/>
        <w:ind w:left="0" w:firstLine="709"/>
        <w:jc w:val="both"/>
        <w:rPr>
          <w:sz w:val="28"/>
          <w:szCs w:val="28"/>
        </w:rPr>
      </w:pPr>
      <w:r w:rsidRPr="000E434B">
        <w:rPr>
          <w:sz w:val="28"/>
          <w:szCs w:val="28"/>
        </w:rPr>
        <w:t xml:space="preserve">Проанализировать проблемы и перспективы развития </w:t>
      </w:r>
      <w:r w:rsidR="002C6BAA" w:rsidRPr="000E434B">
        <w:rPr>
          <w:sz w:val="28"/>
          <w:szCs w:val="28"/>
        </w:rPr>
        <w:t>Резервного</w:t>
      </w:r>
      <w:r w:rsidRPr="000E434B">
        <w:rPr>
          <w:sz w:val="28"/>
          <w:szCs w:val="28"/>
        </w:rPr>
        <w:t xml:space="preserve"> фонда.</w:t>
      </w:r>
    </w:p>
    <w:p w:rsidR="001A5E63" w:rsidRPr="000E434B" w:rsidRDefault="001A5E63" w:rsidP="00CE4321">
      <w:pPr>
        <w:pStyle w:val="1"/>
        <w:spacing w:before="0" w:beforeAutospacing="0" w:after="0" w:afterAutospacing="0" w:line="360" w:lineRule="auto"/>
        <w:ind w:firstLine="709"/>
        <w:jc w:val="both"/>
        <w:rPr>
          <w:sz w:val="28"/>
          <w:szCs w:val="28"/>
        </w:rPr>
      </w:pPr>
    </w:p>
    <w:p w:rsidR="001A5E63" w:rsidRPr="000E434B" w:rsidRDefault="001A5E63" w:rsidP="00CE4321">
      <w:pPr>
        <w:pStyle w:val="1"/>
        <w:spacing w:before="0" w:beforeAutospacing="0" w:after="0" w:afterAutospacing="0" w:line="360" w:lineRule="auto"/>
        <w:ind w:firstLine="709"/>
        <w:jc w:val="both"/>
        <w:rPr>
          <w:sz w:val="28"/>
          <w:szCs w:val="28"/>
        </w:rPr>
      </w:pPr>
    </w:p>
    <w:p w:rsidR="008B2538" w:rsidRPr="00CE4321" w:rsidRDefault="00D9666F" w:rsidP="00CE4321">
      <w:pPr>
        <w:pStyle w:val="1"/>
        <w:spacing w:before="0" w:beforeAutospacing="0" w:after="0" w:afterAutospacing="0" w:line="360" w:lineRule="auto"/>
        <w:jc w:val="both"/>
        <w:rPr>
          <w:b w:val="0"/>
          <w:sz w:val="32"/>
          <w:szCs w:val="28"/>
        </w:rPr>
      </w:pPr>
      <w:r w:rsidRPr="000E434B">
        <w:rPr>
          <w:sz w:val="28"/>
          <w:szCs w:val="28"/>
        </w:rPr>
        <w:br w:type="page"/>
      </w:r>
      <w:bookmarkStart w:id="3" w:name="_Toc272765885"/>
      <w:bookmarkStart w:id="4" w:name="_Toc295816786"/>
      <w:r w:rsidR="00714BC8" w:rsidRPr="00CE4321">
        <w:rPr>
          <w:b w:val="0"/>
          <w:sz w:val="32"/>
          <w:szCs w:val="28"/>
        </w:rPr>
        <w:t>1</w:t>
      </w:r>
      <w:r w:rsidR="00C839E4" w:rsidRPr="00CE4321">
        <w:rPr>
          <w:b w:val="0"/>
          <w:sz w:val="32"/>
          <w:szCs w:val="28"/>
        </w:rPr>
        <w:t xml:space="preserve">. </w:t>
      </w:r>
      <w:bookmarkEnd w:id="3"/>
      <w:r w:rsidR="00CE4321">
        <w:rPr>
          <w:b w:val="0"/>
          <w:sz w:val="32"/>
          <w:szCs w:val="28"/>
        </w:rPr>
        <w:t>ТЕОРЕТИЧЕСКИЕ ОСНОВЫ ФУНКЦИОНИРОВАНИЯ РЕЗЕРВНОГО ФОНДА РФ</w:t>
      </w:r>
      <w:r w:rsidR="002C6BAA" w:rsidRPr="00CE4321">
        <w:rPr>
          <w:b w:val="0"/>
          <w:sz w:val="32"/>
          <w:szCs w:val="28"/>
        </w:rPr>
        <w:t xml:space="preserve"> </w:t>
      </w:r>
      <w:bookmarkEnd w:id="4"/>
    </w:p>
    <w:p w:rsidR="001A5E63" w:rsidRPr="000E434B" w:rsidRDefault="001A5E63" w:rsidP="00CE4321">
      <w:pPr>
        <w:pStyle w:val="1"/>
        <w:spacing w:before="0" w:beforeAutospacing="0" w:after="0" w:afterAutospacing="0" w:line="360" w:lineRule="auto"/>
        <w:ind w:firstLine="709"/>
        <w:jc w:val="both"/>
        <w:rPr>
          <w:sz w:val="28"/>
          <w:szCs w:val="28"/>
        </w:rPr>
      </w:pPr>
      <w:bookmarkStart w:id="5" w:name="_Toc272765886"/>
    </w:p>
    <w:bookmarkEnd w:id="5"/>
    <w:p w:rsidR="002C6BAA" w:rsidRPr="000E434B" w:rsidRDefault="002C6BAA" w:rsidP="00CE4321">
      <w:pPr>
        <w:spacing w:line="360" w:lineRule="auto"/>
        <w:ind w:firstLine="709"/>
        <w:jc w:val="both"/>
        <w:rPr>
          <w:sz w:val="28"/>
          <w:szCs w:val="28"/>
        </w:rPr>
      </w:pPr>
      <w:r w:rsidRPr="000E434B">
        <w:rPr>
          <w:sz w:val="28"/>
          <w:szCs w:val="28"/>
        </w:rPr>
        <w:t>Вот уже более десяти лет экономисты России спорят об эффективности реформ 90-х годов XX века, связанных с переходом отечественной экономики от плановой к рыночной.</w:t>
      </w:r>
    </w:p>
    <w:p w:rsidR="002C6BAA" w:rsidRPr="000E434B" w:rsidRDefault="002C6BAA" w:rsidP="00CE4321">
      <w:pPr>
        <w:spacing w:line="360" w:lineRule="auto"/>
        <w:ind w:firstLine="709"/>
        <w:jc w:val="both"/>
        <w:rPr>
          <w:sz w:val="28"/>
          <w:szCs w:val="28"/>
        </w:rPr>
      </w:pPr>
      <w:r w:rsidRPr="000E434B">
        <w:rPr>
          <w:sz w:val="28"/>
          <w:szCs w:val="28"/>
        </w:rPr>
        <w:t>Сегодня нашей стране уже более или менее удалось оправиться от последствий экономических кризисов 90-х годов и стабилизировать национальную экономику, но наступил кризис 2008 года.</w:t>
      </w:r>
    </w:p>
    <w:p w:rsidR="002C6BAA" w:rsidRPr="000E434B" w:rsidRDefault="002C6BAA" w:rsidP="00CE4321">
      <w:pPr>
        <w:spacing w:line="360" w:lineRule="auto"/>
        <w:ind w:firstLine="709"/>
        <w:jc w:val="both"/>
        <w:rPr>
          <w:sz w:val="28"/>
          <w:szCs w:val="28"/>
        </w:rPr>
      </w:pPr>
      <w:r w:rsidRPr="000E434B">
        <w:rPr>
          <w:sz w:val="28"/>
          <w:szCs w:val="28"/>
        </w:rPr>
        <w:t>Правительство стало более осторожно подходить к планированию бюджетной политики. Последние шесть лет (начиная с 2004 г.) наше государство выходит с профицитом бюджета, что позволяет своевременно и даже досрочно погашать внешний долг и намечать перспективы экономического роста.</w:t>
      </w:r>
    </w:p>
    <w:p w:rsidR="002C6BAA" w:rsidRPr="000E434B" w:rsidRDefault="002C6BAA" w:rsidP="00CE4321">
      <w:pPr>
        <w:spacing w:line="360" w:lineRule="auto"/>
        <w:ind w:firstLine="709"/>
        <w:jc w:val="both"/>
        <w:rPr>
          <w:sz w:val="28"/>
          <w:szCs w:val="28"/>
        </w:rPr>
      </w:pPr>
      <w:r w:rsidRPr="000E434B">
        <w:rPr>
          <w:sz w:val="28"/>
          <w:szCs w:val="28"/>
        </w:rPr>
        <w:t>На сегодняшний день основным пунктом доходов федерального бюджета Российской Федерации является добыча и экспорт энергоресурсов. Это ставит российскую экономику в сильную зависимость от существенного изменения мировых цен на нефть, что может привести к колебаниям налоговых доходов федерального бюджета.</w:t>
      </w:r>
    </w:p>
    <w:p w:rsidR="002C6BAA" w:rsidRPr="000E434B" w:rsidRDefault="002C6BAA" w:rsidP="00CE4321">
      <w:pPr>
        <w:spacing w:line="360" w:lineRule="auto"/>
        <w:ind w:firstLine="709"/>
        <w:jc w:val="both"/>
        <w:rPr>
          <w:sz w:val="28"/>
          <w:szCs w:val="28"/>
        </w:rPr>
      </w:pPr>
      <w:r w:rsidRPr="000E434B">
        <w:rPr>
          <w:sz w:val="28"/>
          <w:szCs w:val="28"/>
        </w:rPr>
        <w:t>Сложившаяся ситуация ставит перед правительством нашего государства ряд проблем: во-первых, данный источник не вечен, что приводит к необходимости планирования его использования во временном интервале; во-вторых, экономически развитые страны уже давно разрабатывают программы энергосбережения; в-третьих, необходимо последовательно снижать зависимость государства от скачков мировых цен на энергоресурсы.</w:t>
      </w:r>
    </w:p>
    <w:p w:rsidR="008B2538" w:rsidRPr="000E434B" w:rsidRDefault="008B2538" w:rsidP="00CE4321">
      <w:pPr>
        <w:spacing w:line="360" w:lineRule="auto"/>
        <w:ind w:firstLine="709"/>
        <w:jc w:val="both"/>
        <w:rPr>
          <w:sz w:val="28"/>
          <w:szCs w:val="28"/>
        </w:rPr>
      </w:pPr>
      <w:r w:rsidRPr="000E434B">
        <w:rPr>
          <w:bCs/>
          <w:sz w:val="28"/>
          <w:szCs w:val="28"/>
        </w:rPr>
        <w:t>Стабилизационный фонд (СФ)</w:t>
      </w:r>
      <w:r w:rsidRPr="000E434B">
        <w:rPr>
          <w:sz w:val="28"/>
          <w:szCs w:val="28"/>
        </w:rPr>
        <w:t> </w:t>
      </w:r>
      <w:r w:rsidR="00C839E4" w:rsidRPr="000E434B">
        <w:rPr>
          <w:sz w:val="28"/>
          <w:szCs w:val="28"/>
        </w:rPr>
        <w:t xml:space="preserve">– </w:t>
      </w:r>
      <w:r w:rsidRPr="000E434B">
        <w:rPr>
          <w:sz w:val="28"/>
          <w:szCs w:val="28"/>
        </w:rPr>
        <w:t xml:space="preserve">специальный государственный </w:t>
      </w:r>
      <w:r w:rsidRPr="00AA04E4">
        <w:rPr>
          <w:sz w:val="28"/>
          <w:szCs w:val="28"/>
        </w:rPr>
        <w:t>фонд</w:t>
      </w:r>
      <w:r w:rsidRPr="000E434B">
        <w:rPr>
          <w:sz w:val="28"/>
          <w:szCs w:val="28"/>
        </w:rPr>
        <w:t xml:space="preserve"> </w:t>
      </w:r>
      <w:r w:rsidRPr="00AA04E4">
        <w:rPr>
          <w:sz w:val="28"/>
          <w:szCs w:val="28"/>
        </w:rPr>
        <w:t>Российской Федерации</w:t>
      </w:r>
      <w:r w:rsidRPr="000E434B">
        <w:rPr>
          <w:sz w:val="28"/>
          <w:szCs w:val="28"/>
        </w:rPr>
        <w:t xml:space="preserve">, создаваемый и используемый в целях стабилизации </w:t>
      </w:r>
      <w:r w:rsidRPr="00AA04E4">
        <w:rPr>
          <w:sz w:val="28"/>
          <w:szCs w:val="28"/>
        </w:rPr>
        <w:t>экономики</w:t>
      </w:r>
      <w:r w:rsidRPr="000E434B">
        <w:rPr>
          <w:sz w:val="28"/>
          <w:szCs w:val="28"/>
        </w:rPr>
        <w:t>.</w:t>
      </w:r>
    </w:p>
    <w:p w:rsidR="008B2538" w:rsidRPr="000E434B" w:rsidRDefault="008B2538" w:rsidP="00CE4321">
      <w:pPr>
        <w:spacing w:line="360" w:lineRule="auto"/>
        <w:ind w:firstLine="709"/>
        <w:jc w:val="both"/>
        <w:rPr>
          <w:sz w:val="28"/>
          <w:szCs w:val="28"/>
        </w:rPr>
      </w:pPr>
      <w:r w:rsidRPr="000E434B">
        <w:rPr>
          <w:sz w:val="28"/>
          <w:szCs w:val="28"/>
        </w:rPr>
        <w:t>Стабилизационный фонд выполняет следующие функции:</w:t>
      </w:r>
    </w:p>
    <w:p w:rsidR="008B2538" w:rsidRPr="000E434B" w:rsidRDefault="008B2538" w:rsidP="00CE4321">
      <w:pPr>
        <w:numPr>
          <w:ilvl w:val="0"/>
          <w:numId w:val="10"/>
        </w:numPr>
        <w:spacing w:line="360" w:lineRule="auto"/>
        <w:ind w:left="0" w:firstLine="709"/>
        <w:jc w:val="both"/>
        <w:rPr>
          <w:sz w:val="28"/>
          <w:szCs w:val="28"/>
        </w:rPr>
      </w:pPr>
      <w:r w:rsidRPr="000E434B">
        <w:rPr>
          <w:sz w:val="28"/>
          <w:szCs w:val="28"/>
        </w:rPr>
        <w:t xml:space="preserve">является встроенным стабилизатором (наряду с такими общеизвестными и общеупотребительными, как </w:t>
      </w:r>
      <w:r w:rsidRPr="00AA04E4">
        <w:rPr>
          <w:sz w:val="28"/>
          <w:szCs w:val="28"/>
        </w:rPr>
        <w:t>прогрессивный налог</w:t>
      </w:r>
      <w:r w:rsidRPr="000E434B">
        <w:rPr>
          <w:sz w:val="28"/>
          <w:szCs w:val="28"/>
        </w:rPr>
        <w:t xml:space="preserve"> и пособие по безработице);</w:t>
      </w:r>
    </w:p>
    <w:p w:rsidR="008B2538" w:rsidRPr="000E434B" w:rsidRDefault="008B2538" w:rsidP="00CE4321">
      <w:pPr>
        <w:numPr>
          <w:ilvl w:val="0"/>
          <w:numId w:val="10"/>
        </w:numPr>
        <w:spacing w:line="360" w:lineRule="auto"/>
        <w:ind w:left="0" w:firstLine="709"/>
        <w:jc w:val="both"/>
        <w:rPr>
          <w:sz w:val="28"/>
          <w:szCs w:val="28"/>
        </w:rPr>
      </w:pPr>
      <w:r w:rsidRPr="000E434B">
        <w:rPr>
          <w:sz w:val="28"/>
          <w:szCs w:val="28"/>
        </w:rPr>
        <w:t>обеспечивает дополнительную устойчивость государственным финансам;</w:t>
      </w:r>
    </w:p>
    <w:p w:rsidR="008B2538" w:rsidRPr="000E434B" w:rsidRDefault="008B2538" w:rsidP="00CE4321">
      <w:pPr>
        <w:numPr>
          <w:ilvl w:val="0"/>
          <w:numId w:val="10"/>
        </w:numPr>
        <w:spacing w:line="360" w:lineRule="auto"/>
        <w:ind w:left="0" w:firstLine="709"/>
        <w:jc w:val="both"/>
        <w:rPr>
          <w:sz w:val="28"/>
          <w:szCs w:val="28"/>
        </w:rPr>
      </w:pPr>
      <w:r w:rsidRPr="000E434B">
        <w:rPr>
          <w:sz w:val="28"/>
          <w:szCs w:val="28"/>
        </w:rPr>
        <w:t>может служить источником финансирования инвестиционных программ, обеспечивающих снижение бюджетных расходов будущих периодов.</w:t>
      </w:r>
    </w:p>
    <w:p w:rsidR="008B2538" w:rsidRPr="000E434B" w:rsidRDefault="008B2538" w:rsidP="00CE4321">
      <w:pPr>
        <w:spacing w:line="360" w:lineRule="auto"/>
        <w:ind w:firstLine="709"/>
        <w:jc w:val="both"/>
        <w:rPr>
          <w:sz w:val="28"/>
          <w:szCs w:val="28"/>
        </w:rPr>
      </w:pPr>
      <w:r w:rsidRPr="000E434B">
        <w:rPr>
          <w:sz w:val="28"/>
          <w:szCs w:val="28"/>
        </w:rPr>
        <w:t>По сути, это финансовые активы, которыми напрямую распоряжается правительство, а не Федеральное Собрание посредством бюджета.</w:t>
      </w:r>
    </w:p>
    <w:p w:rsidR="008B2538" w:rsidRPr="000E434B" w:rsidRDefault="008B2538" w:rsidP="00CE4321">
      <w:pPr>
        <w:spacing w:line="360" w:lineRule="auto"/>
        <w:ind w:firstLine="709"/>
        <w:jc w:val="both"/>
        <w:rPr>
          <w:sz w:val="28"/>
          <w:szCs w:val="28"/>
          <w:vertAlign w:val="superscript"/>
        </w:rPr>
      </w:pPr>
      <w:r w:rsidRPr="000E434B">
        <w:rPr>
          <w:sz w:val="28"/>
          <w:szCs w:val="28"/>
        </w:rPr>
        <w:t xml:space="preserve">С </w:t>
      </w:r>
      <w:r w:rsidRPr="00AA04E4">
        <w:rPr>
          <w:sz w:val="28"/>
          <w:szCs w:val="28"/>
        </w:rPr>
        <w:t>1 февраля</w:t>
      </w:r>
      <w:r w:rsidRPr="000E434B">
        <w:rPr>
          <w:sz w:val="28"/>
          <w:szCs w:val="28"/>
        </w:rPr>
        <w:t xml:space="preserve"> </w:t>
      </w:r>
      <w:r w:rsidRPr="00AA04E4">
        <w:rPr>
          <w:sz w:val="28"/>
          <w:szCs w:val="28"/>
        </w:rPr>
        <w:t>2008 года</w:t>
      </w:r>
      <w:r w:rsidRPr="000E434B">
        <w:rPr>
          <w:sz w:val="28"/>
          <w:szCs w:val="28"/>
        </w:rPr>
        <w:t xml:space="preserve"> стабилизационный фонд был разделён на две части: </w:t>
      </w:r>
      <w:r w:rsidRPr="00AA04E4">
        <w:rPr>
          <w:sz w:val="28"/>
          <w:szCs w:val="28"/>
        </w:rPr>
        <w:t>Резервный фонд</w:t>
      </w:r>
      <w:r w:rsidRPr="000E434B">
        <w:rPr>
          <w:sz w:val="28"/>
          <w:szCs w:val="28"/>
        </w:rPr>
        <w:t xml:space="preserve"> (3 069</w:t>
      </w:r>
      <w:r w:rsidR="00C839E4" w:rsidRPr="000E434B">
        <w:rPr>
          <w:sz w:val="28"/>
          <w:szCs w:val="28"/>
        </w:rPr>
        <w:t xml:space="preserve"> млрд</w:t>
      </w:r>
      <w:r w:rsidRPr="000E434B">
        <w:rPr>
          <w:sz w:val="28"/>
          <w:szCs w:val="28"/>
        </w:rPr>
        <w:t xml:space="preserve"> руб.) и </w:t>
      </w:r>
      <w:r w:rsidRPr="00AA04E4">
        <w:rPr>
          <w:sz w:val="28"/>
          <w:szCs w:val="28"/>
        </w:rPr>
        <w:t>Фонд национального благосостояния</w:t>
      </w:r>
      <w:r w:rsidRPr="000E434B">
        <w:rPr>
          <w:sz w:val="28"/>
          <w:szCs w:val="28"/>
        </w:rPr>
        <w:t xml:space="preserve"> (782,8</w:t>
      </w:r>
      <w:r w:rsidR="00C839E4" w:rsidRPr="000E434B">
        <w:rPr>
          <w:sz w:val="28"/>
          <w:szCs w:val="28"/>
        </w:rPr>
        <w:t xml:space="preserve"> млрд</w:t>
      </w:r>
      <w:r w:rsidRPr="000E434B">
        <w:rPr>
          <w:sz w:val="28"/>
          <w:szCs w:val="28"/>
        </w:rPr>
        <w:t xml:space="preserve"> руб.). Общий объём средств, которые будут зачисляться на счёт </w:t>
      </w:r>
      <w:r w:rsidRPr="00AA04E4">
        <w:rPr>
          <w:sz w:val="28"/>
          <w:szCs w:val="28"/>
        </w:rPr>
        <w:t>нефтегазового трансферта</w:t>
      </w:r>
      <w:r w:rsidRPr="000E434B">
        <w:rPr>
          <w:sz w:val="28"/>
          <w:szCs w:val="28"/>
        </w:rPr>
        <w:t xml:space="preserve">, установлен бюджетным законодательством и привязан к размеру </w:t>
      </w:r>
      <w:r w:rsidRPr="00AA04E4">
        <w:rPr>
          <w:sz w:val="28"/>
          <w:szCs w:val="28"/>
        </w:rPr>
        <w:t>валового внутреннего продукта</w:t>
      </w:r>
      <w:r w:rsidRPr="000E434B">
        <w:rPr>
          <w:sz w:val="28"/>
          <w:szCs w:val="28"/>
        </w:rPr>
        <w:t xml:space="preserve"> (ВВП): на 2008 год </w:t>
      </w:r>
      <w:r w:rsidR="00C839E4" w:rsidRPr="000E434B">
        <w:rPr>
          <w:sz w:val="28"/>
          <w:szCs w:val="28"/>
        </w:rPr>
        <w:t xml:space="preserve">– </w:t>
      </w:r>
      <w:r w:rsidRPr="000E434B">
        <w:rPr>
          <w:sz w:val="28"/>
          <w:szCs w:val="28"/>
        </w:rPr>
        <w:t>6,</w:t>
      </w:r>
      <w:r w:rsidR="00C839E4" w:rsidRPr="000E434B">
        <w:rPr>
          <w:sz w:val="28"/>
          <w:szCs w:val="28"/>
        </w:rPr>
        <w:t>1%</w:t>
      </w:r>
      <w:r w:rsidRPr="000E434B">
        <w:rPr>
          <w:sz w:val="28"/>
          <w:szCs w:val="28"/>
        </w:rPr>
        <w:t xml:space="preserve"> ВВП, на </w:t>
      </w:r>
      <w:r w:rsidRPr="00AA04E4">
        <w:rPr>
          <w:sz w:val="28"/>
          <w:szCs w:val="28"/>
        </w:rPr>
        <w:t>2009 год</w:t>
      </w:r>
      <w:r w:rsidRPr="000E434B">
        <w:rPr>
          <w:sz w:val="28"/>
          <w:szCs w:val="28"/>
        </w:rPr>
        <w:t> </w:t>
      </w:r>
      <w:r w:rsidR="00C839E4" w:rsidRPr="000E434B">
        <w:rPr>
          <w:sz w:val="28"/>
          <w:szCs w:val="28"/>
        </w:rPr>
        <w:t xml:space="preserve">– </w:t>
      </w:r>
      <w:r w:rsidRPr="000E434B">
        <w:rPr>
          <w:sz w:val="28"/>
          <w:szCs w:val="28"/>
        </w:rPr>
        <w:t>5,</w:t>
      </w:r>
      <w:r w:rsidR="00C839E4" w:rsidRPr="000E434B">
        <w:rPr>
          <w:sz w:val="28"/>
          <w:szCs w:val="28"/>
        </w:rPr>
        <w:t>5%</w:t>
      </w:r>
      <w:r w:rsidRPr="000E434B">
        <w:rPr>
          <w:sz w:val="28"/>
          <w:szCs w:val="28"/>
        </w:rPr>
        <w:t xml:space="preserve">, на </w:t>
      </w:r>
      <w:r w:rsidRPr="00AA04E4">
        <w:rPr>
          <w:sz w:val="28"/>
          <w:szCs w:val="28"/>
        </w:rPr>
        <w:t>2010 год</w:t>
      </w:r>
      <w:r w:rsidRPr="000E434B">
        <w:rPr>
          <w:sz w:val="28"/>
          <w:szCs w:val="28"/>
        </w:rPr>
        <w:t> </w:t>
      </w:r>
      <w:r w:rsidR="00C839E4" w:rsidRPr="000E434B">
        <w:rPr>
          <w:sz w:val="28"/>
          <w:szCs w:val="28"/>
        </w:rPr>
        <w:t xml:space="preserve">– </w:t>
      </w:r>
      <w:r w:rsidRPr="000E434B">
        <w:rPr>
          <w:sz w:val="28"/>
          <w:szCs w:val="28"/>
        </w:rPr>
        <w:t>4,</w:t>
      </w:r>
      <w:r w:rsidR="00C839E4" w:rsidRPr="000E434B">
        <w:rPr>
          <w:sz w:val="28"/>
          <w:szCs w:val="28"/>
        </w:rPr>
        <w:t>5%</w:t>
      </w:r>
      <w:r w:rsidRPr="000E434B">
        <w:rPr>
          <w:sz w:val="28"/>
          <w:szCs w:val="28"/>
        </w:rPr>
        <w:t>, а после 2010 года данный объём фиксируется в размере 3,</w:t>
      </w:r>
      <w:r w:rsidR="00C839E4" w:rsidRPr="000E434B">
        <w:rPr>
          <w:sz w:val="28"/>
          <w:szCs w:val="28"/>
        </w:rPr>
        <w:t>7%</w:t>
      </w:r>
      <w:r w:rsidRPr="000E434B">
        <w:rPr>
          <w:sz w:val="28"/>
          <w:szCs w:val="28"/>
        </w:rPr>
        <w:t xml:space="preserve"> ВВП.</w:t>
      </w:r>
      <w:r w:rsidRPr="00AA04E4">
        <w:rPr>
          <w:sz w:val="28"/>
          <w:szCs w:val="28"/>
          <w:vertAlign w:val="superscript"/>
        </w:rPr>
        <w:t>[1]</w:t>
      </w:r>
    </w:p>
    <w:p w:rsidR="002C6BAA" w:rsidRPr="002C6BAA" w:rsidRDefault="002C6BAA" w:rsidP="00CE4321">
      <w:pPr>
        <w:spacing w:line="360" w:lineRule="auto"/>
        <w:ind w:firstLine="709"/>
        <w:jc w:val="both"/>
        <w:rPr>
          <w:sz w:val="28"/>
          <w:szCs w:val="28"/>
        </w:rPr>
      </w:pPr>
      <w:r w:rsidRPr="002C6BAA">
        <w:rPr>
          <w:sz w:val="28"/>
          <w:szCs w:val="28"/>
        </w:rPr>
        <w:t>Резервный фонд является частью средств федерального бюджета. Фонд призван обеспечивать выполнение государством своих расходных обязательств в случае снижения поступлений нефтегазовых доходов в федеральный бюджет.</w:t>
      </w:r>
    </w:p>
    <w:p w:rsidR="002C6BAA" w:rsidRPr="002C6BAA" w:rsidRDefault="002C6BAA" w:rsidP="00CE4321">
      <w:pPr>
        <w:spacing w:line="360" w:lineRule="auto"/>
        <w:ind w:firstLine="709"/>
        <w:jc w:val="both"/>
        <w:rPr>
          <w:sz w:val="28"/>
          <w:szCs w:val="28"/>
        </w:rPr>
      </w:pPr>
      <w:r w:rsidRPr="002C6BAA">
        <w:rPr>
          <w:sz w:val="28"/>
          <w:szCs w:val="28"/>
        </w:rPr>
        <w:t>Резервный фонд способствует стабильности экономического развития страны, уменьшая инфляционное давление и снижая зависимость национальной экономики от колебаний поступлений от экспорта невозобновляемых природных ресурсов.</w:t>
      </w:r>
    </w:p>
    <w:p w:rsidR="002C6BAA" w:rsidRPr="002C6BAA" w:rsidRDefault="002C6BAA" w:rsidP="00CE4321">
      <w:pPr>
        <w:spacing w:line="360" w:lineRule="auto"/>
        <w:ind w:firstLine="709"/>
        <w:jc w:val="both"/>
        <w:rPr>
          <w:sz w:val="28"/>
          <w:szCs w:val="28"/>
        </w:rPr>
      </w:pPr>
      <w:r w:rsidRPr="002C6BAA">
        <w:rPr>
          <w:sz w:val="28"/>
          <w:szCs w:val="28"/>
        </w:rPr>
        <w:t xml:space="preserve">Резервный фонд фактически заменил собой </w:t>
      </w:r>
      <w:r w:rsidRPr="000E434B">
        <w:rPr>
          <w:sz w:val="28"/>
          <w:szCs w:val="28"/>
        </w:rPr>
        <w:t>Стабилизационный фонд Российской Федерации</w:t>
      </w:r>
      <w:r w:rsidRPr="002C6BAA">
        <w:rPr>
          <w:sz w:val="28"/>
          <w:szCs w:val="28"/>
        </w:rPr>
        <w:t xml:space="preserve">. В отличие от </w:t>
      </w:r>
      <w:r w:rsidRPr="000E434B">
        <w:rPr>
          <w:sz w:val="28"/>
          <w:szCs w:val="28"/>
        </w:rPr>
        <w:t>Стабилизационного фонда Российской Федерации</w:t>
      </w:r>
      <w:r w:rsidRPr="002C6BAA">
        <w:rPr>
          <w:sz w:val="28"/>
          <w:szCs w:val="28"/>
        </w:rPr>
        <w:t xml:space="preserve"> помимо доходов федерального бюджета от добычи и экспорта нефти источниками формирования Резервного фонда также являются доходы федерального бюджета от добычи и экспорта газа. </w:t>
      </w:r>
    </w:p>
    <w:p w:rsidR="002C6BAA" w:rsidRPr="002C6BAA" w:rsidRDefault="002C6BAA" w:rsidP="00CE4321">
      <w:pPr>
        <w:spacing w:line="360" w:lineRule="auto"/>
        <w:ind w:firstLine="709"/>
        <w:jc w:val="both"/>
        <w:rPr>
          <w:sz w:val="28"/>
          <w:szCs w:val="28"/>
        </w:rPr>
      </w:pPr>
      <w:r w:rsidRPr="002C6BAA">
        <w:rPr>
          <w:sz w:val="28"/>
          <w:szCs w:val="28"/>
        </w:rPr>
        <w:t>Максимальный размер Резервного фонда закреплен на уровне 10 % прогнозируемого на соответствующий финансовый год объема валового внутреннего продукта Российской Федерации.</w:t>
      </w:r>
    </w:p>
    <w:p w:rsidR="00C839E4" w:rsidRPr="000E434B" w:rsidRDefault="00316842" w:rsidP="00CE4321">
      <w:pPr>
        <w:spacing w:line="360" w:lineRule="auto"/>
        <w:ind w:firstLine="709"/>
        <w:jc w:val="both"/>
        <w:rPr>
          <w:sz w:val="28"/>
          <w:szCs w:val="28"/>
        </w:rPr>
      </w:pPr>
      <w:r w:rsidRPr="000E434B">
        <w:rPr>
          <w:sz w:val="28"/>
          <w:szCs w:val="28"/>
        </w:rPr>
        <w:t>Фонд способствует стабильности экономического развития страны, является одним из основных инструментов связывания излишней ликвидности, уменьшает инфляционное давление, снижает зависимость национальной экономики от неблагоприятных колебаний поступлений от экспорта сырьевых товаров.</w:t>
      </w:r>
    </w:p>
    <w:p w:rsidR="00316842" w:rsidRPr="000E434B" w:rsidRDefault="00316842" w:rsidP="00CE4321">
      <w:pPr>
        <w:spacing w:line="360" w:lineRule="auto"/>
        <w:ind w:firstLine="709"/>
        <w:jc w:val="both"/>
        <w:rPr>
          <w:sz w:val="28"/>
          <w:szCs w:val="28"/>
        </w:rPr>
      </w:pPr>
      <w:r w:rsidRPr="000E434B">
        <w:rPr>
          <w:sz w:val="28"/>
          <w:szCs w:val="28"/>
        </w:rPr>
        <w:t>Фонд аккумулирует поступления средств вывозной таможенной пошлины на нефть и налога на добычу полезных ископаемых (нефть), при цене на нефть сорта Юралс, превышающей базовую цену.</w:t>
      </w:r>
    </w:p>
    <w:p w:rsidR="00316842" w:rsidRPr="000E434B" w:rsidRDefault="00316842" w:rsidP="00CE4321">
      <w:pPr>
        <w:spacing w:line="360" w:lineRule="auto"/>
        <w:ind w:firstLine="709"/>
        <w:jc w:val="both"/>
        <w:rPr>
          <w:sz w:val="28"/>
          <w:szCs w:val="28"/>
        </w:rPr>
      </w:pPr>
      <w:r w:rsidRPr="000E434B">
        <w:rPr>
          <w:sz w:val="28"/>
          <w:szCs w:val="28"/>
        </w:rPr>
        <w:t>Средства Фонда могут быть использованы на покрытие дефицита федерального бюджета при снижении цены на нефть ниже базовой цены. Если накопленный объем средств Фонда превышает 500 млрд. рублей, сумма превышения может быть использована на иные цели. Объем использования средств Фонда определяется федеральным законом о федеральном бюджете на соответствующий финансовый год</w:t>
      </w:r>
      <w:r w:rsidR="00D1760F" w:rsidRPr="000E434B">
        <w:rPr>
          <w:sz w:val="28"/>
          <w:szCs w:val="28"/>
        </w:rPr>
        <w:t>.</w:t>
      </w:r>
    </w:p>
    <w:p w:rsidR="00D1760F" w:rsidRPr="000E434B" w:rsidRDefault="00316842" w:rsidP="00CE4321">
      <w:pPr>
        <w:spacing w:line="360" w:lineRule="auto"/>
        <w:ind w:firstLine="709"/>
        <w:jc w:val="both"/>
        <w:rPr>
          <w:sz w:val="28"/>
          <w:szCs w:val="28"/>
        </w:rPr>
      </w:pPr>
      <w:r w:rsidRPr="000E434B">
        <w:rPr>
          <w:sz w:val="28"/>
          <w:szCs w:val="28"/>
        </w:rPr>
        <w:t>Средствами Фонда управляет Министерство финансов Российской Федерации. Порядок управление определяется Правительством Российской Федерации. Отдельные полномочия по управлению средствами Фонда могут осуществляться Центральным банком Российской Федерации по договору с Правительством Российской Федерации.</w:t>
      </w:r>
    </w:p>
    <w:p w:rsidR="00316842" w:rsidRPr="000E434B" w:rsidRDefault="00316842" w:rsidP="00CE4321">
      <w:pPr>
        <w:spacing w:line="360" w:lineRule="auto"/>
        <w:ind w:firstLine="709"/>
        <w:jc w:val="both"/>
        <w:rPr>
          <w:sz w:val="28"/>
          <w:szCs w:val="28"/>
        </w:rPr>
      </w:pPr>
      <w:r w:rsidRPr="000E434B">
        <w:rPr>
          <w:sz w:val="28"/>
          <w:szCs w:val="28"/>
        </w:rPr>
        <w:t>Согласно предназначению Фонда</w:t>
      </w:r>
      <w:r w:rsidR="00C839E4" w:rsidRPr="000E434B">
        <w:rPr>
          <w:sz w:val="28"/>
          <w:szCs w:val="28"/>
        </w:rPr>
        <w:t xml:space="preserve"> – </w:t>
      </w:r>
      <w:r w:rsidRPr="000E434B">
        <w:rPr>
          <w:sz w:val="28"/>
          <w:szCs w:val="28"/>
        </w:rPr>
        <w:t>служить стратегическим финансовым резервом государства, его средства могут размещаться в долговые обязательства иностранных государств, перечень которых утверждается Правительством Российской Федерации</w:t>
      </w:r>
      <w:r w:rsidR="00D1760F" w:rsidRPr="000E434B">
        <w:rPr>
          <w:sz w:val="28"/>
          <w:szCs w:val="28"/>
        </w:rPr>
        <w:t>.</w:t>
      </w:r>
    </w:p>
    <w:p w:rsidR="00316842" w:rsidRPr="000E434B" w:rsidRDefault="00316842" w:rsidP="00CE4321">
      <w:pPr>
        <w:spacing w:line="360" w:lineRule="auto"/>
        <w:ind w:firstLine="709"/>
        <w:jc w:val="both"/>
        <w:rPr>
          <w:sz w:val="28"/>
          <w:szCs w:val="28"/>
        </w:rPr>
      </w:pPr>
      <w:r w:rsidRPr="000E434B">
        <w:rPr>
          <w:sz w:val="28"/>
          <w:szCs w:val="28"/>
        </w:rPr>
        <w:t>Правительство Российской Федерации наделило Министерство финансов Российской Федерации полномочиями по распределению активов Фонда в разрезе валют, весов и сроков и утвердило порядок управления средствами Фонда.</w:t>
      </w:r>
    </w:p>
    <w:p w:rsidR="00316842" w:rsidRPr="000E434B" w:rsidRDefault="00316842" w:rsidP="00CE4321">
      <w:pPr>
        <w:spacing w:line="360" w:lineRule="auto"/>
        <w:ind w:firstLine="709"/>
        <w:jc w:val="both"/>
        <w:rPr>
          <w:sz w:val="28"/>
          <w:szCs w:val="28"/>
        </w:rPr>
      </w:pPr>
      <w:r w:rsidRPr="000E434B">
        <w:rPr>
          <w:sz w:val="28"/>
          <w:szCs w:val="28"/>
        </w:rPr>
        <w:t>В соответствии с утвержденным порядком управление средствами Фонда может осуществляться следующими способами (как каждым по отдельности, так и</w:t>
      </w:r>
      <w:r w:rsidR="00C839E4" w:rsidRPr="000E434B">
        <w:rPr>
          <w:sz w:val="28"/>
          <w:szCs w:val="28"/>
        </w:rPr>
        <w:t xml:space="preserve"> </w:t>
      </w:r>
      <w:r w:rsidRPr="000E434B">
        <w:rPr>
          <w:sz w:val="28"/>
          <w:szCs w:val="28"/>
        </w:rPr>
        <w:t>одновременно):</w:t>
      </w:r>
    </w:p>
    <w:p w:rsidR="00316842" w:rsidRPr="000E434B" w:rsidRDefault="00316842" w:rsidP="00CE4321">
      <w:pPr>
        <w:numPr>
          <w:ilvl w:val="0"/>
          <w:numId w:val="11"/>
        </w:numPr>
        <w:spacing w:line="360" w:lineRule="auto"/>
        <w:ind w:left="0" w:firstLine="709"/>
        <w:jc w:val="both"/>
        <w:rPr>
          <w:sz w:val="28"/>
          <w:szCs w:val="28"/>
        </w:rPr>
      </w:pPr>
      <w:r w:rsidRPr="000E434B">
        <w:rPr>
          <w:sz w:val="28"/>
          <w:szCs w:val="28"/>
        </w:rPr>
        <w:t>путем приобретения за счет средств Фонда долговых обязательств иностранных государств;</w:t>
      </w:r>
    </w:p>
    <w:p w:rsidR="00316842" w:rsidRPr="000E434B" w:rsidRDefault="00316842" w:rsidP="00CE4321">
      <w:pPr>
        <w:numPr>
          <w:ilvl w:val="0"/>
          <w:numId w:val="11"/>
        </w:numPr>
        <w:spacing w:line="360" w:lineRule="auto"/>
        <w:ind w:left="0" w:firstLine="709"/>
        <w:jc w:val="both"/>
        <w:rPr>
          <w:sz w:val="28"/>
          <w:szCs w:val="28"/>
        </w:rPr>
      </w:pPr>
      <w:r w:rsidRPr="000E434B">
        <w:rPr>
          <w:sz w:val="28"/>
          <w:szCs w:val="28"/>
        </w:rPr>
        <w:t>путем приобретения за счет средств Фонда иностранной валюты и ее размещения на счетах по учету средств Стабилизационного фонда в иностранной валюте в Банке России. За пользование денежными средствами на указанных счетах Банк России уплачивает проценты. Порядок расчета и зачисления указанных процентов утверждается Министерством финансов Российской Федерации.</w:t>
      </w:r>
    </w:p>
    <w:p w:rsidR="00C839E4" w:rsidRPr="000E434B" w:rsidRDefault="00316842" w:rsidP="00CE4321">
      <w:pPr>
        <w:spacing w:line="360" w:lineRule="auto"/>
        <w:ind w:firstLine="709"/>
        <w:jc w:val="both"/>
        <w:rPr>
          <w:sz w:val="28"/>
          <w:szCs w:val="28"/>
        </w:rPr>
      </w:pPr>
      <w:r w:rsidRPr="000E434B">
        <w:rPr>
          <w:sz w:val="28"/>
          <w:szCs w:val="28"/>
        </w:rPr>
        <w:t>В настоящее время Министерство финансов Российской Федерации управляет средствами Фонда согласно второму методу (путем размещения средств на валютных счетах в Банке России). При этом согласно утвержденному Министерством финансов Российской Федерации порядку расчета и зачисления процентов, начисляемых на счета по учету средств Стабилизационного фонда в иностранной валюте, Банк России уплачивает на остатки на указанных счетах проценты, эквивалентные доходности портфелей, сформированных из долговых обязательств иностранных государств, требования к которым утверждены Правительством Российской Федерации.</w:t>
      </w:r>
    </w:p>
    <w:p w:rsidR="00316842" w:rsidRPr="000E434B" w:rsidRDefault="00316842" w:rsidP="00CE4321">
      <w:pPr>
        <w:spacing w:line="360" w:lineRule="auto"/>
        <w:ind w:firstLine="709"/>
        <w:jc w:val="both"/>
        <w:rPr>
          <w:sz w:val="28"/>
          <w:szCs w:val="28"/>
        </w:rPr>
      </w:pPr>
      <w:r w:rsidRPr="000E434B">
        <w:rPr>
          <w:sz w:val="28"/>
          <w:szCs w:val="28"/>
        </w:rPr>
        <w:t>Правительство Российской Федерации определило, что к долговым обязательствам иностранных государств, в которые могут размещаться средства Фонда, относятся:</w:t>
      </w:r>
    </w:p>
    <w:p w:rsidR="00316842" w:rsidRPr="000E434B" w:rsidRDefault="00316842" w:rsidP="00CE4321">
      <w:pPr>
        <w:numPr>
          <w:ilvl w:val="0"/>
          <w:numId w:val="12"/>
        </w:numPr>
        <w:spacing w:line="360" w:lineRule="auto"/>
        <w:ind w:left="0" w:firstLine="709"/>
        <w:jc w:val="both"/>
        <w:rPr>
          <w:sz w:val="28"/>
          <w:szCs w:val="28"/>
        </w:rPr>
      </w:pPr>
      <w:r w:rsidRPr="000E434B">
        <w:rPr>
          <w:sz w:val="28"/>
          <w:szCs w:val="28"/>
        </w:rPr>
        <w:t>долговые обязательства в форме ценных бумаг правительств Австрии, Бельгии, Финляндии, Франции, Германии, Греции, Ирландии, Италии, Люксембурга, Нидерландов, Португалии, Испании, Великобритании и США, номинированные в долларах США, евро и английских фунтах стерлингов;</w:t>
      </w:r>
    </w:p>
    <w:p w:rsidR="00316842" w:rsidRPr="000E434B" w:rsidRDefault="00316842" w:rsidP="00CE4321">
      <w:pPr>
        <w:numPr>
          <w:ilvl w:val="0"/>
          <w:numId w:val="12"/>
        </w:numPr>
        <w:spacing w:line="360" w:lineRule="auto"/>
        <w:ind w:left="0" w:firstLine="709"/>
        <w:jc w:val="both"/>
        <w:rPr>
          <w:sz w:val="28"/>
          <w:szCs w:val="28"/>
        </w:rPr>
      </w:pPr>
      <w:r w:rsidRPr="000E434B">
        <w:rPr>
          <w:sz w:val="28"/>
          <w:szCs w:val="28"/>
        </w:rPr>
        <w:t>долговые обязательства, страны-эмитенты которых имеют рейтинг долгосрочной кредитоспособности не ниже уровня «ААА» по классификации рейтинговых агентств «Фитч Рейтинг» или «Стандарт энд Пурс» (Fitch-Ratings или Standard</w:t>
      </w:r>
      <w:r w:rsidR="00C839E4" w:rsidRPr="000E434B">
        <w:rPr>
          <w:sz w:val="28"/>
          <w:szCs w:val="28"/>
        </w:rPr>
        <w:t> &amp;</w:t>
      </w:r>
      <w:r w:rsidRPr="000E434B">
        <w:rPr>
          <w:sz w:val="28"/>
          <w:szCs w:val="28"/>
        </w:rPr>
        <w:t xml:space="preserve"> Poor's) либо не ниже уровня «Ааа» по классификации рейтингового агентства «Мудис Инвесторс Сервис» (Moody's Investors Service);</w:t>
      </w:r>
    </w:p>
    <w:p w:rsidR="00316842" w:rsidRPr="000E434B" w:rsidRDefault="00316842" w:rsidP="00CE4321">
      <w:pPr>
        <w:numPr>
          <w:ilvl w:val="0"/>
          <w:numId w:val="12"/>
        </w:numPr>
        <w:spacing w:line="360" w:lineRule="auto"/>
        <w:ind w:left="0" w:firstLine="709"/>
        <w:jc w:val="both"/>
        <w:rPr>
          <w:sz w:val="28"/>
          <w:szCs w:val="28"/>
        </w:rPr>
      </w:pPr>
      <w:r w:rsidRPr="000E434B">
        <w:rPr>
          <w:sz w:val="28"/>
          <w:szCs w:val="28"/>
        </w:rPr>
        <w:t>долговые обязательства, срок погашения которых является фиксированным, условия выпуска и обращения не предусматривают права эмитента осуществить досрочно их выкуп (погашение) и права владельца долговых обязательств досрочно предъявить их к выкупу (погашению) эмитентом;</w:t>
      </w:r>
    </w:p>
    <w:p w:rsidR="00316842" w:rsidRPr="000E434B" w:rsidRDefault="00316842" w:rsidP="00CE4321">
      <w:pPr>
        <w:numPr>
          <w:ilvl w:val="0"/>
          <w:numId w:val="12"/>
        </w:numPr>
        <w:spacing w:line="360" w:lineRule="auto"/>
        <w:ind w:left="0" w:firstLine="709"/>
        <w:jc w:val="both"/>
        <w:rPr>
          <w:sz w:val="28"/>
          <w:szCs w:val="28"/>
        </w:rPr>
      </w:pPr>
      <w:r w:rsidRPr="000E434B">
        <w:rPr>
          <w:sz w:val="28"/>
          <w:szCs w:val="28"/>
        </w:rPr>
        <w:t>долговые обязательства, ставка купонного дохода (в случае купонных долговых обязательств) и номиналы которых являются фиксированными;</w:t>
      </w:r>
    </w:p>
    <w:p w:rsidR="00316842" w:rsidRPr="000E434B" w:rsidRDefault="00316842" w:rsidP="00CE4321">
      <w:pPr>
        <w:numPr>
          <w:ilvl w:val="0"/>
          <w:numId w:val="12"/>
        </w:numPr>
        <w:spacing w:line="360" w:lineRule="auto"/>
        <w:ind w:left="0" w:firstLine="709"/>
        <w:jc w:val="both"/>
        <w:rPr>
          <w:sz w:val="28"/>
          <w:szCs w:val="28"/>
        </w:rPr>
      </w:pPr>
      <w:r w:rsidRPr="000E434B">
        <w:rPr>
          <w:sz w:val="28"/>
          <w:szCs w:val="28"/>
        </w:rPr>
        <w:t>долговые обязательства, объем выпуска которых, находящийся в обращении, составляет не менее 1 млрд. долларов США для долговых обязательств, номинированных в долларах США, не менее 1 млрд. евро – для долговых обязательств, номинированных в евро, и не менее 0,5 млрд. фунтов стерлингов – для долговых обязательств, номинированных в фунтах стерлингов;</w:t>
      </w:r>
    </w:p>
    <w:p w:rsidR="00316842" w:rsidRPr="000E434B" w:rsidRDefault="00316842" w:rsidP="00CE4321">
      <w:pPr>
        <w:numPr>
          <w:ilvl w:val="0"/>
          <w:numId w:val="12"/>
        </w:numPr>
        <w:spacing w:line="360" w:lineRule="auto"/>
        <w:ind w:left="0" w:firstLine="709"/>
        <w:jc w:val="both"/>
        <w:rPr>
          <w:sz w:val="28"/>
          <w:szCs w:val="28"/>
        </w:rPr>
      </w:pPr>
      <w:r w:rsidRPr="000E434B">
        <w:rPr>
          <w:sz w:val="28"/>
          <w:szCs w:val="28"/>
        </w:rPr>
        <w:t>долговые обязательства, выпуски которых не являются выпусками, предназначенными для частного (непубличного) размещения.</w:t>
      </w:r>
    </w:p>
    <w:p w:rsidR="00C839E4" w:rsidRPr="000E434B" w:rsidRDefault="00316842" w:rsidP="00CE4321">
      <w:pPr>
        <w:spacing w:line="360" w:lineRule="auto"/>
        <w:ind w:firstLine="709"/>
        <w:jc w:val="both"/>
        <w:rPr>
          <w:sz w:val="28"/>
          <w:szCs w:val="28"/>
        </w:rPr>
      </w:pPr>
      <w:r w:rsidRPr="000E434B">
        <w:rPr>
          <w:sz w:val="28"/>
          <w:szCs w:val="28"/>
        </w:rPr>
        <w:t>Срок до погашения долговых обязательств иностранных государств на день их приобретения (день формирования портфеля) находится в диапазоне, ограниченном следующими сроками (в годах):</w:t>
      </w:r>
    </w:p>
    <w:p w:rsidR="000E434B" w:rsidRPr="000E434B" w:rsidRDefault="00D1760F" w:rsidP="00CE4321">
      <w:pPr>
        <w:spacing w:line="360" w:lineRule="auto"/>
        <w:ind w:firstLine="709"/>
        <w:jc w:val="right"/>
        <w:rPr>
          <w:sz w:val="28"/>
          <w:szCs w:val="28"/>
        </w:rPr>
      </w:pPr>
      <w:r w:rsidRPr="000E434B">
        <w:rPr>
          <w:sz w:val="28"/>
          <w:szCs w:val="28"/>
        </w:rPr>
        <w:t xml:space="preserve">Таблица </w:t>
      </w:r>
      <w:r w:rsidR="000E434B" w:rsidRPr="000E434B">
        <w:rPr>
          <w:sz w:val="28"/>
          <w:szCs w:val="28"/>
        </w:rPr>
        <w:t>1.1</w:t>
      </w:r>
    </w:p>
    <w:p w:rsidR="00316842" w:rsidRPr="000E434B" w:rsidRDefault="00D1760F" w:rsidP="00CE4321">
      <w:pPr>
        <w:spacing w:line="360" w:lineRule="auto"/>
        <w:ind w:firstLine="709"/>
        <w:jc w:val="center"/>
        <w:rPr>
          <w:sz w:val="28"/>
          <w:szCs w:val="28"/>
        </w:rPr>
      </w:pPr>
      <w:r w:rsidRPr="000E434B">
        <w:rPr>
          <w:sz w:val="28"/>
          <w:szCs w:val="28"/>
        </w:rPr>
        <w:t>Срок гашения обязательств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731"/>
        <w:gridCol w:w="2566"/>
      </w:tblGrid>
      <w:tr w:rsidR="000E434B" w:rsidRPr="000E434B" w:rsidTr="000E434B">
        <w:trPr>
          <w:cantSplit/>
          <w:jc w:val="center"/>
        </w:trPr>
        <w:tc>
          <w:tcPr>
            <w:tcW w:w="3620" w:type="pct"/>
            <w:shd w:val="clear" w:color="auto" w:fill="auto"/>
          </w:tcPr>
          <w:p w:rsidR="00316842" w:rsidRPr="00CE4321" w:rsidRDefault="00316842" w:rsidP="00CE4321">
            <w:pPr>
              <w:spacing w:line="360" w:lineRule="auto"/>
              <w:jc w:val="both"/>
              <w:rPr>
                <w:sz w:val="28"/>
                <w:szCs w:val="28"/>
              </w:rPr>
            </w:pPr>
            <w:r w:rsidRPr="00CE4321">
              <w:rPr>
                <w:sz w:val="28"/>
                <w:szCs w:val="28"/>
              </w:rPr>
              <w:t>Минимальный срок</w:t>
            </w:r>
          </w:p>
        </w:tc>
        <w:tc>
          <w:tcPr>
            <w:tcW w:w="1380" w:type="pct"/>
            <w:shd w:val="clear" w:color="auto" w:fill="auto"/>
          </w:tcPr>
          <w:p w:rsidR="00316842" w:rsidRPr="00CE4321" w:rsidRDefault="00316842" w:rsidP="00CE4321">
            <w:pPr>
              <w:spacing w:line="360" w:lineRule="auto"/>
              <w:jc w:val="both"/>
              <w:rPr>
                <w:sz w:val="28"/>
                <w:szCs w:val="28"/>
              </w:rPr>
            </w:pPr>
            <w:r w:rsidRPr="00CE4321">
              <w:rPr>
                <w:sz w:val="28"/>
                <w:szCs w:val="28"/>
              </w:rPr>
              <w:t>0,25</w:t>
            </w:r>
          </w:p>
        </w:tc>
      </w:tr>
      <w:tr w:rsidR="000E434B" w:rsidRPr="000E434B" w:rsidTr="000E434B">
        <w:trPr>
          <w:cantSplit/>
          <w:jc w:val="center"/>
        </w:trPr>
        <w:tc>
          <w:tcPr>
            <w:tcW w:w="3620" w:type="pct"/>
            <w:shd w:val="clear" w:color="auto" w:fill="auto"/>
          </w:tcPr>
          <w:p w:rsidR="00316842" w:rsidRPr="00CE4321" w:rsidRDefault="00316842" w:rsidP="00CE4321">
            <w:pPr>
              <w:spacing w:line="360" w:lineRule="auto"/>
              <w:jc w:val="both"/>
              <w:rPr>
                <w:sz w:val="28"/>
                <w:szCs w:val="28"/>
              </w:rPr>
            </w:pPr>
            <w:r w:rsidRPr="00CE4321">
              <w:rPr>
                <w:sz w:val="28"/>
                <w:szCs w:val="28"/>
              </w:rPr>
              <w:t>Максимальный срок</w:t>
            </w:r>
          </w:p>
        </w:tc>
        <w:tc>
          <w:tcPr>
            <w:tcW w:w="1380" w:type="pct"/>
            <w:shd w:val="clear" w:color="auto" w:fill="auto"/>
          </w:tcPr>
          <w:p w:rsidR="00316842" w:rsidRPr="00CE4321" w:rsidRDefault="00316842" w:rsidP="00CE4321">
            <w:pPr>
              <w:spacing w:line="360" w:lineRule="auto"/>
              <w:jc w:val="both"/>
              <w:rPr>
                <w:sz w:val="28"/>
                <w:szCs w:val="28"/>
              </w:rPr>
            </w:pPr>
            <w:r w:rsidRPr="00CE4321">
              <w:rPr>
                <w:sz w:val="28"/>
                <w:szCs w:val="28"/>
              </w:rPr>
              <w:t>3</w:t>
            </w:r>
          </w:p>
        </w:tc>
      </w:tr>
    </w:tbl>
    <w:p w:rsidR="00CE4321" w:rsidRDefault="00CE4321" w:rsidP="00CE4321">
      <w:pPr>
        <w:spacing w:line="360" w:lineRule="auto"/>
        <w:ind w:firstLine="709"/>
        <w:jc w:val="both"/>
        <w:rPr>
          <w:sz w:val="28"/>
          <w:szCs w:val="28"/>
        </w:rPr>
      </w:pPr>
    </w:p>
    <w:p w:rsidR="00CE4321" w:rsidRDefault="00CE4321" w:rsidP="00CE4321">
      <w:pPr>
        <w:spacing w:line="360" w:lineRule="auto"/>
        <w:ind w:firstLine="709"/>
        <w:jc w:val="both"/>
        <w:rPr>
          <w:sz w:val="28"/>
          <w:szCs w:val="28"/>
        </w:rPr>
      </w:pPr>
    </w:p>
    <w:p w:rsidR="00CE4321" w:rsidRDefault="00CE4321" w:rsidP="00CE4321">
      <w:pPr>
        <w:spacing w:line="360" w:lineRule="auto"/>
        <w:ind w:firstLine="709"/>
        <w:jc w:val="both"/>
        <w:rPr>
          <w:sz w:val="28"/>
          <w:szCs w:val="28"/>
        </w:rPr>
      </w:pPr>
    </w:p>
    <w:p w:rsidR="00CE4321" w:rsidRDefault="00316842" w:rsidP="00CE4321">
      <w:pPr>
        <w:spacing w:line="360" w:lineRule="auto"/>
        <w:ind w:firstLine="709"/>
        <w:jc w:val="both"/>
        <w:rPr>
          <w:sz w:val="28"/>
          <w:szCs w:val="28"/>
        </w:rPr>
      </w:pPr>
      <w:r w:rsidRPr="000E434B">
        <w:rPr>
          <w:sz w:val="28"/>
          <w:szCs w:val="28"/>
        </w:rPr>
        <w:t>В настоящее время средства Фонда размещаются согласно следующей валютной структуре:</w:t>
      </w:r>
    </w:p>
    <w:p w:rsidR="000E434B" w:rsidRPr="000E434B" w:rsidRDefault="00D1760F" w:rsidP="00CE4321">
      <w:pPr>
        <w:spacing w:line="360" w:lineRule="auto"/>
        <w:ind w:firstLine="709"/>
        <w:jc w:val="right"/>
        <w:rPr>
          <w:sz w:val="28"/>
          <w:szCs w:val="28"/>
        </w:rPr>
      </w:pPr>
      <w:r w:rsidRPr="000E434B">
        <w:rPr>
          <w:sz w:val="28"/>
          <w:szCs w:val="28"/>
        </w:rPr>
        <w:t xml:space="preserve">Таблица </w:t>
      </w:r>
      <w:r w:rsidR="000E434B" w:rsidRPr="000E434B">
        <w:rPr>
          <w:sz w:val="28"/>
          <w:szCs w:val="28"/>
        </w:rPr>
        <w:t>1.</w:t>
      </w:r>
      <w:r w:rsidRPr="000E434B">
        <w:rPr>
          <w:sz w:val="28"/>
          <w:szCs w:val="28"/>
        </w:rPr>
        <w:t>2</w:t>
      </w:r>
    </w:p>
    <w:p w:rsidR="00316842" w:rsidRPr="000E434B" w:rsidRDefault="00D1760F" w:rsidP="00CE4321">
      <w:pPr>
        <w:spacing w:line="360" w:lineRule="auto"/>
        <w:ind w:firstLine="709"/>
        <w:jc w:val="center"/>
        <w:rPr>
          <w:sz w:val="28"/>
          <w:szCs w:val="28"/>
        </w:rPr>
      </w:pPr>
      <w:r w:rsidRPr="000E434B">
        <w:rPr>
          <w:sz w:val="28"/>
          <w:szCs w:val="28"/>
        </w:rPr>
        <w:t>Структура размещения средств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426"/>
        <w:gridCol w:w="2871"/>
      </w:tblGrid>
      <w:tr w:rsidR="000E434B" w:rsidRPr="000E434B" w:rsidTr="000E434B">
        <w:trPr>
          <w:cantSplit/>
          <w:jc w:val="center"/>
        </w:trPr>
        <w:tc>
          <w:tcPr>
            <w:tcW w:w="3456" w:type="pct"/>
            <w:shd w:val="clear" w:color="auto" w:fill="auto"/>
          </w:tcPr>
          <w:p w:rsidR="00316842" w:rsidRPr="00CE4321" w:rsidRDefault="00316842" w:rsidP="00CE4321">
            <w:pPr>
              <w:spacing w:line="360" w:lineRule="auto"/>
              <w:jc w:val="both"/>
              <w:rPr>
                <w:sz w:val="28"/>
                <w:szCs w:val="28"/>
              </w:rPr>
            </w:pPr>
            <w:r w:rsidRPr="00CE4321">
              <w:rPr>
                <w:sz w:val="28"/>
                <w:szCs w:val="28"/>
              </w:rPr>
              <w:t>Доллар США</w:t>
            </w:r>
          </w:p>
        </w:tc>
        <w:tc>
          <w:tcPr>
            <w:tcW w:w="1544" w:type="pct"/>
            <w:shd w:val="clear" w:color="auto" w:fill="auto"/>
          </w:tcPr>
          <w:p w:rsidR="00316842" w:rsidRPr="00CE4321" w:rsidRDefault="00316842" w:rsidP="00CE4321">
            <w:pPr>
              <w:spacing w:line="360" w:lineRule="auto"/>
              <w:jc w:val="both"/>
              <w:rPr>
                <w:sz w:val="28"/>
                <w:szCs w:val="28"/>
              </w:rPr>
            </w:pPr>
            <w:r w:rsidRPr="00CE4321">
              <w:rPr>
                <w:sz w:val="28"/>
                <w:szCs w:val="28"/>
              </w:rPr>
              <w:t>4</w:t>
            </w:r>
            <w:r w:rsidR="00C839E4" w:rsidRPr="00CE4321">
              <w:rPr>
                <w:sz w:val="28"/>
                <w:szCs w:val="28"/>
              </w:rPr>
              <w:t>5%</w:t>
            </w:r>
          </w:p>
        </w:tc>
      </w:tr>
      <w:tr w:rsidR="000E434B" w:rsidRPr="000E434B" w:rsidTr="000E434B">
        <w:trPr>
          <w:cantSplit/>
          <w:jc w:val="center"/>
        </w:trPr>
        <w:tc>
          <w:tcPr>
            <w:tcW w:w="3456" w:type="pct"/>
            <w:shd w:val="clear" w:color="auto" w:fill="auto"/>
          </w:tcPr>
          <w:p w:rsidR="00316842" w:rsidRPr="00CE4321" w:rsidRDefault="00316842" w:rsidP="00CE4321">
            <w:pPr>
              <w:spacing w:line="360" w:lineRule="auto"/>
              <w:jc w:val="both"/>
              <w:rPr>
                <w:sz w:val="28"/>
                <w:szCs w:val="28"/>
              </w:rPr>
            </w:pPr>
            <w:r w:rsidRPr="00CE4321">
              <w:rPr>
                <w:sz w:val="28"/>
                <w:szCs w:val="28"/>
              </w:rPr>
              <w:t>Евро</w:t>
            </w:r>
          </w:p>
        </w:tc>
        <w:tc>
          <w:tcPr>
            <w:tcW w:w="1544" w:type="pct"/>
            <w:shd w:val="clear" w:color="auto" w:fill="auto"/>
          </w:tcPr>
          <w:p w:rsidR="00316842" w:rsidRPr="00CE4321" w:rsidRDefault="00316842" w:rsidP="00CE4321">
            <w:pPr>
              <w:spacing w:line="360" w:lineRule="auto"/>
              <w:jc w:val="both"/>
              <w:rPr>
                <w:sz w:val="28"/>
                <w:szCs w:val="28"/>
              </w:rPr>
            </w:pPr>
            <w:r w:rsidRPr="00CE4321">
              <w:rPr>
                <w:sz w:val="28"/>
                <w:szCs w:val="28"/>
              </w:rPr>
              <w:t>4</w:t>
            </w:r>
            <w:r w:rsidR="00C839E4" w:rsidRPr="00CE4321">
              <w:rPr>
                <w:sz w:val="28"/>
                <w:szCs w:val="28"/>
              </w:rPr>
              <w:t>5%</w:t>
            </w:r>
          </w:p>
        </w:tc>
      </w:tr>
      <w:tr w:rsidR="00316842" w:rsidRPr="000E434B" w:rsidTr="000E434B">
        <w:trPr>
          <w:cantSplit/>
          <w:jc w:val="center"/>
        </w:trPr>
        <w:tc>
          <w:tcPr>
            <w:tcW w:w="3456" w:type="pct"/>
            <w:shd w:val="clear" w:color="auto" w:fill="auto"/>
          </w:tcPr>
          <w:p w:rsidR="00316842" w:rsidRPr="00CE4321" w:rsidRDefault="00316842" w:rsidP="00CE4321">
            <w:pPr>
              <w:spacing w:line="360" w:lineRule="auto"/>
              <w:jc w:val="both"/>
              <w:rPr>
                <w:sz w:val="28"/>
                <w:szCs w:val="28"/>
              </w:rPr>
            </w:pPr>
            <w:r w:rsidRPr="00CE4321">
              <w:rPr>
                <w:sz w:val="28"/>
                <w:szCs w:val="28"/>
              </w:rPr>
              <w:t>Фунт стерлингов</w:t>
            </w:r>
          </w:p>
        </w:tc>
        <w:tc>
          <w:tcPr>
            <w:tcW w:w="1544" w:type="pct"/>
            <w:shd w:val="clear" w:color="auto" w:fill="auto"/>
          </w:tcPr>
          <w:p w:rsidR="00316842" w:rsidRPr="00CE4321" w:rsidRDefault="00316842" w:rsidP="00CE4321">
            <w:pPr>
              <w:spacing w:line="360" w:lineRule="auto"/>
              <w:jc w:val="both"/>
              <w:rPr>
                <w:sz w:val="28"/>
                <w:szCs w:val="28"/>
              </w:rPr>
            </w:pPr>
            <w:r w:rsidRPr="00CE4321">
              <w:rPr>
                <w:sz w:val="28"/>
                <w:szCs w:val="28"/>
              </w:rPr>
              <w:t>1</w:t>
            </w:r>
            <w:r w:rsidR="00C839E4" w:rsidRPr="00CE4321">
              <w:rPr>
                <w:sz w:val="28"/>
                <w:szCs w:val="28"/>
              </w:rPr>
              <w:t>0%</w:t>
            </w:r>
          </w:p>
        </w:tc>
      </w:tr>
    </w:tbl>
    <w:p w:rsidR="001A5E63" w:rsidRPr="000E434B" w:rsidRDefault="001A5E63" w:rsidP="00CE4321">
      <w:pPr>
        <w:spacing w:line="360" w:lineRule="auto"/>
        <w:ind w:firstLine="709"/>
        <w:jc w:val="both"/>
        <w:rPr>
          <w:sz w:val="28"/>
          <w:szCs w:val="28"/>
        </w:rPr>
      </w:pPr>
    </w:p>
    <w:p w:rsidR="00C839E4" w:rsidRPr="000E434B" w:rsidRDefault="00316842" w:rsidP="00CE4321">
      <w:pPr>
        <w:spacing w:line="360" w:lineRule="auto"/>
        <w:ind w:firstLine="709"/>
        <w:jc w:val="both"/>
        <w:rPr>
          <w:sz w:val="28"/>
          <w:szCs w:val="28"/>
        </w:rPr>
      </w:pPr>
      <w:r w:rsidRPr="000E434B">
        <w:rPr>
          <w:sz w:val="28"/>
          <w:szCs w:val="28"/>
        </w:rPr>
        <w:t>Министерство финансов Российской Федерации утверждает валютную структуру и указанный норматив срока до погашения, которые являются действительными для обоих упомянутых выше методов управления Фондом.</w:t>
      </w:r>
    </w:p>
    <w:p w:rsidR="00316842" w:rsidRPr="000E434B" w:rsidRDefault="00316842" w:rsidP="00CE4321">
      <w:pPr>
        <w:spacing w:line="360" w:lineRule="auto"/>
        <w:ind w:firstLine="709"/>
        <w:jc w:val="both"/>
        <w:rPr>
          <w:sz w:val="28"/>
          <w:szCs w:val="28"/>
        </w:rPr>
      </w:pPr>
      <w:r w:rsidRPr="000E434B">
        <w:rPr>
          <w:sz w:val="28"/>
          <w:szCs w:val="28"/>
        </w:rPr>
        <w:t>Министерство финансов Российской Федерации ежемесячно опубликовывает сведения об остатках средств Фонда на начало отчетного месяца, объеме поступлений средств и использовании средств Фонда в отчетном месяце.</w:t>
      </w:r>
    </w:p>
    <w:p w:rsidR="00316842" w:rsidRPr="000E434B" w:rsidRDefault="00316842" w:rsidP="00CE4321">
      <w:pPr>
        <w:spacing w:line="360" w:lineRule="auto"/>
        <w:ind w:firstLine="709"/>
        <w:jc w:val="both"/>
        <w:rPr>
          <w:sz w:val="28"/>
          <w:szCs w:val="28"/>
        </w:rPr>
      </w:pPr>
      <w:r w:rsidRPr="000E434B">
        <w:rPr>
          <w:sz w:val="28"/>
          <w:szCs w:val="28"/>
        </w:rPr>
        <w:t>Министерство финансов Российской Федерации представляет в Правительство Российской Федерации в составе отчетности об исполнении федерального бюджета квартальные и годовые отчеты о поступлении средств в Фонд, их размещении и использовании.</w:t>
      </w:r>
    </w:p>
    <w:p w:rsidR="00316842" w:rsidRPr="000E434B" w:rsidRDefault="00316842" w:rsidP="00CE4321">
      <w:pPr>
        <w:spacing w:line="360" w:lineRule="auto"/>
        <w:ind w:firstLine="709"/>
        <w:jc w:val="both"/>
        <w:rPr>
          <w:sz w:val="28"/>
          <w:szCs w:val="28"/>
        </w:rPr>
      </w:pPr>
      <w:r w:rsidRPr="000E434B">
        <w:rPr>
          <w:sz w:val="28"/>
          <w:szCs w:val="28"/>
        </w:rPr>
        <w:t>Правительство Российской Федерации направляет ежеквартальные (нарастающим итогом) и годовые отчеты в Государственную Думу Федерального Собрания Российской Федерации и Совет Федерации Федерального Собрания Российской Федерации</w:t>
      </w:r>
      <w:r w:rsidR="00C839E4" w:rsidRPr="000E434B">
        <w:rPr>
          <w:sz w:val="28"/>
          <w:szCs w:val="28"/>
        </w:rPr>
        <w:t xml:space="preserve"> </w:t>
      </w:r>
      <w:r w:rsidRPr="000E434B">
        <w:rPr>
          <w:sz w:val="28"/>
          <w:szCs w:val="28"/>
        </w:rPr>
        <w:t>о поступлении средств в Фонд, их размещении и использовании в составе отчетности об исполнении федерального бюджета.</w:t>
      </w:r>
    </w:p>
    <w:p w:rsidR="00D1760F" w:rsidRPr="000E434B" w:rsidRDefault="008B2538" w:rsidP="00CE4321">
      <w:pPr>
        <w:spacing w:line="360" w:lineRule="auto"/>
        <w:ind w:firstLine="709"/>
        <w:jc w:val="both"/>
        <w:rPr>
          <w:sz w:val="28"/>
          <w:szCs w:val="28"/>
        </w:rPr>
      </w:pPr>
      <w:r w:rsidRPr="000E434B">
        <w:rPr>
          <w:sz w:val="28"/>
          <w:szCs w:val="28"/>
        </w:rPr>
        <w:t>Итак, это специальный бюджетный фонд, который регулируется федеральным законодательством о федеральном бюджете и Бюджетным кодексом, а так же постановлениями правительства РФ. Аккумулирование ресурсов в этом фонде происходило до сегодняшнего дня, я это подчеркиваю, потому что сегодня Президент подписал указ о том, что базовый уровень цен, при котором происходит формирование Стабилизационного фонда, повышается с $20 за баррель до $27 за баррель, за счет доходов от добычи и экспорта нефти.</w:t>
      </w:r>
    </w:p>
    <w:p w:rsidR="00D1760F" w:rsidRPr="000E434B" w:rsidRDefault="008B2538" w:rsidP="00CE4321">
      <w:pPr>
        <w:spacing w:line="360" w:lineRule="auto"/>
        <w:ind w:firstLine="709"/>
        <w:jc w:val="both"/>
        <w:rPr>
          <w:sz w:val="28"/>
          <w:szCs w:val="28"/>
        </w:rPr>
      </w:pPr>
      <w:r w:rsidRPr="000E434B">
        <w:rPr>
          <w:sz w:val="28"/>
          <w:szCs w:val="28"/>
        </w:rPr>
        <w:t xml:space="preserve">Поскольку этот фонд бюджетный, то его средства находятся в оперативном управлении Министерства финансов РФ, и могут размещаться в долговых обязательствах иностранных государств. И что очень важно в этом случае </w:t>
      </w:r>
      <w:r w:rsidR="00C839E4" w:rsidRPr="000E434B">
        <w:rPr>
          <w:sz w:val="28"/>
          <w:szCs w:val="28"/>
        </w:rPr>
        <w:t xml:space="preserve">– </w:t>
      </w:r>
      <w:r w:rsidRPr="000E434B">
        <w:rPr>
          <w:sz w:val="28"/>
          <w:szCs w:val="28"/>
        </w:rPr>
        <w:t>доходы от размещения не капитализуются, а относятся к доходам федерального бюджета.</w:t>
      </w:r>
    </w:p>
    <w:p w:rsidR="00D1760F" w:rsidRPr="000E434B" w:rsidRDefault="008B2538" w:rsidP="00CE4321">
      <w:pPr>
        <w:spacing w:line="360" w:lineRule="auto"/>
        <w:ind w:firstLine="709"/>
        <w:jc w:val="both"/>
        <w:rPr>
          <w:sz w:val="28"/>
          <w:szCs w:val="28"/>
        </w:rPr>
      </w:pPr>
      <w:r w:rsidRPr="000E434B">
        <w:rPr>
          <w:sz w:val="28"/>
          <w:szCs w:val="28"/>
        </w:rPr>
        <w:t xml:space="preserve">Это еще раз подчеркивает специальную роль </w:t>
      </w:r>
      <w:r w:rsidR="002C6BAA" w:rsidRPr="000E434B">
        <w:rPr>
          <w:sz w:val="28"/>
          <w:szCs w:val="28"/>
        </w:rPr>
        <w:t>фонда</w:t>
      </w:r>
      <w:r w:rsidRPr="000E434B">
        <w:rPr>
          <w:sz w:val="28"/>
          <w:szCs w:val="28"/>
        </w:rPr>
        <w:t xml:space="preserve"> как бюджетного фонда. Соответственно, расходование средств </w:t>
      </w:r>
      <w:r w:rsidR="002C6BAA" w:rsidRPr="000E434B">
        <w:rPr>
          <w:sz w:val="28"/>
          <w:szCs w:val="28"/>
        </w:rPr>
        <w:t>Фонд</w:t>
      </w:r>
      <w:r w:rsidRPr="000E434B">
        <w:rPr>
          <w:sz w:val="28"/>
          <w:szCs w:val="28"/>
        </w:rPr>
        <w:t>а предусматривается в условиях неблагоприятной конъюнктуры, когда цены на нефть опускаются ниже базового уровня.</w:t>
      </w:r>
    </w:p>
    <w:p w:rsidR="00D1760F" w:rsidRPr="000E434B" w:rsidRDefault="008B2538" w:rsidP="00CE4321">
      <w:pPr>
        <w:spacing w:line="360" w:lineRule="auto"/>
        <w:ind w:firstLine="709"/>
        <w:jc w:val="both"/>
        <w:rPr>
          <w:sz w:val="28"/>
          <w:szCs w:val="28"/>
        </w:rPr>
      </w:pPr>
      <w:r w:rsidRPr="000E434B">
        <w:rPr>
          <w:sz w:val="28"/>
          <w:szCs w:val="28"/>
        </w:rPr>
        <w:t xml:space="preserve">В этой связи надо напомнить, что </w:t>
      </w:r>
      <w:r w:rsidR="002C6BAA" w:rsidRPr="000E434B">
        <w:rPr>
          <w:sz w:val="28"/>
          <w:szCs w:val="28"/>
        </w:rPr>
        <w:t>Фонд</w:t>
      </w:r>
      <w:r w:rsidRPr="000E434B">
        <w:rPr>
          <w:sz w:val="28"/>
          <w:szCs w:val="28"/>
        </w:rPr>
        <w:t xml:space="preserve"> формируется из налоговых источников, определяемых нефтяной конъюнктурой, то есть, наполнение </w:t>
      </w:r>
      <w:r w:rsidR="002C6BAA" w:rsidRPr="000E434B">
        <w:rPr>
          <w:sz w:val="28"/>
          <w:szCs w:val="28"/>
        </w:rPr>
        <w:t>Фонд</w:t>
      </w:r>
      <w:r w:rsidRPr="000E434B">
        <w:rPr>
          <w:sz w:val="28"/>
          <w:szCs w:val="28"/>
        </w:rPr>
        <w:t>а находится в четкой зависимости от внешнемировой конъюнктуры и только.</w:t>
      </w:r>
    </w:p>
    <w:p w:rsidR="00D1760F" w:rsidRPr="000E434B" w:rsidRDefault="008B2538" w:rsidP="00CE4321">
      <w:pPr>
        <w:spacing w:line="360" w:lineRule="auto"/>
        <w:ind w:firstLine="709"/>
        <w:jc w:val="both"/>
        <w:rPr>
          <w:sz w:val="28"/>
          <w:szCs w:val="28"/>
        </w:rPr>
      </w:pPr>
      <w:r w:rsidRPr="000E434B">
        <w:rPr>
          <w:sz w:val="28"/>
          <w:szCs w:val="28"/>
        </w:rPr>
        <w:t xml:space="preserve">А от цен на другие сырьевые или близкие к таковым товары размеры </w:t>
      </w:r>
      <w:r w:rsidR="002C6BAA" w:rsidRPr="000E434B">
        <w:rPr>
          <w:sz w:val="28"/>
          <w:szCs w:val="28"/>
        </w:rPr>
        <w:t>Фонд</w:t>
      </w:r>
      <w:r w:rsidRPr="000E434B">
        <w:rPr>
          <w:sz w:val="28"/>
          <w:szCs w:val="28"/>
        </w:rPr>
        <w:t xml:space="preserve">а не зависят. Так же законом определено, что базовый объем </w:t>
      </w:r>
      <w:r w:rsidR="002C6BAA" w:rsidRPr="000E434B">
        <w:rPr>
          <w:sz w:val="28"/>
          <w:szCs w:val="28"/>
        </w:rPr>
        <w:t>Резервного</w:t>
      </w:r>
      <w:r w:rsidRPr="000E434B">
        <w:rPr>
          <w:sz w:val="28"/>
          <w:szCs w:val="28"/>
        </w:rPr>
        <w:t xml:space="preserve"> фонда составляет 500 млрд. рублей, это неприкасаемый запас, статья 96 Бюджетного кодекса определяет это, и все остальное можно расходовать на какие-то цели. В частности, можно использовать ресурсы для ликвидации кассовых разрывов бюджета в определенных пределах в том случае, когда цена на нефть ниже базовой.</w:t>
      </w:r>
    </w:p>
    <w:p w:rsidR="00D1760F" w:rsidRPr="000E434B" w:rsidRDefault="008B2538" w:rsidP="00CE4321">
      <w:pPr>
        <w:spacing w:line="360" w:lineRule="auto"/>
        <w:ind w:firstLine="709"/>
        <w:jc w:val="both"/>
        <w:rPr>
          <w:sz w:val="28"/>
          <w:szCs w:val="28"/>
        </w:rPr>
      </w:pPr>
      <w:r w:rsidRPr="000E434B">
        <w:rPr>
          <w:sz w:val="28"/>
          <w:szCs w:val="28"/>
        </w:rPr>
        <w:t>Зарубежный опыт подсказывает нам, что эта идея далеко не новая, в ряде стран, которые имеют сырьевой характер экономики, такие стабилизационные фонды существуют, хотя они по-разному институционально позиционированы.</w:t>
      </w:r>
    </w:p>
    <w:p w:rsidR="008B2538" w:rsidRPr="000E434B" w:rsidRDefault="008B2538" w:rsidP="00CE4321">
      <w:pPr>
        <w:spacing w:line="360" w:lineRule="auto"/>
        <w:ind w:firstLine="709"/>
        <w:jc w:val="both"/>
        <w:rPr>
          <w:sz w:val="28"/>
          <w:szCs w:val="28"/>
        </w:rPr>
      </w:pPr>
      <w:r w:rsidRPr="000E434B">
        <w:rPr>
          <w:sz w:val="28"/>
          <w:szCs w:val="28"/>
        </w:rPr>
        <w:t xml:space="preserve">В одном случае это стерилизаторы избыточного притока валюты от благоприятной конъюнктуры, в другом случае </w:t>
      </w:r>
      <w:r w:rsidR="00C839E4" w:rsidRPr="000E434B">
        <w:rPr>
          <w:sz w:val="28"/>
          <w:szCs w:val="28"/>
        </w:rPr>
        <w:t xml:space="preserve">– </w:t>
      </w:r>
      <w:r w:rsidRPr="000E434B">
        <w:rPr>
          <w:sz w:val="28"/>
          <w:szCs w:val="28"/>
        </w:rPr>
        <w:t>это фонды будущего поколения. Существуют и другие фонды, так называемые фонды развития, но они в данном случае не имеют прямого отношения к теме нашего обсуждения.</w:t>
      </w:r>
    </w:p>
    <w:p w:rsidR="008B2538" w:rsidRPr="000E434B" w:rsidRDefault="008B2538" w:rsidP="00CE4321">
      <w:pPr>
        <w:spacing w:line="360" w:lineRule="auto"/>
        <w:ind w:firstLine="709"/>
        <w:jc w:val="both"/>
        <w:rPr>
          <w:sz w:val="28"/>
          <w:szCs w:val="28"/>
        </w:rPr>
      </w:pPr>
      <w:r w:rsidRPr="000E434B">
        <w:rPr>
          <w:sz w:val="28"/>
          <w:szCs w:val="28"/>
        </w:rPr>
        <w:t xml:space="preserve">Порядок формирования и использования стабилизационного фонда первоначально регулировалась главой 13.1 «Стабилизационный фонд Российской Федерации» </w:t>
      </w:r>
      <w:r w:rsidRPr="00AA04E4">
        <w:rPr>
          <w:sz w:val="28"/>
          <w:szCs w:val="28"/>
        </w:rPr>
        <w:t>Бюджетного кодекса РФ</w:t>
      </w:r>
      <w:r w:rsidRPr="000E434B">
        <w:rPr>
          <w:sz w:val="28"/>
          <w:szCs w:val="28"/>
        </w:rPr>
        <w:t>. С 1 января 2008 года данный раздел утратил силу, и вместо него кодекс был дополнен главой 13.2 «Использование нефтегазовых доходов федерального бюджета».</w:t>
      </w:r>
    </w:p>
    <w:p w:rsidR="008B2538" w:rsidRPr="000E434B" w:rsidRDefault="008B2538" w:rsidP="00CE4321">
      <w:pPr>
        <w:spacing w:line="360" w:lineRule="auto"/>
        <w:ind w:firstLine="709"/>
        <w:jc w:val="both"/>
        <w:rPr>
          <w:sz w:val="28"/>
          <w:szCs w:val="28"/>
        </w:rPr>
      </w:pPr>
      <w:r w:rsidRPr="000E434B">
        <w:rPr>
          <w:sz w:val="28"/>
          <w:szCs w:val="28"/>
        </w:rPr>
        <w:t xml:space="preserve">Прежде всего, необходимо провести чёткую границу между управлением средствами </w:t>
      </w:r>
      <w:r w:rsidR="002C6BAA" w:rsidRPr="000E434B">
        <w:rPr>
          <w:sz w:val="28"/>
          <w:szCs w:val="28"/>
        </w:rPr>
        <w:t>Фонд</w:t>
      </w:r>
      <w:r w:rsidRPr="000E434B">
        <w:rPr>
          <w:sz w:val="28"/>
          <w:szCs w:val="28"/>
        </w:rPr>
        <w:t>а и их использованием. Исходя из предназначения Фонда </w:t>
      </w:r>
      <w:r w:rsidR="00C839E4" w:rsidRPr="000E434B">
        <w:rPr>
          <w:sz w:val="28"/>
          <w:szCs w:val="28"/>
        </w:rPr>
        <w:t xml:space="preserve">– </w:t>
      </w:r>
      <w:r w:rsidRPr="000E434B">
        <w:rPr>
          <w:sz w:val="28"/>
          <w:szCs w:val="28"/>
        </w:rPr>
        <w:t xml:space="preserve">служить стратегическим финансовым резервом страны, основными задачами управления являются защита его средств от обесценивания и обеспечение их высокой </w:t>
      </w:r>
      <w:r w:rsidRPr="00AA04E4">
        <w:rPr>
          <w:sz w:val="28"/>
          <w:szCs w:val="28"/>
        </w:rPr>
        <w:t>ликвидности</w:t>
      </w:r>
      <w:r w:rsidRPr="000E434B">
        <w:rPr>
          <w:sz w:val="28"/>
          <w:szCs w:val="28"/>
        </w:rPr>
        <w:t>. Обеспечение же высокой доходности от размещения средств, как правило, связано с большим риском, что входит в противоречие с изначальной функцией Фонда. Согласно постановлению Правительства, Минфин может управлять средствами Фонда двумя способами (как каждым в отдельности, так и одновременно):</w:t>
      </w:r>
    </w:p>
    <w:p w:rsidR="008B2538" w:rsidRPr="000E434B" w:rsidRDefault="008B2538" w:rsidP="00CE4321">
      <w:pPr>
        <w:numPr>
          <w:ilvl w:val="0"/>
          <w:numId w:val="13"/>
        </w:numPr>
        <w:spacing w:line="360" w:lineRule="auto"/>
        <w:ind w:left="0" w:firstLine="709"/>
        <w:jc w:val="both"/>
        <w:rPr>
          <w:sz w:val="28"/>
          <w:szCs w:val="28"/>
        </w:rPr>
      </w:pPr>
      <w:r w:rsidRPr="000E434B">
        <w:rPr>
          <w:sz w:val="28"/>
          <w:szCs w:val="28"/>
        </w:rPr>
        <w:t xml:space="preserve">путём приобретения за счёт средств Фонда иностранной валюты в долларах США, евро и фунтах стерлингов Соединённого королевства и её размещения на счетах по учёту средств </w:t>
      </w:r>
      <w:r w:rsidR="002C6BAA" w:rsidRPr="000E434B">
        <w:rPr>
          <w:sz w:val="28"/>
          <w:szCs w:val="28"/>
        </w:rPr>
        <w:t>Фонд</w:t>
      </w:r>
      <w:r w:rsidRPr="000E434B">
        <w:rPr>
          <w:sz w:val="28"/>
          <w:szCs w:val="28"/>
        </w:rPr>
        <w:t>а в иностранной валюте в Банке России. За пользование средствами ЦБ уплачивает проценты, установленные договором банковского счёта;</w:t>
      </w:r>
    </w:p>
    <w:p w:rsidR="008B2538" w:rsidRPr="000E434B" w:rsidRDefault="008B2538" w:rsidP="00CE4321">
      <w:pPr>
        <w:numPr>
          <w:ilvl w:val="0"/>
          <w:numId w:val="13"/>
        </w:numPr>
        <w:spacing w:line="360" w:lineRule="auto"/>
        <w:ind w:left="0" w:firstLine="709"/>
        <w:jc w:val="both"/>
        <w:rPr>
          <w:sz w:val="28"/>
          <w:szCs w:val="28"/>
        </w:rPr>
      </w:pPr>
      <w:r w:rsidRPr="000E434B">
        <w:rPr>
          <w:sz w:val="28"/>
          <w:szCs w:val="28"/>
        </w:rPr>
        <w:t>путём приобретения за счёт средств Фонда долговых обязательств иностранных государств.</w:t>
      </w:r>
    </w:p>
    <w:p w:rsidR="0069729A" w:rsidRPr="000E434B" w:rsidRDefault="008B2538" w:rsidP="00CE4321">
      <w:pPr>
        <w:spacing w:line="360" w:lineRule="auto"/>
        <w:ind w:firstLine="709"/>
        <w:jc w:val="both"/>
        <w:rPr>
          <w:sz w:val="28"/>
          <w:szCs w:val="28"/>
        </w:rPr>
      </w:pPr>
      <w:r w:rsidRPr="000E434B">
        <w:rPr>
          <w:sz w:val="28"/>
          <w:szCs w:val="28"/>
        </w:rPr>
        <w:t xml:space="preserve">Перечень государств и требования к их долговым обязательствам определяет Правительство, а Минфин разрабатывает нормативную валютную структуру средств Фонда, нормативы минимального и максимального сроков до погашения выпусков долговых обязательств, порядок расчёта и зачисления процентов и порядок взаимодействия с Федеральным казначейством при проведении операций. 24 июля 2006 начался процесс перевода всех средств Фонда в иностранную валюту и 16 октября 2006 </w:t>
      </w:r>
      <w:r w:rsidR="0069729A" w:rsidRPr="000E434B">
        <w:rPr>
          <w:sz w:val="28"/>
          <w:szCs w:val="28"/>
        </w:rPr>
        <w:t>этот процесс был завершён.</w:t>
      </w:r>
    </w:p>
    <w:p w:rsidR="0069729A" w:rsidRPr="000E434B" w:rsidRDefault="008B2538" w:rsidP="00CE4321">
      <w:pPr>
        <w:spacing w:line="360" w:lineRule="auto"/>
        <w:ind w:firstLine="709"/>
        <w:jc w:val="both"/>
        <w:rPr>
          <w:sz w:val="28"/>
          <w:szCs w:val="28"/>
        </w:rPr>
      </w:pPr>
      <w:r w:rsidRPr="000E434B">
        <w:rPr>
          <w:sz w:val="28"/>
          <w:szCs w:val="28"/>
        </w:rPr>
        <w:t>С тех пор средства размещаются на валютных счетах ЦБ по мере их поступления. В настоящее время</w:t>
      </w:r>
      <w:r w:rsidR="00C839E4" w:rsidRPr="000E434B">
        <w:rPr>
          <w:sz w:val="28"/>
          <w:szCs w:val="28"/>
        </w:rPr>
        <w:t xml:space="preserve"> </w:t>
      </w:r>
      <w:r w:rsidRPr="000E434B">
        <w:rPr>
          <w:sz w:val="28"/>
          <w:szCs w:val="28"/>
        </w:rPr>
        <w:t>средства Фонда размещаются согласно следующей валютной структуре: доллар и евро </w:t>
      </w:r>
      <w:r w:rsidR="00C839E4" w:rsidRPr="000E434B">
        <w:rPr>
          <w:sz w:val="28"/>
          <w:szCs w:val="28"/>
        </w:rPr>
        <w:t xml:space="preserve">– </w:t>
      </w:r>
      <w:r w:rsidRPr="000E434B">
        <w:rPr>
          <w:sz w:val="28"/>
          <w:szCs w:val="28"/>
        </w:rPr>
        <w:t>по 4</w:t>
      </w:r>
      <w:r w:rsidR="00C839E4" w:rsidRPr="000E434B">
        <w:rPr>
          <w:sz w:val="28"/>
          <w:szCs w:val="28"/>
        </w:rPr>
        <w:t>5%</w:t>
      </w:r>
      <w:r w:rsidRPr="000E434B">
        <w:rPr>
          <w:sz w:val="28"/>
          <w:szCs w:val="28"/>
        </w:rPr>
        <w:t>, фунт </w:t>
      </w:r>
      <w:r w:rsidR="00C839E4" w:rsidRPr="000E434B">
        <w:rPr>
          <w:sz w:val="28"/>
          <w:szCs w:val="28"/>
        </w:rPr>
        <w:t xml:space="preserve">– </w:t>
      </w:r>
      <w:r w:rsidRPr="000E434B">
        <w:rPr>
          <w:sz w:val="28"/>
          <w:szCs w:val="28"/>
        </w:rPr>
        <w:t>1</w:t>
      </w:r>
      <w:r w:rsidR="00C839E4" w:rsidRPr="000E434B">
        <w:rPr>
          <w:sz w:val="28"/>
          <w:szCs w:val="28"/>
        </w:rPr>
        <w:t>0%</w:t>
      </w:r>
      <w:r w:rsidRPr="000E434B">
        <w:rPr>
          <w:sz w:val="28"/>
          <w:szCs w:val="28"/>
        </w:rPr>
        <w:t>.</w:t>
      </w:r>
    </w:p>
    <w:p w:rsidR="008B2538" w:rsidRPr="000E434B" w:rsidRDefault="008B2538" w:rsidP="00CE4321">
      <w:pPr>
        <w:spacing w:line="360" w:lineRule="auto"/>
        <w:ind w:firstLine="709"/>
        <w:jc w:val="both"/>
        <w:rPr>
          <w:sz w:val="28"/>
          <w:szCs w:val="28"/>
        </w:rPr>
      </w:pPr>
      <w:r w:rsidRPr="000E434B">
        <w:rPr>
          <w:sz w:val="28"/>
          <w:szCs w:val="28"/>
        </w:rPr>
        <w:t>Срок до погашения долговых обязательств на день их приобретения (день формирования портфеля) находится в диапазоне, ограниченном следующими сроками (в годах): 0,25 </w:t>
      </w:r>
      <w:r w:rsidR="00C839E4" w:rsidRPr="000E434B">
        <w:rPr>
          <w:sz w:val="28"/>
          <w:szCs w:val="28"/>
        </w:rPr>
        <w:t xml:space="preserve">– </w:t>
      </w:r>
      <w:r w:rsidRPr="000E434B">
        <w:rPr>
          <w:sz w:val="28"/>
          <w:szCs w:val="28"/>
        </w:rPr>
        <w:t>3. ЦБ ежегодно уплачивает проценты, эквивалентные доходности портфелей, сформированных из долговых обязательств (к ним отнесены ценные бумаги правительств США, Великобритании и некоторых стран ЕС).</w:t>
      </w:r>
    </w:p>
    <w:p w:rsidR="00A4014B" w:rsidRPr="000E434B" w:rsidRDefault="00A4014B" w:rsidP="00CE4321">
      <w:pPr>
        <w:spacing w:line="360" w:lineRule="auto"/>
        <w:ind w:firstLine="709"/>
        <w:jc w:val="both"/>
        <w:rPr>
          <w:sz w:val="28"/>
          <w:szCs w:val="28"/>
        </w:rPr>
      </w:pPr>
      <w:r w:rsidRPr="000E434B">
        <w:rPr>
          <w:bCs/>
          <w:sz w:val="28"/>
          <w:szCs w:val="28"/>
        </w:rPr>
        <w:t xml:space="preserve">Характерно, что в постановлении правительства «о порядке инвестирования средств </w:t>
      </w:r>
      <w:r w:rsidR="002C6BAA" w:rsidRPr="000E434B">
        <w:rPr>
          <w:bCs/>
          <w:sz w:val="28"/>
          <w:szCs w:val="28"/>
        </w:rPr>
        <w:t>Фонд</w:t>
      </w:r>
      <w:r w:rsidRPr="000E434B">
        <w:rPr>
          <w:bCs/>
          <w:sz w:val="28"/>
          <w:szCs w:val="28"/>
        </w:rPr>
        <w:t>а» страны, в ценные бумаги правительств которых Минфин может вкладывать денежные средства, расположены в странном порядке. Цитируем по официальному сайту Минфина РФ: «долговые обязательства в форме ценных бумаг правительств Австрии, Бельгии, Финляндии, Франции, Германии, Греции, Ирландии, Италии, Люксембурга, Нидерландов, Португалии, Испании, Великобритании и США, номинированные в долларах США, евро и английских фунтах стерлингов».</w:t>
      </w:r>
    </w:p>
    <w:p w:rsidR="00A4014B" w:rsidRPr="000E434B" w:rsidRDefault="00A4014B" w:rsidP="00CE4321">
      <w:pPr>
        <w:spacing w:line="360" w:lineRule="auto"/>
        <w:ind w:firstLine="709"/>
        <w:jc w:val="both"/>
        <w:rPr>
          <w:sz w:val="28"/>
          <w:szCs w:val="28"/>
        </w:rPr>
      </w:pPr>
      <w:r w:rsidRPr="000E434B">
        <w:rPr>
          <w:sz w:val="28"/>
          <w:szCs w:val="28"/>
        </w:rPr>
        <w:t>По какому принципу расположены страны, упомянутые в этом перечне? Не сразу и сообразишь, что они расположены строго в алфавитом порядке. Переведём названия стран на английский, и мы легко в этом убедимся.</w:t>
      </w:r>
      <w:r w:rsidR="00C839E4" w:rsidRPr="000E434B">
        <w:rPr>
          <w:sz w:val="28"/>
          <w:szCs w:val="28"/>
        </w:rPr>
        <w:t xml:space="preserve"> </w:t>
      </w:r>
      <w:r w:rsidRPr="000E434B">
        <w:rPr>
          <w:sz w:val="28"/>
          <w:szCs w:val="28"/>
        </w:rPr>
        <w:t>Действительно, английские названия этих стран расположены в строгом порядке латинского алфавита.</w:t>
      </w:r>
    </w:p>
    <w:p w:rsidR="00A4014B" w:rsidRPr="000E434B" w:rsidRDefault="00A4014B" w:rsidP="00CE4321">
      <w:pPr>
        <w:spacing w:line="360" w:lineRule="auto"/>
        <w:ind w:firstLine="709"/>
        <w:jc w:val="both"/>
        <w:rPr>
          <w:sz w:val="28"/>
          <w:szCs w:val="28"/>
        </w:rPr>
      </w:pPr>
      <w:r w:rsidRPr="000E434B">
        <w:rPr>
          <w:sz w:val="28"/>
          <w:szCs w:val="28"/>
        </w:rPr>
        <w:t>На каком языке писался оригинал данного постановления, вряд ли вызовет вопросы. Намного интереснее задаться вопросом об интеллектуальном уровне работников Минфина, допускающих столь обидные проколы при переводе «указивок» своих западных хозяев на русский язык. А также при их публикации в открытых «простому русскому быдлу» источниках…</w:t>
      </w:r>
    </w:p>
    <w:p w:rsidR="00CE4321" w:rsidRDefault="00CE4321" w:rsidP="00CE4321">
      <w:pPr>
        <w:pStyle w:val="1"/>
        <w:spacing w:before="0" w:beforeAutospacing="0" w:after="0" w:afterAutospacing="0" w:line="360" w:lineRule="auto"/>
        <w:jc w:val="both"/>
        <w:rPr>
          <w:sz w:val="32"/>
        </w:rPr>
      </w:pPr>
      <w:bookmarkStart w:id="6" w:name="_Toc295816787"/>
    </w:p>
    <w:p w:rsidR="00CE4321" w:rsidRDefault="00CE4321" w:rsidP="00CE4321">
      <w:pPr>
        <w:pStyle w:val="1"/>
        <w:spacing w:before="0" w:beforeAutospacing="0" w:after="0" w:afterAutospacing="0" w:line="360" w:lineRule="auto"/>
        <w:jc w:val="both"/>
        <w:rPr>
          <w:sz w:val="32"/>
        </w:rPr>
      </w:pPr>
    </w:p>
    <w:p w:rsidR="00CE4321" w:rsidRDefault="00CE4321" w:rsidP="00CE4321">
      <w:pPr>
        <w:pStyle w:val="1"/>
        <w:spacing w:before="0" w:beforeAutospacing="0" w:after="0" w:afterAutospacing="0" w:line="360" w:lineRule="auto"/>
        <w:jc w:val="both"/>
        <w:rPr>
          <w:sz w:val="32"/>
        </w:rPr>
      </w:pPr>
    </w:p>
    <w:p w:rsidR="003C5998" w:rsidRPr="00CE4321" w:rsidRDefault="00CE4321" w:rsidP="00CE4321">
      <w:pPr>
        <w:pStyle w:val="1"/>
        <w:spacing w:before="0" w:beforeAutospacing="0" w:after="0" w:afterAutospacing="0" w:line="360" w:lineRule="auto"/>
        <w:jc w:val="both"/>
        <w:rPr>
          <w:b w:val="0"/>
          <w:sz w:val="32"/>
        </w:rPr>
      </w:pPr>
      <w:r>
        <w:rPr>
          <w:b w:val="0"/>
          <w:sz w:val="32"/>
        </w:rPr>
        <w:t>2. ФОРМИРОВАНИЕ И ИСПОЛЬЗОВАНИЕ СРЕДСТВ РЕЗЕРВНОГО ФОНДА</w:t>
      </w:r>
      <w:r w:rsidR="002C6BAA" w:rsidRPr="00CE4321">
        <w:rPr>
          <w:b w:val="0"/>
          <w:sz w:val="32"/>
        </w:rPr>
        <w:t xml:space="preserve"> </w:t>
      </w:r>
      <w:bookmarkEnd w:id="6"/>
    </w:p>
    <w:p w:rsidR="001A5E63" w:rsidRPr="000E434B" w:rsidRDefault="001A5E63" w:rsidP="00CE4321">
      <w:pPr>
        <w:pStyle w:val="1"/>
        <w:spacing w:before="0" w:beforeAutospacing="0" w:after="0" w:afterAutospacing="0" w:line="360" w:lineRule="auto"/>
        <w:ind w:firstLine="709"/>
        <w:jc w:val="both"/>
        <w:rPr>
          <w:rStyle w:val="editsection"/>
          <w:sz w:val="28"/>
          <w:szCs w:val="28"/>
        </w:rPr>
      </w:pPr>
      <w:bookmarkStart w:id="7" w:name="_Toc272765890"/>
    </w:p>
    <w:bookmarkEnd w:id="7"/>
    <w:p w:rsidR="002C6BAA" w:rsidRPr="002C6BAA" w:rsidRDefault="002C6BAA" w:rsidP="00CE4321">
      <w:pPr>
        <w:spacing w:line="360" w:lineRule="auto"/>
        <w:ind w:firstLine="709"/>
        <w:jc w:val="both"/>
        <w:rPr>
          <w:sz w:val="28"/>
          <w:szCs w:val="28"/>
        </w:rPr>
      </w:pPr>
      <w:r w:rsidRPr="002C6BAA">
        <w:rPr>
          <w:bCs/>
          <w:sz w:val="28"/>
          <w:szCs w:val="28"/>
        </w:rPr>
        <w:t>Нефтегазовые доходы федерального бюджета</w:t>
      </w:r>
      <w:r w:rsidRPr="002C6BAA">
        <w:rPr>
          <w:sz w:val="28"/>
          <w:szCs w:val="28"/>
        </w:rPr>
        <w:t xml:space="preserve"> формируются за счет:</w:t>
      </w:r>
    </w:p>
    <w:p w:rsidR="002C6BAA" w:rsidRPr="002C6BAA" w:rsidRDefault="002C6BAA" w:rsidP="00CE4321">
      <w:pPr>
        <w:spacing w:line="360" w:lineRule="auto"/>
        <w:ind w:firstLine="709"/>
        <w:jc w:val="both"/>
        <w:rPr>
          <w:sz w:val="28"/>
          <w:szCs w:val="28"/>
        </w:rPr>
      </w:pPr>
      <w:r w:rsidRPr="002C6BAA">
        <w:rPr>
          <w:sz w:val="28"/>
          <w:szCs w:val="28"/>
        </w:rPr>
        <w:t>- налога на добычу полезных ископаемых в виде углеводородного сырья (нефть, газ горючий природный, газовый конденсат);</w:t>
      </w:r>
    </w:p>
    <w:p w:rsidR="002C6BAA" w:rsidRPr="002C6BAA" w:rsidRDefault="002C6BAA" w:rsidP="00CE4321">
      <w:pPr>
        <w:spacing w:line="360" w:lineRule="auto"/>
        <w:ind w:firstLine="709"/>
        <w:jc w:val="both"/>
        <w:rPr>
          <w:sz w:val="28"/>
          <w:szCs w:val="28"/>
        </w:rPr>
      </w:pPr>
      <w:r w:rsidRPr="002C6BAA">
        <w:rPr>
          <w:sz w:val="28"/>
          <w:szCs w:val="28"/>
        </w:rPr>
        <w:t>- вывозных таможенных пошлин на нефть сырую;</w:t>
      </w:r>
    </w:p>
    <w:p w:rsidR="002C6BAA" w:rsidRPr="002C6BAA" w:rsidRDefault="002C6BAA" w:rsidP="00CE4321">
      <w:pPr>
        <w:spacing w:line="360" w:lineRule="auto"/>
        <w:ind w:firstLine="709"/>
        <w:jc w:val="both"/>
        <w:rPr>
          <w:sz w:val="28"/>
          <w:szCs w:val="28"/>
        </w:rPr>
      </w:pPr>
      <w:r w:rsidRPr="002C6BAA">
        <w:rPr>
          <w:sz w:val="28"/>
          <w:szCs w:val="28"/>
        </w:rPr>
        <w:t>- вывозных таможенных пошлин на газ природный;</w:t>
      </w:r>
    </w:p>
    <w:p w:rsidR="002C6BAA" w:rsidRPr="002C6BAA" w:rsidRDefault="002C6BAA" w:rsidP="00CE4321">
      <w:pPr>
        <w:spacing w:line="360" w:lineRule="auto"/>
        <w:ind w:firstLine="709"/>
        <w:jc w:val="both"/>
        <w:rPr>
          <w:sz w:val="28"/>
          <w:szCs w:val="28"/>
        </w:rPr>
      </w:pPr>
      <w:r w:rsidRPr="002C6BAA">
        <w:rPr>
          <w:sz w:val="28"/>
          <w:szCs w:val="28"/>
        </w:rPr>
        <w:t>- вывозных таможенных пошлин на товары, выработанные из нефти.</w:t>
      </w:r>
    </w:p>
    <w:p w:rsidR="002C6BAA" w:rsidRPr="002C6BAA" w:rsidRDefault="002C6BAA" w:rsidP="00CE4321">
      <w:pPr>
        <w:spacing w:line="360" w:lineRule="auto"/>
        <w:ind w:firstLine="709"/>
        <w:jc w:val="both"/>
        <w:rPr>
          <w:sz w:val="28"/>
          <w:szCs w:val="28"/>
        </w:rPr>
      </w:pPr>
      <w:r w:rsidRPr="002C6BAA">
        <w:rPr>
          <w:sz w:val="28"/>
          <w:szCs w:val="28"/>
        </w:rPr>
        <w:t xml:space="preserve">Определенная часть указанных нефтегазовых доходов в виде </w:t>
      </w:r>
      <w:r w:rsidRPr="002C6BAA">
        <w:rPr>
          <w:bCs/>
          <w:sz w:val="28"/>
          <w:szCs w:val="28"/>
        </w:rPr>
        <w:t>нефтегазового трансферта</w:t>
      </w:r>
      <w:r w:rsidRPr="002C6BAA">
        <w:rPr>
          <w:sz w:val="28"/>
          <w:szCs w:val="28"/>
        </w:rPr>
        <w:t xml:space="preserve"> ежегодно направляется на финансирование расходов федерального бюджета. Величина нефтегазового трансферта утверждается федеральным законом о федеральном бюджете на очередной финансовый год и плановый период в абсолютном размере, исчисленном как 3,7 % прогнозируемого на соответствующий год объема валового внутреннего продукта, указанного в федеральном законе о федеральном бюджете на очередной финансовый год и плановый период.</w:t>
      </w:r>
    </w:p>
    <w:p w:rsidR="002C6BAA" w:rsidRPr="002C6BAA" w:rsidRDefault="002C6BAA" w:rsidP="00CE4321">
      <w:pPr>
        <w:spacing w:line="360" w:lineRule="auto"/>
        <w:ind w:firstLine="709"/>
        <w:jc w:val="both"/>
        <w:rPr>
          <w:sz w:val="28"/>
          <w:szCs w:val="28"/>
        </w:rPr>
      </w:pPr>
      <w:r w:rsidRPr="002C6BAA">
        <w:rPr>
          <w:sz w:val="28"/>
          <w:szCs w:val="28"/>
        </w:rPr>
        <w:t xml:space="preserve">После формирования нефтегазового трансферта в полном объеме нефтегазовые доходы поступают в </w:t>
      </w:r>
      <w:r w:rsidRPr="002C6BAA">
        <w:rPr>
          <w:bCs/>
          <w:sz w:val="28"/>
          <w:szCs w:val="28"/>
        </w:rPr>
        <w:t>Резервный фонд.</w:t>
      </w:r>
      <w:r w:rsidRPr="002C6BAA">
        <w:rPr>
          <w:sz w:val="28"/>
          <w:szCs w:val="28"/>
        </w:rPr>
        <w:t xml:space="preserve"> </w:t>
      </w:r>
    </w:p>
    <w:p w:rsidR="002C6BAA" w:rsidRPr="002C6BAA" w:rsidRDefault="002C6BAA" w:rsidP="00CE4321">
      <w:pPr>
        <w:spacing w:line="360" w:lineRule="auto"/>
        <w:ind w:firstLine="709"/>
        <w:jc w:val="both"/>
        <w:rPr>
          <w:sz w:val="28"/>
          <w:szCs w:val="28"/>
        </w:rPr>
      </w:pPr>
      <w:r w:rsidRPr="002C6BAA">
        <w:rPr>
          <w:sz w:val="28"/>
          <w:szCs w:val="28"/>
        </w:rPr>
        <w:t xml:space="preserve">Нормативная величина Резервного фонда утверждается федеральным законом о федеральном бюджете на очередной финансовый год и плановый период в абсолютном размере, определенном исходя из 10 % прогнозируемого на соответствующий год объема валового внутреннего продукта. После наполнения Резервного фонда до указанного размера нефтегазовые доходы направляются в </w:t>
      </w:r>
      <w:r w:rsidRPr="002C6BAA">
        <w:rPr>
          <w:bCs/>
          <w:sz w:val="28"/>
          <w:szCs w:val="28"/>
        </w:rPr>
        <w:t>Фонд национального благосостояния.</w:t>
      </w:r>
    </w:p>
    <w:p w:rsidR="002C6BAA" w:rsidRPr="002C6BAA" w:rsidRDefault="002C6BAA" w:rsidP="00CE4321">
      <w:pPr>
        <w:spacing w:line="360" w:lineRule="auto"/>
        <w:ind w:firstLine="709"/>
        <w:jc w:val="both"/>
        <w:rPr>
          <w:sz w:val="28"/>
          <w:szCs w:val="28"/>
        </w:rPr>
      </w:pPr>
      <w:r w:rsidRPr="002C6BAA">
        <w:rPr>
          <w:iCs/>
          <w:sz w:val="28"/>
          <w:szCs w:val="28"/>
        </w:rPr>
        <w:t>С 1 января 2010 г. до 1 января 2014 г. нормативная величина Резервного фонда не определяется, нефтегазовые доходы федерального бюджета не используются для финансового обеспечения нефтегазового трансферта и для формирования Резервного фонда и Фонда национального благосостояния, а направляются на финансовое обеспечение расходов федерального бюджета.</w:t>
      </w:r>
      <w:bookmarkStart w:id="8" w:name="_ftnref1"/>
      <w:r w:rsidRPr="000E434B">
        <w:rPr>
          <w:bCs/>
          <w:iCs/>
          <w:sz w:val="28"/>
          <w:szCs w:val="28"/>
          <w:u w:val="single"/>
        </w:rPr>
        <w:t>[1]</w:t>
      </w:r>
      <w:bookmarkEnd w:id="8"/>
    </w:p>
    <w:p w:rsidR="002C6BAA" w:rsidRPr="002C6BAA" w:rsidRDefault="002C6BAA" w:rsidP="00CE4321">
      <w:pPr>
        <w:spacing w:line="360" w:lineRule="auto"/>
        <w:ind w:firstLine="709"/>
        <w:jc w:val="both"/>
        <w:rPr>
          <w:sz w:val="28"/>
          <w:szCs w:val="28"/>
        </w:rPr>
      </w:pPr>
      <w:r w:rsidRPr="002C6BAA">
        <w:rPr>
          <w:sz w:val="28"/>
          <w:szCs w:val="28"/>
        </w:rPr>
        <w:t>Другим источником формирования Резервного фонда являются доходы от управления его средствами.</w:t>
      </w:r>
    </w:p>
    <w:p w:rsidR="002C6BAA" w:rsidRPr="002C6BAA" w:rsidRDefault="002C6BAA" w:rsidP="00CE4321">
      <w:pPr>
        <w:spacing w:line="360" w:lineRule="auto"/>
        <w:ind w:firstLine="709"/>
        <w:jc w:val="both"/>
        <w:rPr>
          <w:sz w:val="28"/>
          <w:szCs w:val="28"/>
        </w:rPr>
      </w:pPr>
      <w:r w:rsidRPr="002C6BAA">
        <w:rPr>
          <w:iCs/>
          <w:sz w:val="28"/>
          <w:szCs w:val="28"/>
        </w:rPr>
        <w:t>С 1 января 2010 г. до 1 февраля 2014 г. доходы от управления средствами Резервного фонда не зачисляются в Фонд, а направляются на финансовое обеспечение расходов федерального бюджета.</w:t>
      </w:r>
      <w:bookmarkStart w:id="9" w:name="_ftnref2"/>
      <w:r w:rsidRPr="000E434B">
        <w:rPr>
          <w:bCs/>
          <w:iCs/>
          <w:sz w:val="28"/>
          <w:szCs w:val="28"/>
          <w:u w:val="single"/>
        </w:rPr>
        <w:t>[2]</w:t>
      </w:r>
      <w:bookmarkEnd w:id="9"/>
    </w:p>
    <w:p w:rsidR="002C6BAA" w:rsidRPr="002C6BAA" w:rsidRDefault="002C6BAA" w:rsidP="00CE4321">
      <w:pPr>
        <w:spacing w:line="360" w:lineRule="auto"/>
        <w:ind w:firstLine="709"/>
        <w:jc w:val="both"/>
        <w:rPr>
          <w:sz w:val="28"/>
          <w:szCs w:val="28"/>
        </w:rPr>
      </w:pPr>
      <w:r w:rsidRPr="002C6BAA">
        <w:rPr>
          <w:sz w:val="28"/>
          <w:szCs w:val="28"/>
        </w:rPr>
        <w:t>Средства нефтегазовых доходов федерального бюджета, Резервного фонда и Фонда национального благосостояния учитываются на отдельных счетах по учету средств федерального бюджета, открытых Федеральным казначейством в Центральном банке Российской Федерации.</w:t>
      </w:r>
    </w:p>
    <w:p w:rsidR="002C6BAA" w:rsidRPr="002C6BAA" w:rsidRDefault="002C6BAA" w:rsidP="00CE4321">
      <w:pPr>
        <w:spacing w:line="360" w:lineRule="auto"/>
        <w:ind w:firstLine="709"/>
        <w:jc w:val="both"/>
        <w:rPr>
          <w:sz w:val="28"/>
          <w:szCs w:val="28"/>
        </w:rPr>
      </w:pPr>
      <w:r w:rsidRPr="002C6BAA">
        <w:rPr>
          <w:iCs/>
          <w:sz w:val="28"/>
          <w:szCs w:val="28"/>
        </w:rPr>
        <w:t>С 1 января 2010 г. до 1 января 2014 г. обособленный учет средств нефтегазовых доходов федерального бюджета не осуществляется.</w:t>
      </w:r>
      <w:bookmarkStart w:id="10" w:name="_ftnref3"/>
      <w:r w:rsidRPr="000E434B">
        <w:rPr>
          <w:bCs/>
          <w:iCs/>
          <w:sz w:val="28"/>
          <w:szCs w:val="28"/>
          <w:u w:val="single"/>
        </w:rPr>
        <w:t>[3]</w:t>
      </w:r>
      <w:bookmarkEnd w:id="10"/>
    </w:p>
    <w:p w:rsidR="002C6BAA" w:rsidRPr="002C6BAA" w:rsidRDefault="002C6BAA" w:rsidP="00CE4321">
      <w:pPr>
        <w:spacing w:line="360" w:lineRule="auto"/>
        <w:ind w:firstLine="709"/>
        <w:jc w:val="both"/>
        <w:rPr>
          <w:sz w:val="28"/>
          <w:szCs w:val="28"/>
        </w:rPr>
      </w:pPr>
      <w:r w:rsidRPr="002C6BAA">
        <w:rPr>
          <w:sz w:val="28"/>
          <w:szCs w:val="28"/>
        </w:rPr>
        <w:t>Расчеты и перечисления средств в связи с формированием и использованием нефтегазовых доходов федерального бюджета, нефтегазового трансферта, средств Резервного фонда и Фонда национального благосостояния осуществляются Министерством финансов Российской Федерации в порядке, установленном Правительством Российской Федерации.</w:t>
      </w:r>
    </w:p>
    <w:p w:rsidR="002C6BAA" w:rsidRPr="000E434B" w:rsidRDefault="002C6BAA" w:rsidP="00CE4321">
      <w:pPr>
        <w:spacing w:line="360" w:lineRule="auto"/>
        <w:ind w:firstLine="709"/>
        <w:jc w:val="both"/>
        <w:rPr>
          <w:iCs/>
          <w:sz w:val="28"/>
          <w:szCs w:val="28"/>
        </w:rPr>
      </w:pPr>
      <w:r w:rsidRPr="002C6BAA">
        <w:rPr>
          <w:iCs/>
          <w:sz w:val="28"/>
          <w:szCs w:val="28"/>
        </w:rPr>
        <w:t>С 1 января 2010 г. до 1 января 2014 г. порядок проведения расчетов и перечислений средств в связи с формированием и использованием нефтегазовых доходов федерального бюджета, нефтегазового трансферта, средств Резервного фонда и Фонда национального благосостояния приостановлен.</w:t>
      </w:r>
      <w:bookmarkStart w:id="11" w:name="_ftnref4"/>
      <w:r w:rsidRPr="000E434B">
        <w:rPr>
          <w:bCs/>
          <w:iCs/>
          <w:sz w:val="28"/>
          <w:szCs w:val="28"/>
          <w:u w:val="single"/>
        </w:rPr>
        <w:t>[4]</w:t>
      </w:r>
      <w:bookmarkEnd w:id="11"/>
    </w:p>
    <w:p w:rsidR="000E434B" w:rsidRPr="000E434B" w:rsidRDefault="000E434B" w:rsidP="00CE4321">
      <w:pPr>
        <w:spacing w:line="360" w:lineRule="auto"/>
        <w:ind w:firstLine="709"/>
        <w:jc w:val="both"/>
        <w:rPr>
          <w:sz w:val="28"/>
          <w:szCs w:val="28"/>
        </w:rPr>
      </w:pPr>
      <w:r w:rsidRPr="000E434B">
        <w:rPr>
          <w:sz w:val="28"/>
          <w:szCs w:val="28"/>
        </w:rPr>
        <w:t xml:space="preserve">В 2010г. поступление налога на добычу полезных ископаемых составило 1406,3 млрд. рублей, увеличившись по сравнению с 2009г. на 33,4%. Доля поступлений налога на добычу нефти составила 90,1% и увеличилась по сравнению с предыдущим годом на 1,4 процентного пункта. В декабре 2010г. поступление налога на добычу полезных ископаемых составило 133,5 млрд.рублей, что на 3,2% больше по сравнению с предыдущим месяцем. </w:t>
      </w:r>
    </w:p>
    <w:p w:rsidR="000E434B" w:rsidRDefault="000E434B" w:rsidP="00CE4321">
      <w:pPr>
        <w:spacing w:line="360" w:lineRule="auto"/>
        <w:ind w:firstLine="709"/>
        <w:jc w:val="both"/>
        <w:rPr>
          <w:sz w:val="28"/>
          <w:szCs w:val="28"/>
        </w:rPr>
      </w:pPr>
    </w:p>
    <w:p w:rsidR="00CE4321" w:rsidRDefault="00CE4321" w:rsidP="00CE4321">
      <w:pPr>
        <w:spacing w:line="360" w:lineRule="auto"/>
        <w:ind w:firstLine="709"/>
        <w:jc w:val="both"/>
        <w:rPr>
          <w:sz w:val="28"/>
          <w:szCs w:val="28"/>
        </w:rPr>
      </w:pPr>
    </w:p>
    <w:p w:rsidR="00CE4321" w:rsidRDefault="00CE4321" w:rsidP="00CE4321">
      <w:pPr>
        <w:spacing w:line="360" w:lineRule="auto"/>
        <w:ind w:firstLine="709"/>
        <w:jc w:val="both"/>
        <w:rPr>
          <w:sz w:val="28"/>
          <w:szCs w:val="28"/>
        </w:rPr>
      </w:pPr>
    </w:p>
    <w:p w:rsidR="000E434B" w:rsidRPr="000E434B" w:rsidRDefault="000E434B" w:rsidP="00CE4321">
      <w:pPr>
        <w:spacing w:line="360" w:lineRule="auto"/>
        <w:ind w:firstLine="709"/>
        <w:jc w:val="right"/>
        <w:rPr>
          <w:sz w:val="28"/>
          <w:szCs w:val="28"/>
        </w:rPr>
      </w:pPr>
      <w:r>
        <w:rPr>
          <w:sz w:val="28"/>
          <w:szCs w:val="28"/>
        </w:rPr>
        <w:t>Таблица 2.1</w:t>
      </w:r>
    </w:p>
    <w:p w:rsidR="000E434B" w:rsidRPr="00CE4321" w:rsidRDefault="000E434B" w:rsidP="00CE4321">
      <w:pPr>
        <w:spacing w:line="360" w:lineRule="auto"/>
        <w:jc w:val="center"/>
        <w:rPr>
          <w:bCs/>
          <w:sz w:val="28"/>
          <w:szCs w:val="28"/>
        </w:rPr>
      </w:pPr>
      <w:r w:rsidRPr="000E434B">
        <w:rPr>
          <w:bCs/>
          <w:sz w:val="28"/>
          <w:szCs w:val="28"/>
        </w:rPr>
        <w:t>Поступление налога на добычу полезных ископаемых</w:t>
      </w:r>
      <w:r w:rsidR="00CE4321">
        <w:rPr>
          <w:bCs/>
          <w:sz w:val="28"/>
          <w:szCs w:val="28"/>
        </w:rPr>
        <w:t xml:space="preserve">, </w:t>
      </w:r>
      <w:r w:rsidRPr="000E434B">
        <w:rPr>
          <w:sz w:val="28"/>
          <w:szCs w:val="28"/>
        </w:rPr>
        <w:t>млрд.рублей</w:t>
      </w:r>
    </w:p>
    <w:tbl>
      <w:tblPr>
        <w:tblW w:w="8520"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1259"/>
        <w:gridCol w:w="1265"/>
        <w:gridCol w:w="1459"/>
        <w:gridCol w:w="1308"/>
        <w:gridCol w:w="1265"/>
        <w:gridCol w:w="1459"/>
        <w:gridCol w:w="1315"/>
      </w:tblGrid>
      <w:tr w:rsidR="000E434B" w:rsidRPr="000E434B" w:rsidTr="007B2322">
        <w:trPr>
          <w:tblCellSpacing w:w="7" w:type="dxa"/>
        </w:trPr>
        <w:tc>
          <w:tcPr>
            <w:tcW w:w="1600" w:type="pct"/>
            <w:vMerge w:val="restart"/>
            <w:hideMark/>
          </w:tcPr>
          <w:p w:rsidR="000E434B" w:rsidRPr="000E434B" w:rsidRDefault="000E434B" w:rsidP="00CE4321">
            <w:pPr>
              <w:spacing w:before="100" w:beforeAutospacing="1" w:after="100" w:afterAutospacing="1"/>
              <w:rPr>
                <w:szCs w:val="28"/>
              </w:rPr>
            </w:pPr>
          </w:p>
        </w:tc>
        <w:tc>
          <w:tcPr>
            <w:tcW w:w="1700" w:type="pct"/>
            <w:gridSpan w:val="3"/>
            <w:vAlign w:val="center"/>
            <w:hideMark/>
          </w:tcPr>
          <w:p w:rsidR="000E434B" w:rsidRPr="000E434B" w:rsidRDefault="000E434B" w:rsidP="00CE4321">
            <w:pPr>
              <w:spacing w:before="100" w:beforeAutospacing="1" w:after="100" w:afterAutospacing="1"/>
              <w:rPr>
                <w:szCs w:val="28"/>
              </w:rPr>
            </w:pPr>
            <w:r w:rsidRPr="000E434B">
              <w:rPr>
                <w:iCs/>
                <w:szCs w:val="28"/>
              </w:rPr>
              <w:t>2010г.</w:t>
            </w:r>
          </w:p>
        </w:tc>
        <w:tc>
          <w:tcPr>
            <w:tcW w:w="1700" w:type="pct"/>
            <w:gridSpan w:val="3"/>
            <w:hideMark/>
          </w:tcPr>
          <w:p w:rsidR="000E434B" w:rsidRPr="000E434B" w:rsidRDefault="000E434B" w:rsidP="00CE4321">
            <w:pPr>
              <w:spacing w:before="100" w:beforeAutospacing="1" w:after="100" w:afterAutospacing="1"/>
              <w:rPr>
                <w:szCs w:val="28"/>
              </w:rPr>
            </w:pPr>
            <w:r w:rsidRPr="000E434B">
              <w:rPr>
                <w:iCs/>
                <w:szCs w:val="28"/>
              </w:rPr>
              <w:t>2009г.</w:t>
            </w:r>
          </w:p>
        </w:tc>
      </w:tr>
      <w:tr w:rsidR="000E434B" w:rsidRPr="000E434B" w:rsidTr="007B2322">
        <w:trPr>
          <w:tblCellSpacing w:w="7" w:type="dxa"/>
        </w:trPr>
        <w:tc>
          <w:tcPr>
            <w:tcW w:w="0" w:type="auto"/>
            <w:vMerge/>
            <w:vAlign w:val="center"/>
            <w:hideMark/>
          </w:tcPr>
          <w:p w:rsidR="000E434B" w:rsidRPr="000E434B" w:rsidRDefault="000E434B" w:rsidP="00CE4321">
            <w:pPr>
              <w:rPr>
                <w:szCs w:val="28"/>
              </w:rPr>
            </w:pPr>
          </w:p>
        </w:tc>
        <w:tc>
          <w:tcPr>
            <w:tcW w:w="550" w:type="pct"/>
            <w:vMerge w:val="restart"/>
            <w:hideMark/>
          </w:tcPr>
          <w:p w:rsidR="000E434B" w:rsidRPr="000E434B" w:rsidRDefault="000E434B" w:rsidP="00CE4321">
            <w:pPr>
              <w:spacing w:before="100" w:beforeAutospacing="1" w:after="100" w:afterAutospacing="1"/>
              <w:rPr>
                <w:szCs w:val="28"/>
              </w:rPr>
            </w:pPr>
            <w:r w:rsidRPr="000E434B">
              <w:rPr>
                <w:iCs/>
                <w:szCs w:val="28"/>
              </w:rPr>
              <w:t xml:space="preserve">консолиди- </w:t>
            </w:r>
            <w:r w:rsidRPr="000E434B">
              <w:rPr>
                <w:iCs/>
                <w:szCs w:val="28"/>
              </w:rPr>
              <w:br/>
              <w:t>рованный бюджет</w:t>
            </w:r>
          </w:p>
        </w:tc>
        <w:tc>
          <w:tcPr>
            <w:tcW w:w="1150" w:type="pct"/>
            <w:gridSpan w:val="2"/>
            <w:vAlign w:val="center"/>
            <w:hideMark/>
          </w:tcPr>
          <w:p w:rsidR="000E434B" w:rsidRPr="000E434B" w:rsidRDefault="000E434B" w:rsidP="00CE4321">
            <w:pPr>
              <w:spacing w:before="100" w:beforeAutospacing="1" w:after="100" w:afterAutospacing="1"/>
              <w:rPr>
                <w:szCs w:val="28"/>
              </w:rPr>
            </w:pPr>
            <w:r w:rsidRPr="000E434B">
              <w:rPr>
                <w:iCs/>
                <w:szCs w:val="28"/>
              </w:rPr>
              <w:t>в том числе</w:t>
            </w:r>
          </w:p>
        </w:tc>
        <w:tc>
          <w:tcPr>
            <w:tcW w:w="550" w:type="pct"/>
            <w:vMerge w:val="restart"/>
            <w:hideMark/>
          </w:tcPr>
          <w:p w:rsidR="000E434B" w:rsidRPr="000E434B" w:rsidRDefault="000E434B" w:rsidP="00CE4321">
            <w:pPr>
              <w:spacing w:before="100" w:beforeAutospacing="1" w:after="100" w:afterAutospacing="1"/>
              <w:rPr>
                <w:szCs w:val="28"/>
              </w:rPr>
            </w:pPr>
            <w:r w:rsidRPr="000E434B">
              <w:rPr>
                <w:iCs/>
                <w:szCs w:val="28"/>
              </w:rPr>
              <w:t xml:space="preserve">консолиди- </w:t>
            </w:r>
            <w:r w:rsidRPr="000E434B">
              <w:rPr>
                <w:iCs/>
                <w:szCs w:val="28"/>
              </w:rPr>
              <w:br/>
              <w:t>рованный бюджет</w:t>
            </w:r>
          </w:p>
        </w:tc>
        <w:tc>
          <w:tcPr>
            <w:tcW w:w="1150" w:type="pct"/>
            <w:gridSpan w:val="2"/>
            <w:vAlign w:val="center"/>
            <w:hideMark/>
          </w:tcPr>
          <w:p w:rsidR="000E434B" w:rsidRPr="000E434B" w:rsidRDefault="000E434B" w:rsidP="00CE4321">
            <w:pPr>
              <w:spacing w:before="100" w:beforeAutospacing="1" w:after="100" w:afterAutospacing="1"/>
              <w:rPr>
                <w:szCs w:val="28"/>
              </w:rPr>
            </w:pPr>
            <w:r w:rsidRPr="000E434B">
              <w:rPr>
                <w:iCs/>
                <w:szCs w:val="28"/>
              </w:rPr>
              <w:t>в том числе</w:t>
            </w:r>
          </w:p>
        </w:tc>
      </w:tr>
      <w:tr w:rsidR="000E434B" w:rsidRPr="000E434B" w:rsidTr="007B2322">
        <w:trPr>
          <w:tblCellSpacing w:w="7" w:type="dxa"/>
        </w:trPr>
        <w:tc>
          <w:tcPr>
            <w:tcW w:w="0" w:type="auto"/>
            <w:vMerge/>
            <w:vAlign w:val="center"/>
            <w:hideMark/>
          </w:tcPr>
          <w:p w:rsidR="000E434B" w:rsidRPr="000E434B" w:rsidRDefault="000E434B" w:rsidP="00CE4321">
            <w:pPr>
              <w:rPr>
                <w:szCs w:val="28"/>
              </w:rPr>
            </w:pPr>
          </w:p>
        </w:tc>
        <w:tc>
          <w:tcPr>
            <w:tcW w:w="0" w:type="auto"/>
            <w:vMerge/>
            <w:vAlign w:val="center"/>
            <w:hideMark/>
          </w:tcPr>
          <w:p w:rsidR="000E434B" w:rsidRPr="000E434B" w:rsidRDefault="000E434B" w:rsidP="00CE4321">
            <w:pPr>
              <w:rPr>
                <w:szCs w:val="28"/>
              </w:rPr>
            </w:pPr>
          </w:p>
        </w:tc>
        <w:tc>
          <w:tcPr>
            <w:tcW w:w="550" w:type="pct"/>
            <w:hideMark/>
          </w:tcPr>
          <w:p w:rsidR="000E434B" w:rsidRPr="000E434B" w:rsidRDefault="000E434B" w:rsidP="00CE4321">
            <w:pPr>
              <w:spacing w:before="100" w:beforeAutospacing="1" w:after="100" w:afterAutospacing="1"/>
              <w:rPr>
                <w:szCs w:val="28"/>
              </w:rPr>
            </w:pPr>
            <w:r w:rsidRPr="000E434B">
              <w:rPr>
                <w:iCs/>
                <w:szCs w:val="28"/>
              </w:rPr>
              <w:t>федеральный бюджет</w:t>
            </w:r>
          </w:p>
        </w:tc>
        <w:tc>
          <w:tcPr>
            <w:tcW w:w="550" w:type="pct"/>
            <w:hideMark/>
          </w:tcPr>
          <w:p w:rsidR="000E434B" w:rsidRPr="000E434B" w:rsidRDefault="000E434B" w:rsidP="00CE4321">
            <w:pPr>
              <w:spacing w:before="100" w:beforeAutospacing="1" w:after="100" w:afterAutospacing="1"/>
              <w:rPr>
                <w:szCs w:val="28"/>
              </w:rPr>
            </w:pPr>
            <w:r w:rsidRPr="000E434B">
              <w:rPr>
                <w:iCs/>
                <w:szCs w:val="28"/>
              </w:rPr>
              <w:t>Консолиди-рованные бюджеты субъектов Российской Федерации</w:t>
            </w:r>
          </w:p>
        </w:tc>
        <w:tc>
          <w:tcPr>
            <w:tcW w:w="0" w:type="auto"/>
            <w:vMerge/>
            <w:vAlign w:val="center"/>
            <w:hideMark/>
          </w:tcPr>
          <w:p w:rsidR="000E434B" w:rsidRPr="000E434B" w:rsidRDefault="000E434B" w:rsidP="00CE4321">
            <w:pPr>
              <w:rPr>
                <w:szCs w:val="28"/>
              </w:rPr>
            </w:pPr>
          </w:p>
        </w:tc>
        <w:tc>
          <w:tcPr>
            <w:tcW w:w="550" w:type="pct"/>
            <w:hideMark/>
          </w:tcPr>
          <w:p w:rsidR="000E434B" w:rsidRPr="000E434B" w:rsidRDefault="000E434B" w:rsidP="00CE4321">
            <w:pPr>
              <w:spacing w:before="100" w:beforeAutospacing="1" w:after="100" w:afterAutospacing="1"/>
              <w:rPr>
                <w:szCs w:val="28"/>
              </w:rPr>
            </w:pPr>
            <w:r w:rsidRPr="000E434B">
              <w:rPr>
                <w:iCs/>
                <w:szCs w:val="28"/>
              </w:rPr>
              <w:t>федеральный бюджет</w:t>
            </w:r>
          </w:p>
        </w:tc>
        <w:tc>
          <w:tcPr>
            <w:tcW w:w="550" w:type="pct"/>
            <w:hideMark/>
          </w:tcPr>
          <w:p w:rsidR="000E434B" w:rsidRPr="000E434B" w:rsidRDefault="000E434B" w:rsidP="00CE4321">
            <w:pPr>
              <w:spacing w:before="100" w:beforeAutospacing="1" w:after="100" w:afterAutospacing="1"/>
              <w:rPr>
                <w:szCs w:val="28"/>
              </w:rPr>
            </w:pPr>
            <w:r w:rsidRPr="000E434B">
              <w:rPr>
                <w:iCs/>
                <w:szCs w:val="28"/>
              </w:rPr>
              <w:t>Консолиди-рованные бюджеты субъектов Российской Федерации</w:t>
            </w:r>
          </w:p>
        </w:tc>
      </w:tr>
      <w:tr w:rsidR="000E434B" w:rsidRPr="000E434B" w:rsidTr="007B2322">
        <w:trPr>
          <w:tblCellSpacing w:w="7" w:type="dxa"/>
        </w:trPr>
        <w:tc>
          <w:tcPr>
            <w:tcW w:w="1600" w:type="pct"/>
            <w:vAlign w:val="bottom"/>
            <w:hideMark/>
          </w:tcPr>
          <w:p w:rsidR="000E434B" w:rsidRPr="000E434B" w:rsidRDefault="000E434B" w:rsidP="00CE4321">
            <w:pPr>
              <w:spacing w:before="100" w:beforeAutospacing="1" w:after="100" w:afterAutospacing="1"/>
              <w:rPr>
                <w:szCs w:val="28"/>
              </w:rPr>
            </w:pPr>
            <w:r w:rsidRPr="000E434B">
              <w:rPr>
                <w:bCs/>
                <w:szCs w:val="28"/>
              </w:rPr>
              <w:t>Всего</w:t>
            </w:r>
          </w:p>
        </w:tc>
        <w:tc>
          <w:tcPr>
            <w:tcW w:w="550" w:type="pct"/>
            <w:vAlign w:val="bottom"/>
            <w:hideMark/>
          </w:tcPr>
          <w:p w:rsidR="000E434B" w:rsidRPr="000E434B" w:rsidRDefault="000E434B" w:rsidP="00CE4321">
            <w:pPr>
              <w:spacing w:before="100" w:beforeAutospacing="1" w:after="100" w:afterAutospacing="1"/>
              <w:rPr>
                <w:szCs w:val="28"/>
              </w:rPr>
            </w:pPr>
            <w:r w:rsidRPr="000E434B">
              <w:rPr>
                <w:bCs/>
                <w:szCs w:val="28"/>
              </w:rPr>
              <w:t>1406,3</w:t>
            </w:r>
          </w:p>
        </w:tc>
        <w:tc>
          <w:tcPr>
            <w:tcW w:w="550" w:type="pct"/>
            <w:vAlign w:val="bottom"/>
            <w:hideMark/>
          </w:tcPr>
          <w:p w:rsidR="000E434B" w:rsidRPr="000E434B" w:rsidRDefault="000E434B" w:rsidP="00CE4321">
            <w:pPr>
              <w:spacing w:before="100" w:beforeAutospacing="1" w:after="100" w:afterAutospacing="1"/>
              <w:rPr>
                <w:szCs w:val="28"/>
              </w:rPr>
            </w:pPr>
            <w:r w:rsidRPr="000E434B">
              <w:rPr>
                <w:bCs/>
                <w:szCs w:val="28"/>
              </w:rPr>
              <w:t>1376,6</w:t>
            </w:r>
          </w:p>
        </w:tc>
        <w:tc>
          <w:tcPr>
            <w:tcW w:w="550" w:type="pct"/>
            <w:vAlign w:val="bottom"/>
            <w:hideMark/>
          </w:tcPr>
          <w:p w:rsidR="000E434B" w:rsidRPr="000E434B" w:rsidRDefault="000E434B" w:rsidP="00CE4321">
            <w:pPr>
              <w:spacing w:before="100" w:beforeAutospacing="1" w:after="100" w:afterAutospacing="1"/>
              <w:rPr>
                <w:szCs w:val="28"/>
              </w:rPr>
            </w:pPr>
            <w:r w:rsidRPr="000E434B">
              <w:rPr>
                <w:bCs/>
                <w:szCs w:val="28"/>
              </w:rPr>
              <w:t>29,7</w:t>
            </w:r>
          </w:p>
        </w:tc>
        <w:tc>
          <w:tcPr>
            <w:tcW w:w="550" w:type="pct"/>
            <w:vAlign w:val="bottom"/>
            <w:hideMark/>
          </w:tcPr>
          <w:p w:rsidR="000E434B" w:rsidRPr="000E434B" w:rsidRDefault="000E434B" w:rsidP="00CE4321">
            <w:pPr>
              <w:spacing w:before="100" w:beforeAutospacing="1" w:after="100" w:afterAutospacing="1"/>
              <w:rPr>
                <w:szCs w:val="28"/>
              </w:rPr>
            </w:pPr>
            <w:r w:rsidRPr="000E434B">
              <w:rPr>
                <w:bCs/>
                <w:szCs w:val="28"/>
              </w:rPr>
              <w:t>1053,8</w:t>
            </w:r>
          </w:p>
        </w:tc>
        <w:tc>
          <w:tcPr>
            <w:tcW w:w="550" w:type="pct"/>
            <w:vAlign w:val="bottom"/>
            <w:hideMark/>
          </w:tcPr>
          <w:p w:rsidR="000E434B" w:rsidRPr="000E434B" w:rsidRDefault="000E434B" w:rsidP="00CE4321">
            <w:pPr>
              <w:spacing w:before="100" w:beforeAutospacing="1" w:after="100" w:afterAutospacing="1"/>
              <w:rPr>
                <w:szCs w:val="28"/>
              </w:rPr>
            </w:pPr>
            <w:r w:rsidRPr="000E434B">
              <w:rPr>
                <w:bCs/>
                <w:szCs w:val="28"/>
              </w:rPr>
              <w:t>981,5</w:t>
            </w:r>
          </w:p>
        </w:tc>
        <w:tc>
          <w:tcPr>
            <w:tcW w:w="550" w:type="pct"/>
            <w:vAlign w:val="bottom"/>
            <w:hideMark/>
          </w:tcPr>
          <w:p w:rsidR="000E434B" w:rsidRPr="000E434B" w:rsidRDefault="000E434B" w:rsidP="00CE4321">
            <w:pPr>
              <w:spacing w:before="100" w:beforeAutospacing="1" w:after="100" w:afterAutospacing="1"/>
              <w:rPr>
                <w:szCs w:val="28"/>
              </w:rPr>
            </w:pPr>
            <w:r w:rsidRPr="000E434B">
              <w:rPr>
                <w:bCs/>
                <w:szCs w:val="28"/>
              </w:rPr>
              <w:t>72,3</w:t>
            </w:r>
          </w:p>
        </w:tc>
      </w:tr>
      <w:tr w:rsidR="000E434B" w:rsidRPr="000E434B" w:rsidTr="007B2322">
        <w:trPr>
          <w:tblCellSpacing w:w="7" w:type="dxa"/>
        </w:trPr>
        <w:tc>
          <w:tcPr>
            <w:tcW w:w="1600" w:type="pct"/>
            <w:vAlign w:val="bottom"/>
            <w:hideMark/>
          </w:tcPr>
          <w:p w:rsidR="000E434B" w:rsidRPr="000E434B" w:rsidRDefault="000E434B" w:rsidP="00CE4321">
            <w:pPr>
              <w:spacing w:before="100" w:beforeAutospacing="1" w:after="100" w:afterAutospacing="1"/>
              <w:rPr>
                <w:szCs w:val="28"/>
              </w:rPr>
            </w:pPr>
            <w:r w:rsidRPr="000E434B">
              <w:rPr>
                <w:szCs w:val="28"/>
              </w:rPr>
              <w:t xml:space="preserve">из него: </w:t>
            </w:r>
            <w:r w:rsidRPr="000E434B">
              <w:rPr>
                <w:szCs w:val="28"/>
              </w:rPr>
              <w:br/>
              <w:t>нефть</w:t>
            </w:r>
          </w:p>
        </w:tc>
        <w:tc>
          <w:tcPr>
            <w:tcW w:w="550" w:type="pct"/>
            <w:vAlign w:val="bottom"/>
            <w:hideMark/>
          </w:tcPr>
          <w:p w:rsidR="000E434B" w:rsidRPr="000E434B" w:rsidRDefault="000E434B" w:rsidP="00CE4321">
            <w:pPr>
              <w:spacing w:before="100" w:beforeAutospacing="1" w:after="100" w:afterAutospacing="1"/>
              <w:rPr>
                <w:szCs w:val="28"/>
              </w:rPr>
            </w:pPr>
            <w:r w:rsidRPr="000E434B">
              <w:rPr>
                <w:szCs w:val="28"/>
              </w:rPr>
              <w:t>1266,8</w:t>
            </w:r>
          </w:p>
        </w:tc>
        <w:tc>
          <w:tcPr>
            <w:tcW w:w="550" w:type="pct"/>
            <w:vAlign w:val="bottom"/>
            <w:hideMark/>
          </w:tcPr>
          <w:p w:rsidR="000E434B" w:rsidRPr="000E434B" w:rsidRDefault="000E434B" w:rsidP="00CE4321">
            <w:pPr>
              <w:spacing w:before="100" w:beforeAutospacing="1" w:after="100" w:afterAutospacing="1"/>
              <w:rPr>
                <w:szCs w:val="28"/>
              </w:rPr>
            </w:pPr>
            <w:r w:rsidRPr="000E434B">
              <w:rPr>
                <w:szCs w:val="28"/>
              </w:rPr>
              <w:t>1266,8</w:t>
            </w:r>
          </w:p>
        </w:tc>
        <w:tc>
          <w:tcPr>
            <w:tcW w:w="550" w:type="pct"/>
            <w:vAlign w:val="bottom"/>
            <w:hideMark/>
          </w:tcPr>
          <w:p w:rsidR="000E434B" w:rsidRPr="000E434B" w:rsidRDefault="000E434B" w:rsidP="00CE4321">
            <w:pPr>
              <w:spacing w:before="100" w:beforeAutospacing="1" w:after="100" w:afterAutospacing="1"/>
              <w:rPr>
                <w:szCs w:val="28"/>
              </w:rPr>
            </w:pPr>
            <w:r w:rsidRPr="000E434B">
              <w:rPr>
                <w:szCs w:val="28"/>
              </w:rPr>
              <w:t>-</w:t>
            </w:r>
          </w:p>
        </w:tc>
        <w:tc>
          <w:tcPr>
            <w:tcW w:w="550" w:type="pct"/>
            <w:vAlign w:val="bottom"/>
            <w:hideMark/>
          </w:tcPr>
          <w:p w:rsidR="000E434B" w:rsidRPr="000E434B" w:rsidRDefault="000E434B" w:rsidP="00CE4321">
            <w:pPr>
              <w:spacing w:before="100" w:beforeAutospacing="1" w:after="100" w:afterAutospacing="1"/>
              <w:rPr>
                <w:szCs w:val="28"/>
              </w:rPr>
            </w:pPr>
            <w:r w:rsidRPr="000E434B">
              <w:rPr>
                <w:szCs w:val="28"/>
              </w:rPr>
              <w:t>934,3</w:t>
            </w:r>
          </w:p>
        </w:tc>
        <w:tc>
          <w:tcPr>
            <w:tcW w:w="550" w:type="pct"/>
            <w:vAlign w:val="bottom"/>
            <w:hideMark/>
          </w:tcPr>
          <w:p w:rsidR="000E434B" w:rsidRPr="000E434B" w:rsidRDefault="000E434B" w:rsidP="00CE4321">
            <w:pPr>
              <w:spacing w:before="100" w:beforeAutospacing="1" w:after="100" w:afterAutospacing="1"/>
              <w:rPr>
                <w:szCs w:val="28"/>
              </w:rPr>
            </w:pPr>
            <w:r w:rsidRPr="000E434B">
              <w:rPr>
                <w:szCs w:val="28"/>
              </w:rPr>
              <w:t>887,6</w:t>
            </w:r>
          </w:p>
        </w:tc>
        <w:tc>
          <w:tcPr>
            <w:tcW w:w="550" w:type="pct"/>
            <w:vAlign w:val="bottom"/>
            <w:hideMark/>
          </w:tcPr>
          <w:p w:rsidR="000E434B" w:rsidRPr="000E434B" w:rsidRDefault="000E434B" w:rsidP="00CE4321">
            <w:pPr>
              <w:spacing w:before="100" w:beforeAutospacing="1" w:after="100" w:afterAutospacing="1"/>
              <w:rPr>
                <w:szCs w:val="28"/>
              </w:rPr>
            </w:pPr>
            <w:r w:rsidRPr="000E434B">
              <w:rPr>
                <w:szCs w:val="28"/>
              </w:rPr>
              <w:t>46,7</w:t>
            </w:r>
          </w:p>
        </w:tc>
      </w:tr>
      <w:tr w:rsidR="000E434B" w:rsidRPr="000E434B" w:rsidTr="007B2322">
        <w:trPr>
          <w:tblCellSpacing w:w="7" w:type="dxa"/>
        </w:trPr>
        <w:tc>
          <w:tcPr>
            <w:tcW w:w="1600" w:type="pct"/>
            <w:vAlign w:val="bottom"/>
            <w:hideMark/>
          </w:tcPr>
          <w:p w:rsidR="000E434B" w:rsidRPr="000E434B" w:rsidRDefault="000E434B" w:rsidP="00CE4321">
            <w:pPr>
              <w:spacing w:before="100" w:beforeAutospacing="1" w:after="100" w:afterAutospacing="1"/>
              <w:rPr>
                <w:szCs w:val="28"/>
              </w:rPr>
            </w:pPr>
            <w:r w:rsidRPr="000E434B">
              <w:rPr>
                <w:szCs w:val="28"/>
              </w:rPr>
              <w:t>газ горючий природный</w:t>
            </w:r>
          </w:p>
        </w:tc>
        <w:tc>
          <w:tcPr>
            <w:tcW w:w="550" w:type="pct"/>
            <w:vAlign w:val="bottom"/>
            <w:hideMark/>
          </w:tcPr>
          <w:p w:rsidR="000E434B" w:rsidRPr="000E434B" w:rsidRDefault="000E434B" w:rsidP="00CE4321">
            <w:pPr>
              <w:spacing w:before="100" w:beforeAutospacing="1" w:after="100" w:afterAutospacing="1"/>
              <w:rPr>
                <w:szCs w:val="28"/>
              </w:rPr>
            </w:pPr>
            <w:r w:rsidRPr="000E434B">
              <w:rPr>
                <w:szCs w:val="28"/>
              </w:rPr>
              <w:t>85,1</w:t>
            </w:r>
          </w:p>
        </w:tc>
        <w:tc>
          <w:tcPr>
            <w:tcW w:w="550" w:type="pct"/>
            <w:vAlign w:val="bottom"/>
            <w:hideMark/>
          </w:tcPr>
          <w:p w:rsidR="000E434B" w:rsidRPr="000E434B" w:rsidRDefault="000E434B" w:rsidP="00CE4321">
            <w:pPr>
              <w:spacing w:before="100" w:beforeAutospacing="1" w:after="100" w:afterAutospacing="1"/>
              <w:rPr>
                <w:szCs w:val="28"/>
              </w:rPr>
            </w:pPr>
            <w:r w:rsidRPr="000E434B">
              <w:rPr>
                <w:szCs w:val="28"/>
              </w:rPr>
              <w:t>85,1</w:t>
            </w:r>
          </w:p>
        </w:tc>
        <w:tc>
          <w:tcPr>
            <w:tcW w:w="550" w:type="pct"/>
            <w:vAlign w:val="bottom"/>
            <w:hideMark/>
          </w:tcPr>
          <w:p w:rsidR="000E434B" w:rsidRPr="000E434B" w:rsidRDefault="000E434B" w:rsidP="00CE4321">
            <w:pPr>
              <w:spacing w:before="100" w:beforeAutospacing="1" w:after="100" w:afterAutospacing="1"/>
              <w:rPr>
                <w:szCs w:val="28"/>
              </w:rPr>
            </w:pPr>
            <w:r w:rsidRPr="000E434B">
              <w:rPr>
                <w:szCs w:val="28"/>
              </w:rPr>
              <w:t>-</w:t>
            </w:r>
          </w:p>
        </w:tc>
        <w:tc>
          <w:tcPr>
            <w:tcW w:w="550" w:type="pct"/>
            <w:vAlign w:val="bottom"/>
            <w:hideMark/>
          </w:tcPr>
          <w:p w:rsidR="000E434B" w:rsidRPr="000E434B" w:rsidRDefault="000E434B" w:rsidP="00CE4321">
            <w:pPr>
              <w:spacing w:before="100" w:beforeAutospacing="1" w:after="100" w:afterAutospacing="1"/>
              <w:rPr>
                <w:szCs w:val="28"/>
              </w:rPr>
            </w:pPr>
            <w:r w:rsidRPr="000E434B">
              <w:rPr>
                <w:szCs w:val="28"/>
              </w:rPr>
              <w:t>75,0</w:t>
            </w:r>
          </w:p>
        </w:tc>
        <w:tc>
          <w:tcPr>
            <w:tcW w:w="550" w:type="pct"/>
            <w:vAlign w:val="bottom"/>
            <w:hideMark/>
          </w:tcPr>
          <w:p w:rsidR="000E434B" w:rsidRPr="000E434B" w:rsidRDefault="000E434B" w:rsidP="00CE4321">
            <w:pPr>
              <w:spacing w:before="100" w:beforeAutospacing="1" w:after="100" w:afterAutospacing="1"/>
              <w:rPr>
                <w:szCs w:val="28"/>
              </w:rPr>
            </w:pPr>
            <w:r w:rsidRPr="000E434B">
              <w:rPr>
                <w:szCs w:val="28"/>
              </w:rPr>
              <w:t>75,0</w:t>
            </w:r>
          </w:p>
        </w:tc>
        <w:tc>
          <w:tcPr>
            <w:tcW w:w="550" w:type="pct"/>
            <w:vAlign w:val="bottom"/>
            <w:hideMark/>
          </w:tcPr>
          <w:p w:rsidR="000E434B" w:rsidRPr="000E434B" w:rsidRDefault="000E434B" w:rsidP="00CE4321">
            <w:pPr>
              <w:spacing w:before="100" w:beforeAutospacing="1" w:after="100" w:afterAutospacing="1"/>
              <w:rPr>
                <w:szCs w:val="28"/>
              </w:rPr>
            </w:pPr>
            <w:r w:rsidRPr="000E434B">
              <w:rPr>
                <w:szCs w:val="28"/>
              </w:rPr>
              <w:t>-</w:t>
            </w:r>
          </w:p>
        </w:tc>
      </w:tr>
      <w:tr w:rsidR="000E434B" w:rsidRPr="000E434B" w:rsidTr="007B2322">
        <w:trPr>
          <w:tblCellSpacing w:w="7" w:type="dxa"/>
        </w:trPr>
        <w:tc>
          <w:tcPr>
            <w:tcW w:w="1600" w:type="pct"/>
            <w:vAlign w:val="bottom"/>
            <w:hideMark/>
          </w:tcPr>
          <w:p w:rsidR="000E434B" w:rsidRPr="000E434B" w:rsidRDefault="000E434B" w:rsidP="00CE4321">
            <w:pPr>
              <w:spacing w:before="100" w:beforeAutospacing="1" w:after="100" w:afterAutospacing="1"/>
              <w:rPr>
                <w:szCs w:val="28"/>
              </w:rPr>
            </w:pPr>
            <w:r w:rsidRPr="000E434B">
              <w:rPr>
                <w:szCs w:val="28"/>
              </w:rPr>
              <w:t>газовый конденсат</w:t>
            </w:r>
          </w:p>
        </w:tc>
        <w:tc>
          <w:tcPr>
            <w:tcW w:w="550" w:type="pct"/>
            <w:vAlign w:val="bottom"/>
            <w:hideMark/>
          </w:tcPr>
          <w:p w:rsidR="000E434B" w:rsidRPr="000E434B" w:rsidRDefault="000E434B" w:rsidP="00CE4321">
            <w:pPr>
              <w:spacing w:before="100" w:beforeAutospacing="1" w:after="100" w:afterAutospacing="1"/>
              <w:rPr>
                <w:szCs w:val="28"/>
              </w:rPr>
            </w:pPr>
            <w:r w:rsidRPr="000E434B">
              <w:rPr>
                <w:szCs w:val="28"/>
              </w:rPr>
              <w:t>9,4</w:t>
            </w:r>
          </w:p>
        </w:tc>
        <w:tc>
          <w:tcPr>
            <w:tcW w:w="550" w:type="pct"/>
            <w:vAlign w:val="bottom"/>
            <w:hideMark/>
          </w:tcPr>
          <w:p w:rsidR="000E434B" w:rsidRPr="000E434B" w:rsidRDefault="000E434B" w:rsidP="00CE4321">
            <w:pPr>
              <w:spacing w:before="100" w:beforeAutospacing="1" w:after="100" w:afterAutospacing="1"/>
              <w:rPr>
                <w:szCs w:val="28"/>
              </w:rPr>
            </w:pPr>
            <w:r w:rsidRPr="000E434B">
              <w:rPr>
                <w:szCs w:val="28"/>
              </w:rPr>
              <w:t>9,4</w:t>
            </w:r>
          </w:p>
        </w:tc>
        <w:tc>
          <w:tcPr>
            <w:tcW w:w="550" w:type="pct"/>
            <w:vAlign w:val="bottom"/>
            <w:hideMark/>
          </w:tcPr>
          <w:p w:rsidR="000E434B" w:rsidRPr="000E434B" w:rsidRDefault="000E434B" w:rsidP="00CE4321">
            <w:pPr>
              <w:spacing w:before="100" w:beforeAutospacing="1" w:after="100" w:afterAutospacing="1"/>
              <w:rPr>
                <w:szCs w:val="28"/>
              </w:rPr>
            </w:pPr>
            <w:r w:rsidRPr="000E434B">
              <w:rPr>
                <w:szCs w:val="28"/>
              </w:rPr>
              <w:t>-</w:t>
            </w:r>
          </w:p>
        </w:tc>
        <w:tc>
          <w:tcPr>
            <w:tcW w:w="550" w:type="pct"/>
            <w:vAlign w:val="bottom"/>
            <w:hideMark/>
          </w:tcPr>
          <w:p w:rsidR="000E434B" w:rsidRPr="000E434B" w:rsidRDefault="000E434B" w:rsidP="00CE4321">
            <w:pPr>
              <w:spacing w:before="100" w:beforeAutospacing="1" w:after="100" w:afterAutospacing="1"/>
              <w:rPr>
                <w:szCs w:val="28"/>
              </w:rPr>
            </w:pPr>
            <w:r w:rsidRPr="000E434B">
              <w:rPr>
                <w:szCs w:val="28"/>
              </w:rPr>
              <w:t>6,9</w:t>
            </w:r>
          </w:p>
        </w:tc>
        <w:tc>
          <w:tcPr>
            <w:tcW w:w="550" w:type="pct"/>
            <w:vAlign w:val="bottom"/>
            <w:hideMark/>
          </w:tcPr>
          <w:p w:rsidR="000E434B" w:rsidRPr="000E434B" w:rsidRDefault="000E434B" w:rsidP="00CE4321">
            <w:pPr>
              <w:spacing w:before="100" w:beforeAutospacing="1" w:after="100" w:afterAutospacing="1"/>
              <w:rPr>
                <w:szCs w:val="28"/>
              </w:rPr>
            </w:pPr>
            <w:r w:rsidRPr="000E434B">
              <w:rPr>
                <w:szCs w:val="28"/>
              </w:rPr>
              <w:t>6,6</w:t>
            </w:r>
          </w:p>
        </w:tc>
        <w:tc>
          <w:tcPr>
            <w:tcW w:w="550" w:type="pct"/>
            <w:vAlign w:val="bottom"/>
            <w:hideMark/>
          </w:tcPr>
          <w:p w:rsidR="000E434B" w:rsidRPr="000E434B" w:rsidRDefault="000E434B" w:rsidP="00CE4321">
            <w:pPr>
              <w:spacing w:before="100" w:beforeAutospacing="1" w:after="100" w:afterAutospacing="1"/>
              <w:rPr>
                <w:szCs w:val="28"/>
              </w:rPr>
            </w:pPr>
            <w:r w:rsidRPr="000E434B">
              <w:rPr>
                <w:szCs w:val="28"/>
              </w:rPr>
              <w:t>0,3</w:t>
            </w:r>
          </w:p>
        </w:tc>
      </w:tr>
    </w:tbl>
    <w:p w:rsidR="000E434B" w:rsidRPr="000E434B" w:rsidRDefault="000E434B" w:rsidP="00CE4321">
      <w:pPr>
        <w:spacing w:line="360" w:lineRule="auto"/>
        <w:ind w:firstLine="709"/>
        <w:jc w:val="both"/>
        <w:rPr>
          <w:sz w:val="28"/>
          <w:szCs w:val="28"/>
        </w:rPr>
      </w:pPr>
    </w:p>
    <w:p w:rsidR="000E434B" w:rsidRPr="000E434B" w:rsidRDefault="000E434B" w:rsidP="00CE4321">
      <w:pPr>
        <w:spacing w:line="360" w:lineRule="auto"/>
        <w:ind w:firstLine="709"/>
        <w:jc w:val="right"/>
        <w:rPr>
          <w:sz w:val="28"/>
          <w:szCs w:val="28"/>
        </w:rPr>
      </w:pPr>
      <w:r>
        <w:rPr>
          <w:sz w:val="28"/>
          <w:szCs w:val="28"/>
        </w:rPr>
        <w:t>Таблица 2.2</w:t>
      </w:r>
    </w:p>
    <w:p w:rsidR="000E434B" w:rsidRPr="000E434B" w:rsidRDefault="000E434B" w:rsidP="00CE4321">
      <w:pPr>
        <w:spacing w:line="360" w:lineRule="auto"/>
        <w:ind w:firstLine="709"/>
        <w:jc w:val="center"/>
        <w:rPr>
          <w:bCs/>
          <w:sz w:val="28"/>
          <w:szCs w:val="28"/>
        </w:rPr>
      </w:pPr>
      <w:r w:rsidRPr="000E434B">
        <w:rPr>
          <w:bCs/>
          <w:sz w:val="28"/>
          <w:szCs w:val="28"/>
        </w:rPr>
        <w:t xml:space="preserve">Структура задолженности </w:t>
      </w:r>
      <w:r w:rsidR="00CE4321">
        <w:rPr>
          <w:bCs/>
          <w:sz w:val="28"/>
          <w:szCs w:val="28"/>
        </w:rPr>
        <w:t xml:space="preserve">по налоговым платежам и сборам </w:t>
      </w:r>
      <w:r w:rsidRPr="000E434B">
        <w:rPr>
          <w:bCs/>
          <w:sz w:val="28"/>
          <w:szCs w:val="28"/>
        </w:rPr>
        <w:t>в консолидированнн</w:t>
      </w:r>
      <w:r w:rsidR="00CE4321">
        <w:rPr>
          <w:bCs/>
          <w:sz w:val="28"/>
          <w:szCs w:val="28"/>
        </w:rPr>
        <w:t xml:space="preserve">ый бюджет Российской Федерации </w:t>
      </w:r>
      <w:r w:rsidRPr="000E434B">
        <w:rPr>
          <w:bCs/>
          <w:sz w:val="28"/>
          <w:szCs w:val="28"/>
        </w:rPr>
        <w:t>на 1 января 2011 года</w:t>
      </w:r>
    </w:p>
    <w:tbl>
      <w:tblPr>
        <w:tblW w:w="964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895"/>
        <w:gridCol w:w="956"/>
        <w:gridCol w:w="951"/>
        <w:gridCol w:w="956"/>
        <w:gridCol w:w="827"/>
        <w:gridCol w:w="956"/>
        <w:gridCol w:w="1108"/>
      </w:tblGrid>
      <w:tr w:rsidR="000E434B" w:rsidRPr="00CE4321" w:rsidTr="007B2322">
        <w:trPr>
          <w:tblCellSpacing w:w="7" w:type="dxa"/>
        </w:trPr>
        <w:tc>
          <w:tcPr>
            <w:tcW w:w="2019" w:type="pct"/>
            <w:vMerge w:val="restart"/>
            <w:vAlign w:val="bottom"/>
            <w:hideMark/>
          </w:tcPr>
          <w:p w:rsidR="000E434B" w:rsidRPr="00CE4321" w:rsidRDefault="000E434B" w:rsidP="00CE4321">
            <w:pPr>
              <w:jc w:val="both"/>
              <w:rPr>
                <w:sz w:val="22"/>
                <w:szCs w:val="22"/>
              </w:rPr>
            </w:pPr>
          </w:p>
        </w:tc>
        <w:tc>
          <w:tcPr>
            <w:tcW w:w="979" w:type="pct"/>
            <w:gridSpan w:val="2"/>
            <w:hideMark/>
          </w:tcPr>
          <w:p w:rsidR="000E434B" w:rsidRPr="00CE4321" w:rsidRDefault="000E434B" w:rsidP="00CE4321">
            <w:pPr>
              <w:jc w:val="both"/>
              <w:rPr>
                <w:sz w:val="22"/>
                <w:szCs w:val="22"/>
              </w:rPr>
            </w:pPr>
            <w:r w:rsidRPr="00CE4321">
              <w:rPr>
                <w:iCs/>
                <w:sz w:val="22"/>
                <w:szCs w:val="22"/>
              </w:rPr>
              <w:t>Задолженность</w:t>
            </w:r>
          </w:p>
        </w:tc>
        <w:tc>
          <w:tcPr>
            <w:tcW w:w="1972" w:type="pct"/>
            <w:gridSpan w:val="4"/>
            <w:hideMark/>
          </w:tcPr>
          <w:p w:rsidR="000E434B" w:rsidRPr="00CE4321" w:rsidRDefault="000E434B" w:rsidP="00CE4321">
            <w:pPr>
              <w:jc w:val="both"/>
              <w:rPr>
                <w:sz w:val="22"/>
                <w:szCs w:val="22"/>
              </w:rPr>
            </w:pPr>
            <w:r w:rsidRPr="00CE4321">
              <w:rPr>
                <w:iCs/>
                <w:sz w:val="22"/>
                <w:szCs w:val="22"/>
              </w:rPr>
              <w:t>Из нее</w:t>
            </w:r>
          </w:p>
        </w:tc>
      </w:tr>
      <w:tr w:rsidR="000E434B" w:rsidRPr="00CE4321" w:rsidTr="007B2322">
        <w:trPr>
          <w:tblCellSpacing w:w="7" w:type="dxa"/>
        </w:trPr>
        <w:tc>
          <w:tcPr>
            <w:tcW w:w="2019" w:type="pct"/>
            <w:vMerge/>
            <w:vAlign w:val="center"/>
            <w:hideMark/>
          </w:tcPr>
          <w:p w:rsidR="000E434B" w:rsidRPr="00CE4321" w:rsidRDefault="000E434B" w:rsidP="00CE4321">
            <w:pPr>
              <w:jc w:val="both"/>
              <w:rPr>
                <w:sz w:val="22"/>
                <w:szCs w:val="22"/>
              </w:rPr>
            </w:pPr>
          </w:p>
        </w:tc>
        <w:tc>
          <w:tcPr>
            <w:tcW w:w="491" w:type="pct"/>
            <w:vMerge w:val="restart"/>
            <w:hideMark/>
          </w:tcPr>
          <w:p w:rsidR="000E434B" w:rsidRPr="00CE4321" w:rsidRDefault="000E434B" w:rsidP="00CE4321">
            <w:pPr>
              <w:jc w:val="both"/>
              <w:rPr>
                <w:sz w:val="22"/>
                <w:szCs w:val="22"/>
              </w:rPr>
            </w:pPr>
            <w:r w:rsidRPr="00CE4321">
              <w:rPr>
                <w:iCs/>
                <w:sz w:val="22"/>
                <w:szCs w:val="22"/>
              </w:rPr>
              <w:t xml:space="preserve">млрд. </w:t>
            </w:r>
            <w:r w:rsidRPr="00CE4321">
              <w:rPr>
                <w:iCs/>
                <w:sz w:val="22"/>
                <w:szCs w:val="22"/>
              </w:rPr>
              <w:br/>
              <w:t>рублей</w:t>
            </w:r>
          </w:p>
        </w:tc>
        <w:tc>
          <w:tcPr>
            <w:tcW w:w="481" w:type="pct"/>
            <w:vMerge w:val="restart"/>
            <w:hideMark/>
          </w:tcPr>
          <w:p w:rsidR="000E434B" w:rsidRPr="00CE4321" w:rsidRDefault="000E434B" w:rsidP="00CE4321">
            <w:pPr>
              <w:jc w:val="both"/>
              <w:rPr>
                <w:sz w:val="22"/>
                <w:szCs w:val="22"/>
              </w:rPr>
            </w:pPr>
            <w:r w:rsidRPr="00CE4321">
              <w:rPr>
                <w:iCs/>
                <w:sz w:val="22"/>
                <w:szCs w:val="22"/>
              </w:rPr>
              <w:t xml:space="preserve">в % к </w:t>
            </w:r>
            <w:r w:rsidRPr="00CE4321">
              <w:rPr>
                <w:iCs/>
                <w:sz w:val="22"/>
                <w:szCs w:val="22"/>
              </w:rPr>
              <w:br/>
              <w:t>итогу</w:t>
            </w:r>
          </w:p>
        </w:tc>
        <w:tc>
          <w:tcPr>
            <w:tcW w:w="914" w:type="pct"/>
            <w:gridSpan w:val="2"/>
            <w:hideMark/>
          </w:tcPr>
          <w:p w:rsidR="000E434B" w:rsidRPr="00CE4321" w:rsidRDefault="000E434B" w:rsidP="00CE4321">
            <w:pPr>
              <w:jc w:val="both"/>
              <w:rPr>
                <w:sz w:val="22"/>
                <w:szCs w:val="22"/>
              </w:rPr>
            </w:pPr>
            <w:r w:rsidRPr="00CE4321">
              <w:rPr>
                <w:iCs/>
                <w:sz w:val="22"/>
                <w:szCs w:val="22"/>
              </w:rPr>
              <w:t>недоимка</w:t>
            </w:r>
          </w:p>
        </w:tc>
        <w:tc>
          <w:tcPr>
            <w:tcW w:w="1051" w:type="pct"/>
            <w:gridSpan w:val="2"/>
            <w:hideMark/>
          </w:tcPr>
          <w:p w:rsidR="000E434B" w:rsidRPr="00CE4321" w:rsidRDefault="000E434B" w:rsidP="00CE4321">
            <w:pPr>
              <w:jc w:val="both"/>
              <w:rPr>
                <w:sz w:val="22"/>
                <w:szCs w:val="22"/>
              </w:rPr>
            </w:pPr>
            <w:r w:rsidRPr="00CE4321">
              <w:rPr>
                <w:iCs/>
                <w:sz w:val="22"/>
                <w:szCs w:val="22"/>
              </w:rPr>
              <w:t xml:space="preserve">урегулированная </w:t>
            </w:r>
            <w:r w:rsidRPr="00CE4321">
              <w:rPr>
                <w:iCs/>
                <w:sz w:val="22"/>
                <w:szCs w:val="22"/>
              </w:rPr>
              <w:br/>
              <w:t>задолженность</w:t>
            </w:r>
          </w:p>
        </w:tc>
      </w:tr>
      <w:tr w:rsidR="000E434B" w:rsidRPr="00CE4321" w:rsidTr="007B2322">
        <w:trPr>
          <w:tblCellSpacing w:w="7" w:type="dxa"/>
        </w:trPr>
        <w:tc>
          <w:tcPr>
            <w:tcW w:w="2019" w:type="pct"/>
            <w:vMerge/>
            <w:vAlign w:val="center"/>
            <w:hideMark/>
          </w:tcPr>
          <w:p w:rsidR="000E434B" w:rsidRPr="00CE4321" w:rsidRDefault="000E434B" w:rsidP="00CE4321">
            <w:pPr>
              <w:jc w:val="both"/>
              <w:rPr>
                <w:sz w:val="22"/>
                <w:szCs w:val="22"/>
              </w:rPr>
            </w:pPr>
          </w:p>
        </w:tc>
        <w:tc>
          <w:tcPr>
            <w:tcW w:w="491" w:type="pct"/>
            <w:vMerge/>
            <w:vAlign w:val="center"/>
            <w:hideMark/>
          </w:tcPr>
          <w:p w:rsidR="000E434B" w:rsidRPr="00CE4321" w:rsidRDefault="000E434B" w:rsidP="00CE4321">
            <w:pPr>
              <w:jc w:val="both"/>
              <w:rPr>
                <w:sz w:val="22"/>
                <w:szCs w:val="22"/>
              </w:rPr>
            </w:pPr>
          </w:p>
        </w:tc>
        <w:tc>
          <w:tcPr>
            <w:tcW w:w="481" w:type="pct"/>
            <w:vMerge/>
            <w:vAlign w:val="center"/>
            <w:hideMark/>
          </w:tcPr>
          <w:p w:rsidR="000E434B" w:rsidRPr="00CE4321" w:rsidRDefault="000E434B" w:rsidP="00CE4321">
            <w:pPr>
              <w:jc w:val="both"/>
              <w:rPr>
                <w:sz w:val="22"/>
                <w:szCs w:val="22"/>
              </w:rPr>
            </w:pPr>
          </w:p>
        </w:tc>
        <w:tc>
          <w:tcPr>
            <w:tcW w:w="491" w:type="pct"/>
            <w:hideMark/>
          </w:tcPr>
          <w:p w:rsidR="000E434B" w:rsidRPr="00CE4321" w:rsidRDefault="000E434B" w:rsidP="00CE4321">
            <w:pPr>
              <w:jc w:val="both"/>
              <w:rPr>
                <w:sz w:val="22"/>
                <w:szCs w:val="22"/>
              </w:rPr>
            </w:pPr>
            <w:r w:rsidRPr="00CE4321">
              <w:rPr>
                <w:iCs/>
                <w:sz w:val="22"/>
                <w:szCs w:val="22"/>
              </w:rPr>
              <w:t xml:space="preserve">млрд. </w:t>
            </w:r>
            <w:r w:rsidRPr="00CE4321">
              <w:rPr>
                <w:iCs/>
                <w:sz w:val="22"/>
                <w:szCs w:val="22"/>
              </w:rPr>
              <w:br/>
              <w:t>рублей</w:t>
            </w:r>
          </w:p>
        </w:tc>
        <w:tc>
          <w:tcPr>
            <w:tcW w:w="416" w:type="pct"/>
            <w:hideMark/>
          </w:tcPr>
          <w:p w:rsidR="000E434B" w:rsidRPr="00CE4321" w:rsidRDefault="000E434B" w:rsidP="00CE4321">
            <w:pPr>
              <w:jc w:val="both"/>
              <w:rPr>
                <w:sz w:val="22"/>
                <w:szCs w:val="22"/>
              </w:rPr>
            </w:pPr>
            <w:r w:rsidRPr="00CE4321">
              <w:rPr>
                <w:iCs/>
                <w:sz w:val="22"/>
                <w:szCs w:val="22"/>
              </w:rPr>
              <w:t xml:space="preserve">в % к </w:t>
            </w:r>
            <w:r w:rsidRPr="00CE4321">
              <w:rPr>
                <w:iCs/>
                <w:sz w:val="22"/>
                <w:szCs w:val="22"/>
              </w:rPr>
              <w:br/>
              <w:t>итогу</w:t>
            </w:r>
          </w:p>
        </w:tc>
        <w:tc>
          <w:tcPr>
            <w:tcW w:w="491" w:type="pct"/>
            <w:hideMark/>
          </w:tcPr>
          <w:p w:rsidR="000E434B" w:rsidRPr="00CE4321" w:rsidRDefault="000E434B" w:rsidP="00CE4321">
            <w:pPr>
              <w:jc w:val="both"/>
              <w:rPr>
                <w:sz w:val="22"/>
                <w:szCs w:val="22"/>
              </w:rPr>
            </w:pPr>
            <w:r w:rsidRPr="00CE4321">
              <w:rPr>
                <w:iCs/>
                <w:sz w:val="22"/>
                <w:szCs w:val="22"/>
              </w:rPr>
              <w:t xml:space="preserve">млрд. </w:t>
            </w:r>
            <w:r w:rsidRPr="00CE4321">
              <w:rPr>
                <w:iCs/>
                <w:sz w:val="22"/>
                <w:szCs w:val="22"/>
              </w:rPr>
              <w:br/>
              <w:t>рублей</w:t>
            </w:r>
          </w:p>
        </w:tc>
        <w:tc>
          <w:tcPr>
            <w:tcW w:w="553" w:type="pct"/>
            <w:hideMark/>
          </w:tcPr>
          <w:p w:rsidR="000E434B" w:rsidRPr="00CE4321" w:rsidRDefault="000E434B" w:rsidP="00CE4321">
            <w:pPr>
              <w:jc w:val="both"/>
              <w:rPr>
                <w:sz w:val="22"/>
                <w:szCs w:val="22"/>
              </w:rPr>
            </w:pPr>
            <w:r w:rsidRPr="00CE4321">
              <w:rPr>
                <w:iCs/>
                <w:sz w:val="22"/>
                <w:szCs w:val="22"/>
              </w:rPr>
              <w:t xml:space="preserve">в % к </w:t>
            </w:r>
            <w:r w:rsidRPr="00CE4321">
              <w:rPr>
                <w:iCs/>
                <w:sz w:val="22"/>
                <w:szCs w:val="22"/>
              </w:rPr>
              <w:br/>
              <w:t>итогу</w:t>
            </w:r>
          </w:p>
        </w:tc>
      </w:tr>
      <w:tr w:rsidR="000E434B" w:rsidRPr="00CE4321" w:rsidTr="007B2322">
        <w:trPr>
          <w:tblCellSpacing w:w="7" w:type="dxa"/>
        </w:trPr>
        <w:tc>
          <w:tcPr>
            <w:tcW w:w="2019" w:type="pct"/>
            <w:vAlign w:val="bottom"/>
            <w:hideMark/>
          </w:tcPr>
          <w:p w:rsidR="000E434B" w:rsidRPr="00CE4321" w:rsidRDefault="000E434B" w:rsidP="00CE4321">
            <w:pPr>
              <w:rPr>
                <w:sz w:val="22"/>
                <w:szCs w:val="22"/>
              </w:rPr>
            </w:pPr>
            <w:r w:rsidRPr="00CE4321">
              <w:rPr>
                <w:bCs/>
                <w:sz w:val="22"/>
                <w:szCs w:val="22"/>
              </w:rPr>
              <w:t xml:space="preserve">Всего </w:t>
            </w:r>
          </w:p>
        </w:tc>
        <w:tc>
          <w:tcPr>
            <w:tcW w:w="491" w:type="pct"/>
            <w:vAlign w:val="bottom"/>
            <w:hideMark/>
          </w:tcPr>
          <w:p w:rsidR="000E434B" w:rsidRPr="00CE4321" w:rsidRDefault="000E434B" w:rsidP="00CE4321">
            <w:pPr>
              <w:rPr>
                <w:sz w:val="22"/>
                <w:szCs w:val="22"/>
              </w:rPr>
            </w:pPr>
            <w:r w:rsidRPr="00CE4321">
              <w:rPr>
                <w:bCs/>
                <w:sz w:val="22"/>
                <w:szCs w:val="22"/>
              </w:rPr>
              <w:t>703,4</w:t>
            </w:r>
          </w:p>
        </w:tc>
        <w:tc>
          <w:tcPr>
            <w:tcW w:w="481" w:type="pct"/>
            <w:vAlign w:val="bottom"/>
            <w:hideMark/>
          </w:tcPr>
          <w:p w:rsidR="000E434B" w:rsidRPr="00CE4321" w:rsidRDefault="000E434B" w:rsidP="00CE4321">
            <w:pPr>
              <w:rPr>
                <w:sz w:val="22"/>
                <w:szCs w:val="22"/>
              </w:rPr>
            </w:pPr>
            <w:r w:rsidRPr="00CE4321">
              <w:rPr>
                <w:bCs/>
                <w:sz w:val="22"/>
                <w:szCs w:val="22"/>
              </w:rPr>
              <w:t>100</w:t>
            </w:r>
          </w:p>
        </w:tc>
        <w:tc>
          <w:tcPr>
            <w:tcW w:w="491" w:type="pct"/>
            <w:vAlign w:val="bottom"/>
            <w:hideMark/>
          </w:tcPr>
          <w:p w:rsidR="000E434B" w:rsidRPr="00CE4321" w:rsidRDefault="000E434B" w:rsidP="00CE4321">
            <w:pPr>
              <w:rPr>
                <w:sz w:val="22"/>
                <w:szCs w:val="22"/>
              </w:rPr>
            </w:pPr>
            <w:r w:rsidRPr="00CE4321">
              <w:rPr>
                <w:bCs/>
                <w:sz w:val="22"/>
                <w:szCs w:val="22"/>
              </w:rPr>
              <w:t>314,3</w:t>
            </w:r>
          </w:p>
        </w:tc>
        <w:tc>
          <w:tcPr>
            <w:tcW w:w="416" w:type="pct"/>
            <w:vAlign w:val="bottom"/>
            <w:hideMark/>
          </w:tcPr>
          <w:p w:rsidR="000E434B" w:rsidRPr="00CE4321" w:rsidRDefault="000E434B" w:rsidP="00CE4321">
            <w:pPr>
              <w:rPr>
                <w:sz w:val="22"/>
                <w:szCs w:val="22"/>
              </w:rPr>
            </w:pPr>
            <w:r w:rsidRPr="00CE4321">
              <w:rPr>
                <w:bCs/>
                <w:sz w:val="22"/>
                <w:szCs w:val="22"/>
              </w:rPr>
              <w:t>100</w:t>
            </w:r>
          </w:p>
        </w:tc>
        <w:tc>
          <w:tcPr>
            <w:tcW w:w="491" w:type="pct"/>
            <w:vAlign w:val="bottom"/>
            <w:hideMark/>
          </w:tcPr>
          <w:p w:rsidR="000E434B" w:rsidRPr="00CE4321" w:rsidRDefault="000E434B" w:rsidP="00CE4321">
            <w:pPr>
              <w:rPr>
                <w:sz w:val="22"/>
                <w:szCs w:val="22"/>
              </w:rPr>
            </w:pPr>
            <w:r w:rsidRPr="00CE4321">
              <w:rPr>
                <w:bCs/>
                <w:sz w:val="22"/>
                <w:szCs w:val="22"/>
              </w:rPr>
              <w:t>377,7</w:t>
            </w:r>
          </w:p>
        </w:tc>
        <w:tc>
          <w:tcPr>
            <w:tcW w:w="553" w:type="pct"/>
            <w:vAlign w:val="bottom"/>
            <w:hideMark/>
          </w:tcPr>
          <w:p w:rsidR="000E434B" w:rsidRPr="00CE4321" w:rsidRDefault="000E434B" w:rsidP="00CE4321">
            <w:pPr>
              <w:rPr>
                <w:sz w:val="22"/>
                <w:szCs w:val="22"/>
              </w:rPr>
            </w:pPr>
            <w:r w:rsidRPr="00CE4321">
              <w:rPr>
                <w:bCs/>
                <w:sz w:val="22"/>
                <w:szCs w:val="22"/>
              </w:rPr>
              <w:t>100</w:t>
            </w:r>
          </w:p>
        </w:tc>
      </w:tr>
      <w:tr w:rsidR="000E434B" w:rsidRPr="00CE4321" w:rsidTr="007B2322">
        <w:trPr>
          <w:tblCellSpacing w:w="7" w:type="dxa"/>
        </w:trPr>
        <w:tc>
          <w:tcPr>
            <w:tcW w:w="2019" w:type="pct"/>
            <w:vAlign w:val="bottom"/>
            <w:hideMark/>
          </w:tcPr>
          <w:p w:rsidR="000E434B" w:rsidRPr="00CE4321" w:rsidRDefault="000E434B" w:rsidP="00CE4321">
            <w:pPr>
              <w:rPr>
                <w:sz w:val="22"/>
                <w:szCs w:val="22"/>
              </w:rPr>
            </w:pPr>
            <w:r w:rsidRPr="00CE4321">
              <w:rPr>
                <w:sz w:val="22"/>
                <w:szCs w:val="22"/>
              </w:rPr>
              <w:t xml:space="preserve">в том числе: </w:t>
            </w:r>
            <w:r w:rsidRPr="00CE4321">
              <w:rPr>
                <w:sz w:val="22"/>
                <w:szCs w:val="22"/>
              </w:rPr>
              <w:br/>
            </w:r>
            <w:r w:rsidRPr="00CE4321">
              <w:rPr>
                <w:bCs/>
                <w:sz w:val="22"/>
                <w:szCs w:val="22"/>
              </w:rPr>
              <w:t>по федеральным налогам и сборам</w:t>
            </w:r>
          </w:p>
        </w:tc>
        <w:tc>
          <w:tcPr>
            <w:tcW w:w="491" w:type="pct"/>
            <w:vAlign w:val="bottom"/>
            <w:hideMark/>
          </w:tcPr>
          <w:p w:rsidR="000E434B" w:rsidRPr="00CE4321" w:rsidRDefault="000E434B" w:rsidP="00CE4321">
            <w:pPr>
              <w:rPr>
                <w:sz w:val="22"/>
                <w:szCs w:val="22"/>
              </w:rPr>
            </w:pPr>
            <w:r w:rsidRPr="00CE4321">
              <w:rPr>
                <w:sz w:val="22"/>
                <w:szCs w:val="22"/>
              </w:rPr>
              <w:t>584,4</w:t>
            </w:r>
          </w:p>
        </w:tc>
        <w:tc>
          <w:tcPr>
            <w:tcW w:w="481" w:type="pct"/>
            <w:vAlign w:val="bottom"/>
            <w:hideMark/>
          </w:tcPr>
          <w:p w:rsidR="000E434B" w:rsidRPr="00CE4321" w:rsidRDefault="000E434B" w:rsidP="00CE4321">
            <w:pPr>
              <w:rPr>
                <w:sz w:val="22"/>
                <w:szCs w:val="22"/>
              </w:rPr>
            </w:pPr>
            <w:r w:rsidRPr="00CE4321">
              <w:rPr>
                <w:sz w:val="22"/>
                <w:szCs w:val="22"/>
              </w:rPr>
              <w:t>83,1</w:t>
            </w:r>
          </w:p>
        </w:tc>
        <w:tc>
          <w:tcPr>
            <w:tcW w:w="491" w:type="pct"/>
            <w:vAlign w:val="bottom"/>
            <w:hideMark/>
          </w:tcPr>
          <w:p w:rsidR="000E434B" w:rsidRPr="00CE4321" w:rsidRDefault="000E434B" w:rsidP="00CE4321">
            <w:pPr>
              <w:rPr>
                <w:sz w:val="22"/>
                <w:szCs w:val="22"/>
              </w:rPr>
            </w:pPr>
            <w:r w:rsidRPr="00CE4321">
              <w:rPr>
                <w:sz w:val="22"/>
                <w:szCs w:val="22"/>
              </w:rPr>
              <w:t>232,1</w:t>
            </w:r>
          </w:p>
        </w:tc>
        <w:tc>
          <w:tcPr>
            <w:tcW w:w="416" w:type="pct"/>
            <w:vAlign w:val="bottom"/>
            <w:hideMark/>
          </w:tcPr>
          <w:p w:rsidR="000E434B" w:rsidRPr="00CE4321" w:rsidRDefault="000E434B" w:rsidP="00CE4321">
            <w:pPr>
              <w:rPr>
                <w:sz w:val="22"/>
                <w:szCs w:val="22"/>
              </w:rPr>
            </w:pPr>
            <w:r w:rsidRPr="00CE4321">
              <w:rPr>
                <w:sz w:val="22"/>
                <w:szCs w:val="22"/>
              </w:rPr>
              <w:t>73,8</w:t>
            </w:r>
          </w:p>
        </w:tc>
        <w:tc>
          <w:tcPr>
            <w:tcW w:w="491" w:type="pct"/>
            <w:vAlign w:val="bottom"/>
            <w:hideMark/>
          </w:tcPr>
          <w:p w:rsidR="000E434B" w:rsidRPr="00CE4321" w:rsidRDefault="000E434B" w:rsidP="00CE4321">
            <w:pPr>
              <w:rPr>
                <w:sz w:val="22"/>
                <w:szCs w:val="22"/>
              </w:rPr>
            </w:pPr>
            <w:r w:rsidRPr="00CE4321">
              <w:rPr>
                <w:sz w:val="22"/>
                <w:szCs w:val="22"/>
              </w:rPr>
              <w:t>343,0</w:t>
            </w:r>
          </w:p>
        </w:tc>
        <w:tc>
          <w:tcPr>
            <w:tcW w:w="553" w:type="pct"/>
            <w:vAlign w:val="bottom"/>
            <w:hideMark/>
          </w:tcPr>
          <w:p w:rsidR="000E434B" w:rsidRPr="00CE4321" w:rsidRDefault="000E434B" w:rsidP="00CE4321">
            <w:pPr>
              <w:rPr>
                <w:sz w:val="22"/>
                <w:szCs w:val="22"/>
              </w:rPr>
            </w:pPr>
            <w:r w:rsidRPr="00CE4321">
              <w:rPr>
                <w:sz w:val="22"/>
                <w:szCs w:val="22"/>
              </w:rPr>
              <w:t>90,8</w:t>
            </w:r>
          </w:p>
        </w:tc>
      </w:tr>
      <w:tr w:rsidR="000E434B" w:rsidRPr="00CE4321" w:rsidTr="007B2322">
        <w:trPr>
          <w:tblCellSpacing w:w="7" w:type="dxa"/>
        </w:trPr>
        <w:tc>
          <w:tcPr>
            <w:tcW w:w="2019" w:type="pct"/>
            <w:vAlign w:val="bottom"/>
            <w:hideMark/>
          </w:tcPr>
          <w:p w:rsidR="000E434B" w:rsidRPr="00CE4321" w:rsidRDefault="000E434B" w:rsidP="00CE4321">
            <w:pPr>
              <w:rPr>
                <w:sz w:val="22"/>
                <w:szCs w:val="22"/>
              </w:rPr>
            </w:pPr>
            <w:r w:rsidRPr="00CE4321">
              <w:rPr>
                <w:sz w:val="22"/>
                <w:szCs w:val="22"/>
              </w:rPr>
              <w:t xml:space="preserve">в том числе: </w:t>
            </w:r>
            <w:r w:rsidRPr="00CE4321">
              <w:rPr>
                <w:sz w:val="22"/>
                <w:szCs w:val="22"/>
              </w:rPr>
              <w:br/>
              <w:t>налог на прибыль организаций</w:t>
            </w:r>
          </w:p>
        </w:tc>
        <w:tc>
          <w:tcPr>
            <w:tcW w:w="491" w:type="pct"/>
            <w:vAlign w:val="bottom"/>
            <w:hideMark/>
          </w:tcPr>
          <w:p w:rsidR="000E434B" w:rsidRPr="00CE4321" w:rsidRDefault="000E434B" w:rsidP="00CE4321">
            <w:pPr>
              <w:rPr>
                <w:sz w:val="22"/>
                <w:szCs w:val="22"/>
              </w:rPr>
            </w:pPr>
            <w:r w:rsidRPr="00CE4321">
              <w:rPr>
                <w:sz w:val="22"/>
                <w:szCs w:val="22"/>
              </w:rPr>
              <w:t>176,5</w:t>
            </w:r>
          </w:p>
        </w:tc>
        <w:tc>
          <w:tcPr>
            <w:tcW w:w="481" w:type="pct"/>
            <w:vAlign w:val="bottom"/>
            <w:hideMark/>
          </w:tcPr>
          <w:p w:rsidR="000E434B" w:rsidRPr="00CE4321" w:rsidRDefault="000E434B" w:rsidP="00CE4321">
            <w:pPr>
              <w:rPr>
                <w:sz w:val="22"/>
                <w:szCs w:val="22"/>
              </w:rPr>
            </w:pPr>
            <w:r w:rsidRPr="00CE4321">
              <w:rPr>
                <w:sz w:val="22"/>
                <w:szCs w:val="22"/>
              </w:rPr>
              <w:t>25,1</w:t>
            </w:r>
          </w:p>
        </w:tc>
        <w:tc>
          <w:tcPr>
            <w:tcW w:w="491" w:type="pct"/>
            <w:vAlign w:val="bottom"/>
            <w:hideMark/>
          </w:tcPr>
          <w:p w:rsidR="000E434B" w:rsidRPr="00CE4321" w:rsidRDefault="000E434B" w:rsidP="00CE4321">
            <w:pPr>
              <w:rPr>
                <w:sz w:val="22"/>
                <w:szCs w:val="22"/>
              </w:rPr>
            </w:pPr>
            <w:r w:rsidRPr="00CE4321">
              <w:rPr>
                <w:sz w:val="22"/>
                <w:szCs w:val="22"/>
              </w:rPr>
              <w:t>82,6</w:t>
            </w:r>
          </w:p>
        </w:tc>
        <w:tc>
          <w:tcPr>
            <w:tcW w:w="416" w:type="pct"/>
            <w:vAlign w:val="bottom"/>
            <w:hideMark/>
          </w:tcPr>
          <w:p w:rsidR="000E434B" w:rsidRPr="00CE4321" w:rsidRDefault="000E434B" w:rsidP="00CE4321">
            <w:pPr>
              <w:rPr>
                <w:sz w:val="22"/>
                <w:szCs w:val="22"/>
              </w:rPr>
            </w:pPr>
            <w:r w:rsidRPr="00CE4321">
              <w:rPr>
                <w:sz w:val="22"/>
                <w:szCs w:val="22"/>
              </w:rPr>
              <w:t>26,3</w:t>
            </w:r>
          </w:p>
        </w:tc>
        <w:tc>
          <w:tcPr>
            <w:tcW w:w="491" w:type="pct"/>
            <w:vAlign w:val="bottom"/>
            <w:hideMark/>
          </w:tcPr>
          <w:p w:rsidR="000E434B" w:rsidRPr="00CE4321" w:rsidRDefault="000E434B" w:rsidP="00CE4321">
            <w:pPr>
              <w:rPr>
                <w:sz w:val="22"/>
                <w:szCs w:val="22"/>
              </w:rPr>
            </w:pPr>
            <w:r w:rsidRPr="00CE4321">
              <w:rPr>
                <w:sz w:val="22"/>
                <w:szCs w:val="22"/>
              </w:rPr>
              <w:t>93,0</w:t>
            </w:r>
          </w:p>
        </w:tc>
        <w:tc>
          <w:tcPr>
            <w:tcW w:w="553" w:type="pct"/>
            <w:vAlign w:val="bottom"/>
            <w:hideMark/>
          </w:tcPr>
          <w:p w:rsidR="000E434B" w:rsidRPr="00CE4321" w:rsidRDefault="000E434B" w:rsidP="00CE4321">
            <w:pPr>
              <w:rPr>
                <w:sz w:val="22"/>
                <w:szCs w:val="22"/>
              </w:rPr>
            </w:pPr>
            <w:r w:rsidRPr="00CE4321">
              <w:rPr>
                <w:sz w:val="22"/>
                <w:szCs w:val="22"/>
              </w:rPr>
              <w:t>24,6</w:t>
            </w:r>
          </w:p>
        </w:tc>
      </w:tr>
      <w:tr w:rsidR="000E434B" w:rsidRPr="00CE4321" w:rsidTr="007B2322">
        <w:trPr>
          <w:tblCellSpacing w:w="7" w:type="dxa"/>
        </w:trPr>
        <w:tc>
          <w:tcPr>
            <w:tcW w:w="2019" w:type="pct"/>
            <w:vAlign w:val="bottom"/>
            <w:hideMark/>
          </w:tcPr>
          <w:p w:rsidR="000E434B" w:rsidRPr="00CE4321" w:rsidRDefault="000E434B" w:rsidP="00CE4321">
            <w:pPr>
              <w:rPr>
                <w:sz w:val="22"/>
                <w:szCs w:val="22"/>
              </w:rPr>
            </w:pPr>
            <w:r w:rsidRPr="00CE4321">
              <w:rPr>
                <w:sz w:val="22"/>
                <w:szCs w:val="22"/>
              </w:rPr>
              <w:t xml:space="preserve">налог на добавленную стоимость </w:t>
            </w:r>
            <w:r w:rsidRPr="00CE4321">
              <w:rPr>
                <w:sz w:val="22"/>
                <w:szCs w:val="22"/>
              </w:rPr>
              <w:br/>
              <w:t xml:space="preserve">на товары (работы, услуги), реализуемые </w:t>
            </w:r>
            <w:r w:rsidRPr="00CE4321">
              <w:rPr>
                <w:sz w:val="22"/>
                <w:szCs w:val="22"/>
              </w:rPr>
              <w:br/>
              <w:t xml:space="preserve">на территории Российской Федерации и </w:t>
            </w:r>
            <w:r w:rsidRPr="00CE4321">
              <w:rPr>
                <w:sz w:val="22"/>
                <w:szCs w:val="22"/>
              </w:rPr>
              <w:br/>
              <w:t>ввозимые из Республики Беларусь</w:t>
            </w:r>
          </w:p>
        </w:tc>
        <w:tc>
          <w:tcPr>
            <w:tcW w:w="491" w:type="pct"/>
            <w:vAlign w:val="bottom"/>
            <w:hideMark/>
          </w:tcPr>
          <w:p w:rsidR="000E434B" w:rsidRPr="00CE4321" w:rsidRDefault="000E434B" w:rsidP="00CE4321">
            <w:pPr>
              <w:rPr>
                <w:sz w:val="22"/>
                <w:szCs w:val="22"/>
              </w:rPr>
            </w:pPr>
            <w:r w:rsidRPr="00CE4321">
              <w:rPr>
                <w:sz w:val="22"/>
                <w:szCs w:val="22"/>
              </w:rPr>
              <w:t>312,7</w:t>
            </w:r>
          </w:p>
        </w:tc>
        <w:tc>
          <w:tcPr>
            <w:tcW w:w="481" w:type="pct"/>
            <w:vAlign w:val="bottom"/>
            <w:hideMark/>
          </w:tcPr>
          <w:p w:rsidR="000E434B" w:rsidRPr="00CE4321" w:rsidRDefault="000E434B" w:rsidP="00CE4321">
            <w:pPr>
              <w:rPr>
                <w:sz w:val="22"/>
                <w:szCs w:val="22"/>
              </w:rPr>
            </w:pPr>
            <w:r w:rsidRPr="00CE4321">
              <w:rPr>
                <w:sz w:val="22"/>
                <w:szCs w:val="22"/>
              </w:rPr>
              <w:t>44,5</w:t>
            </w:r>
          </w:p>
        </w:tc>
        <w:tc>
          <w:tcPr>
            <w:tcW w:w="491" w:type="pct"/>
            <w:vAlign w:val="bottom"/>
            <w:hideMark/>
          </w:tcPr>
          <w:p w:rsidR="000E434B" w:rsidRPr="00CE4321" w:rsidRDefault="000E434B" w:rsidP="00CE4321">
            <w:pPr>
              <w:rPr>
                <w:sz w:val="22"/>
                <w:szCs w:val="22"/>
              </w:rPr>
            </w:pPr>
            <w:r w:rsidRPr="00CE4321">
              <w:rPr>
                <w:sz w:val="22"/>
                <w:szCs w:val="22"/>
              </w:rPr>
              <w:t>111,7</w:t>
            </w:r>
          </w:p>
        </w:tc>
        <w:tc>
          <w:tcPr>
            <w:tcW w:w="416" w:type="pct"/>
            <w:vAlign w:val="bottom"/>
            <w:hideMark/>
          </w:tcPr>
          <w:p w:rsidR="000E434B" w:rsidRPr="00CE4321" w:rsidRDefault="000E434B" w:rsidP="00CE4321">
            <w:pPr>
              <w:rPr>
                <w:sz w:val="22"/>
                <w:szCs w:val="22"/>
              </w:rPr>
            </w:pPr>
            <w:r w:rsidRPr="00CE4321">
              <w:rPr>
                <w:sz w:val="22"/>
                <w:szCs w:val="22"/>
              </w:rPr>
              <w:t>35,5</w:t>
            </w:r>
          </w:p>
        </w:tc>
        <w:tc>
          <w:tcPr>
            <w:tcW w:w="491" w:type="pct"/>
            <w:vAlign w:val="bottom"/>
            <w:hideMark/>
          </w:tcPr>
          <w:p w:rsidR="000E434B" w:rsidRPr="00CE4321" w:rsidRDefault="000E434B" w:rsidP="00CE4321">
            <w:pPr>
              <w:rPr>
                <w:sz w:val="22"/>
                <w:szCs w:val="22"/>
              </w:rPr>
            </w:pPr>
            <w:r w:rsidRPr="00CE4321">
              <w:rPr>
                <w:sz w:val="22"/>
                <w:szCs w:val="22"/>
              </w:rPr>
              <w:t>197,3</w:t>
            </w:r>
          </w:p>
        </w:tc>
        <w:tc>
          <w:tcPr>
            <w:tcW w:w="553" w:type="pct"/>
            <w:vAlign w:val="bottom"/>
            <w:hideMark/>
          </w:tcPr>
          <w:p w:rsidR="000E434B" w:rsidRPr="00CE4321" w:rsidRDefault="000E434B" w:rsidP="00CE4321">
            <w:pPr>
              <w:rPr>
                <w:sz w:val="22"/>
                <w:szCs w:val="22"/>
              </w:rPr>
            </w:pPr>
            <w:r w:rsidRPr="00CE4321">
              <w:rPr>
                <w:sz w:val="22"/>
                <w:szCs w:val="22"/>
              </w:rPr>
              <w:t>52,2</w:t>
            </w:r>
          </w:p>
        </w:tc>
      </w:tr>
    </w:tbl>
    <w:p w:rsidR="000E434B" w:rsidRPr="00CE4321" w:rsidRDefault="000E434B" w:rsidP="00CE4321">
      <w:pPr>
        <w:rPr>
          <w:sz w:val="22"/>
          <w:szCs w:val="22"/>
        </w:rPr>
      </w:pPr>
    </w:p>
    <w:p w:rsidR="000E434B" w:rsidRPr="00CE4321" w:rsidRDefault="000E434B" w:rsidP="00CE4321">
      <w:pPr>
        <w:rPr>
          <w:sz w:val="22"/>
          <w:szCs w:val="22"/>
        </w:rPr>
      </w:pPr>
    </w:p>
    <w:p w:rsidR="000E434B" w:rsidRPr="00CE4321" w:rsidRDefault="000E434B" w:rsidP="00CE4321">
      <w:pPr>
        <w:rPr>
          <w:sz w:val="22"/>
          <w:szCs w:val="22"/>
        </w:rPr>
      </w:pPr>
      <w:r w:rsidRPr="00CE4321">
        <w:rPr>
          <w:sz w:val="22"/>
          <w:szCs w:val="22"/>
        </w:rPr>
        <w:t>Окончание табл. 2.2</w:t>
      </w:r>
    </w:p>
    <w:tbl>
      <w:tblPr>
        <w:tblW w:w="964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884"/>
        <w:gridCol w:w="953"/>
        <w:gridCol w:w="934"/>
        <w:gridCol w:w="953"/>
        <w:gridCol w:w="810"/>
        <w:gridCol w:w="953"/>
        <w:gridCol w:w="1162"/>
      </w:tblGrid>
      <w:tr w:rsidR="000E434B" w:rsidRPr="00CE4321" w:rsidTr="007B2322">
        <w:trPr>
          <w:tblCellSpacing w:w="7" w:type="dxa"/>
        </w:trPr>
        <w:tc>
          <w:tcPr>
            <w:tcW w:w="2019" w:type="pct"/>
            <w:vAlign w:val="bottom"/>
            <w:hideMark/>
          </w:tcPr>
          <w:p w:rsidR="000E434B" w:rsidRPr="00CE4321" w:rsidRDefault="000E434B" w:rsidP="00CE4321">
            <w:pPr>
              <w:rPr>
                <w:sz w:val="22"/>
                <w:szCs w:val="22"/>
              </w:rPr>
            </w:pPr>
            <w:r w:rsidRPr="00CE4321">
              <w:rPr>
                <w:sz w:val="22"/>
                <w:szCs w:val="22"/>
              </w:rPr>
              <w:t xml:space="preserve">из него налог на добавленную </w:t>
            </w:r>
            <w:r w:rsidRPr="00CE4321">
              <w:rPr>
                <w:sz w:val="22"/>
                <w:szCs w:val="22"/>
              </w:rPr>
              <w:br/>
              <w:t xml:space="preserve">стоимость на товары (работы, </w:t>
            </w:r>
            <w:r w:rsidRPr="00CE4321">
              <w:rPr>
                <w:sz w:val="22"/>
                <w:szCs w:val="22"/>
              </w:rPr>
              <w:br/>
              <w:t xml:space="preserve">услуги), реализуемые на </w:t>
            </w:r>
            <w:r w:rsidRPr="00CE4321">
              <w:rPr>
                <w:sz w:val="22"/>
                <w:szCs w:val="22"/>
              </w:rPr>
              <w:br/>
              <w:t>территории Российской Федерации</w:t>
            </w:r>
          </w:p>
        </w:tc>
        <w:tc>
          <w:tcPr>
            <w:tcW w:w="491" w:type="pct"/>
            <w:vAlign w:val="bottom"/>
            <w:hideMark/>
          </w:tcPr>
          <w:p w:rsidR="000E434B" w:rsidRPr="00CE4321" w:rsidRDefault="000E434B" w:rsidP="00CE4321">
            <w:pPr>
              <w:rPr>
                <w:sz w:val="22"/>
                <w:szCs w:val="22"/>
              </w:rPr>
            </w:pPr>
            <w:r w:rsidRPr="00CE4321">
              <w:rPr>
                <w:sz w:val="22"/>
                <w:szCs w:val="22"/>
              </w:rPr>
              <w:t>311,9</w:t>
            </w:r>
          </w:p>
        </w:tc>
        <w:tc>
          <w:tcPr>
            <w:tcW w:w="481" w:type="pct"/>
            <w:vAlign w:val="bottom"/>
            <w:hideMark/>
          </w:tcPr>
          <w:p w:rsidR="000E434B" w:rsidRPr="00CE4321" w:rsidRDefault="000E434B" w:rsidP="00CE4321">
            <w:pPr>
              <w:rPr>
                <w:sz w:val="22"/>
                <w:szCs w:val="22"/>
              </w:rPr>
            </w:pPr>
            <w:r w:rsidRPr="00CE4321">
              <w:rPr>
                <w:sz w:val="22"/>
                <w:szCs w:val="22"/>
              </w:rPr>
              <w:t>44,3</w:t>
            </w:r>
          </w:p>
        </w:tc>
        <w:tc>
          <w:tcPr>
            <w:tcW w:w="491" w:type="pct"/>
            <w:vAlign w:val="bottom"/>
            <w:hideMark/>
          </w:tcPr>
          <w:p w:rsidR="000E434B" w:rsidRPr="00CE4321" w:rsidRDefault="000E434B" w:rsidP="00CE4321">
            <w:pPr>
              <w:rPr>
                <w:sz w:val="22"/>
                <w:szCs w:val="22"/>
              </w:rPr>
            </w:pPr>
            <w:r w:rsidRPr="00CE4321">
              <w:rPr>
                <w:sz w:val="22"/>
                <w:szCs w:val="22"/>
              </w:rPr>
              <w:t>111,4</w:t>
            </w:r>
          </w:p>
        </w:tc>
        <w:tc>
          <w:tcPr>
            <w:tcW w:w="416" w:type="pct"/>
            <w:vAlign w:val="bottom"/>
            <w:hideMark/>
          </w:tcPr>
          <w:p w:rsidR="000E434B" w:rsidRPr="00CE4321" w:rsidRDefault="000E434B" w:rsidP="00CE4321">
            <w:pPr>
              <w:rPr>
                <w:sz w:val="22"/>
                <w:szCs w:val="22"/>
              </w:rPr>
            </w:pPr>
            <w:r w:rsidRPr="00CE4321">
              <w:rPr>
                <w:sz w:val="22"/>
                <w:szCs w:val="22"/>
              </w:rPr>
              <w:t>35,4</w:t>
            </w:r>
          </w:p>
        </w:tc>
        <w:tc>
          <w:tcPr>
            <w:tcW w:w="491" w:type="pct"/>
            <w:vAlign w:val="bottom"/>
            <w:hideMark/>
          </w:tcPr>
          <w:p w:rsidR="000E434B" w:rsidRPr="00CE4321" w:rsidRDefault="000E434B" w:rsidP="00CE4321">
            <w:pPr>
              <w:rPr>
                <w:sz w:val="22"/>
                <w:szCs w:val="22"/>
              </w:rPr>
            </w:pPr>
            <w:r w:rsidRPr="00CE4321">
              <w:rPr>
                <w:sz w:val="22"/>
                <w:szCs w:val="22"/>
              </w:rPr>
              <w:t>196,7</w:t>
            </w:r>
          </w:p>
        </w:tc>
        <w:tc>
          <w:tcPr>
            <w:tcW w:w="553" w:type="pct"/>
            <w:vAlign w:val="bottom"/>
            <w:hideMark/>
          </w:tcPr>
          <w:p w:rsidR="000E434B" w:rsidRPr="00CE4321" w:rsidRDefault="000E434B" w:rsidP="00CE4321">
            <w:pPr>
              <w:rPr>
                <w:sz w:val="22"/>
                <w:szCs w:val="22"/>
              </w:rPr>
            </w:pPr>
            <w:r w:rsidRPr="00CE4321">
              <w:rPr>
                <w:sz w:val="22"/>
                <w:szCs w:val="22"/>
              </w:rPr>
              <w:t>52,1</w:t>
            </w:r>
          </w:p>
        </w:tc>
      </w:tr>
      <w:tr w:rsidR="000E434B" w:rsidRPr="00CE4321" w:rsidTr="007B2322">
        <w:trPr>
          <w:tblCellSpacing w:w="7" w:type="dxa"/>
        </w:trPr>
        <w:tc>
          <w:tcPr>
            <w:tcW w:w="2019" w:type="pct"/>
            <w:vAlign w:val="bottom"/>
            <w:hideMark/>
          </w:tcPr>
          <w:p w:rsidR="000E434B" w:rsidRPr="00CE4321" w:rsidRDefault="000E434B" w:rsidP="00CE4321">
            <w:pPr>
              <w:rPr>
                <w:sz w:val="22"/>
                <w:szCs w:val="22"/>
              </w:rPr>
            </w:pPr>
            <w:r w:rsidRPr="00CE4321">
              <w:rPr>
                <w:sz w:val="22"/>
                <w:szCs w:val="22"/>
              </w:rPr>
              <w:t xml:space="preserve">налоги, сборы и регулярные платежи </w:t>
            </w:r>
            <w:r w:rsidRPr="00CE4321">
              <w:rPr>
                <w:sz w:val="22"/>
                <w:szCs w:val="22"/>
              </w:rPr>
              <w:br/>
              <w:t>за пользование природными ресурсами</w:t>
            </w:r>
          </w:p>
        </w:tc>
        <w:tc>
          <w:tcPr>
            <w:tcW w:w="491" w:type="pct"/>
            <w:vAlign w:val="bottom"/>
            <w:hideMark/>
          </w:tcPr>
          <w:p w:rsidR="000E434B" w:rsidRPr="00CE4321" w:rsidRDefault="000E434B" w:rsidP="00CE4321">
            <w:pPr>
              <w:rPr>
                <w:sz w:val="22"/>
                <w:szCs w:val="22"/>
              </w:rPr>
            </w:pPr>
            <w:r w:rsidRPr="00CE4321">
              <w:rPr>
                <w:sz w:val="22"/>
                <w:szCs w:val="22"/>
              </w:rPr>
              <w:t>13,1</w:t>
            </w:r>
          </w:p>
        </w:tc>
        <w:tc>
          <w:tcPr>
            <w:tcW w:w="481" w:type="pct"/>
            <w:vAlign w:val="bottom"/>
            <w:hideMark/>
          </w:tcPr>
          <w:p w:rsidR="000E434B" w:rsidRPr="00CE4321" w:rsidRDefault="000E434B" w:rsidP="00CE4321">
            <w:pPr>
              <w:rPr>
                <w:sz w:val="22"/>
                <w:szCs w:val="22"/>
              </w:rPr>
            </w:pPr>
            <w:r w:rsidRPr="00CE4321">
              <w:rPr>
                <w:sz w:val="22"/>
                <w:szCs w:val="22"/>
              </w:rPr>
              <w:t>1,9</w:t>
            </w:r>
          </w:p>
        </w:tc>
        <w:tc>
          <w:tcPr>
            <w:tcW w:w="491" w:type="pct"/>
            <w:vAlign w:val="bottom"/>
            <w:hideMark/>
          </w:tcPr>
          <w:p w:rsidR="000E434B" w:rsidRPr="00CE4321" w:rsidRDefault="000E434B" w:rsidP="00CE4321">
            <w:pPr>
              <w:rPr>
                <w:sz w:val="22"/>
                <w:szCs w:val="22"/>
              </w:rPr>
            </w:pPr>
            <w:r w:rsidRPr="00CE4321">
              <w:rPr>
                <w:sz w:val="22"/>
                <w:szCs w:val="22"/>
              </w:rPr>
              <w:t>2,3</w:t>
            </w:r>
          </w:p>
        </w:tc>
        <w:tc>
          <w:tcPr>
            <w:tcW w:w="416" w:type="pct"/>
            <w:vAlign w:val="bottom"/>
            <w:hideMark/>
          </w:tcPr>
          <w:p w:rsidR="000E434B" w:rsidRPr="00CE4321" w:rsidRDefault="000E434B" w:rsidP="00CE4321">
            <w:pPr>
              <w:rPr>
                <w:sz w:val="22"/>
                <w:szCs w:val="22"/>
              </w:rPr>
            </w:pPr>
            <w:r w:rsidRPr="00CE4321">
              <w:rPr>
                <w:sz w:val="22"/>
                <w:szCs w:val="22"/>
              </w:rPr>
              <w:t>0,7</w:t>
            </w:r>
          </w:p>
        </w:tc>
        <w:tc>
          <w:tcPr>
            <w:tcW w:w="491" w:type="pct"/>
            <w:vAlign w:val="bottom"/>
            <w:hideMark/>
          </w:tcPr>
          <w:p w:rsidR="000E434B" w:rsidRPr="00CE4321" w:rsidRDefault="000E434B" w:rsidP="00CE4321">
            <w:pPr>
              <w:rPr>
                <w:sz w:val="22"/>
                <w:szCs w:val="22"/>
              </w:rPr>
            </w:pPr>
            <w:r w:rsidRPr="00CE4321">
              <w:rPr>
                <w:sz w:val="22"/>
                <w:szCs w:val="22"/>
              </w:rPr>
              <w:t>9,4</w:t>
            </w:r>
          </w:p>
        </w:tc>
        <w:tc>
          <w:tcPr>
            <w:tcW w:w="553" w:type="pct"/>
            <w:vAlign w:val="bottom"/>
            <w:hideMark/>
          </w:tcPr>
          <w:p w:rsidR="000E434B" w:rsidRPr="00CE4321" w:rsidRDefault="000E434B" w:rsidP="00CE4321">
            <w:pPr>
              <w:rPr>
                <w:sz w:val="22"/>
                <w:szCs w:val="22"/>
              </w:rPr>
            </w:pPr>
            <w:r w:rsidRPr="00CE4321">
              <w:rPr>
                <w:sz w:val="22"/>
                <w:szCs w:val="22"/>
              </w:rPr>
              <w:t>2,5</w:t>
            </w:r>
          </w:p>
        </w:tc>
      </w:tr>
      <w:tr w:rsidR="000E434B" w:rsidRPr="00CE4321" w:rsidTr="007B2322">
        <w:trPr>
          <w:tblCellSpacing w:w="7" w:type="dxa"/>
        </w:trPr>
        <w:tc>
          <w:tcPr>
            <w:tcW w:w="2019" w:type="pct"/>
            <w:vAlign w:val="bottom"/>
            <w:hideMark/>
          </w:tcPr>
          <w:p w:rsidR="000E434B" w:rsidRPr="00CE4321" w:rsidRDefault="000E434B" w:rsidP="00CE4321">
            <w:pPr>
              <w:rPr>
                <w:sz w:val="22"/>
                <w:szCs w:val="22"/>
              </w:rPr>
            </w:pPr>
            <w:r w:rsidRPr="00CE4321">
              <w:rPr>
                <w:sz w:val="22"/>
                <w:szCs w:val="22"/>
              </w:rPr>
              <w:t xml:space="preserve">из них налог на добычу </w:t>
            </w:r>
            <w:r w:rsidRPr="00CE4321">
              <w:rPr>
                <w:sz w:val="22"/>
                <w:szCs w:val="22"/>
              </w:rPr>
              <w:br/>
              <w:t>полезных ископаемых</w:t>
            </w:r>
          </w:p>
        </w:tc>
        <w:tc>
          <w:tcPr>
            <w:tcW w:w="491" w:type="pct"/>
            <w:vAlign w:val="bottom"/>
            <w:hideMark/>
          </w:tcPr>
          <w:p w:rsidR="000E434B" w:rsidRPr="00CE4321" w:rsidRDefault="000E434B" w:rsidP="00CE4321">
            <w:pPr>
              <w:rPr>
                <w:sz w:val="22"/>
                <w:szCs w:val="22"/>
              </w:rPr>
            </w:pPr>
            <w:r w:rsidRPr="00CE4321">
              <w:rPr>
                <w:sz w:val="22"/>
                <w:szCs w:val="22"/>
              </w:rPr>
              <w:t>9,8</w:t>
            </w:r>
          </w:p>
        </w:tc>
        <w:tc>
          <w:tcPr>
            <w:tcW w:w="481" w:type="pct"/>
            <w:vAlign w:val="bottom"/>
            <w:hideMark/>
          </w:tcPr>
          <w:p w:rsidR="000E434B" w:rsidRPr="00CE4321" w:rsidRDefault="000E434B" w:rsidP="00CE4321">
            <w:pPr>
              <w:rPr>
                <w:sz w:val="22"/>
                <w:szCs w:val="22"/>
              </w:rPr>
            </w:pPr>
            <w:r w:rsidRPr="00CE4321">
              <w:rPr>
                <w:sz w:val="22"/>
                <w:szCs w:val="22"/>
              </w:rPr>
              <w:t>1,4</w:t>
            </w:r>
          </w:p>
        </w:tc>
        <w:tc>
          <w:tcPr>
            <w:tcW w:w="491" w:type="pct"/>
            <w:vAlign w:val="bottom"/>
            <w:hideMark/>
          </w:tcPr>
          <w:p w:rsidR="000E434B" w:rsidRPr="00CE4321" w:rsidRDefault="000E434B" w:rsidP="00CE4321">
            <w:pPr>
              <w:rPr>
                <w:sz w:val="22"/>
                <w:szCs w:val="22"/>
              </w:rPr>
            </w:pPr>
            <w:r w:rsidRPr="00CE4321">
              <w:rPr>
                <w:sz w:val="22"/>
                <w:szCs w:val="22"/>
              </w:rPr>
              <w:t>1,2</w:t>
            </w:r>
          </w:p>
        </w:tc>
        <w:tc>
          <w:tcPr>
            <w:tcW w:w="416" w:type="pct"/>
            <w:vAlign w:val="bottom"/>
            <w:hideMark/>
          </w:tcPr>
          <w:p w:rsidR="000E434B" w:rsidRPr="00CE4321" w:rsidRDefault="000E434B" w:rsidP="00CE4321">
            <w:pPr>
              <w:rPr>
                <w:sz w:val="22"/>
                <w:szCs w:val="22"/>
              </w:rPr>
            </w:pPr>
            <w:r w:rsidRPr="00CE4321">
              <w:rPr>
                <w:sz w:val="22"/>
                <w:szCs w:val="22"/>
              </w:rPr>
              <w:t>0,4</w:t>
            </w:r>
          </w:p>
        </w:tc>
        <w:tc>
          <w:tcPr>
            <w:tcW w:w="491" w:type="pct"/>
            <w:vAlign w:val="bottom"/>
            <w:hideMark/>
          </w:tcPr>
          <w:p w:rsidR="000E434B" w:rsidRPr="00CE4321" w:rsidRDefault="000E434B" w:rsidP="00CE4321">
            <w:pPr>
              <w:rPr>
                <w:sz w:val="22"/>
                <w:szCs w:val="22"/>
              </w:rPr>
            </w:pPr>
            <w:r w:rsidRPr="00CE4321">
              <w:rPr>
                <w:sz w:val="22"/>
                <w:szCs w:val="22"/>
              </w:rPr>
              <w:t>7,4</w:t>
            </w:r>
          </w:p>
        </w:tc>
        <w:tc>
          <w:tcPr>
            <w:tcW w:w="553" w:type="pct"/>
            <w:vAlign w:val="bottom"/>
            <w:hideMark/>
          </w:tcPr>
          <w:p w:rsidR="000E434B" w:rsidRPr="00CE4321" w:rsidRDefault="000E434B" w:rsidP="00CE4321">
            <w:pPr>
              <w:rPr>
                <w:sz w:val="22"/>
                <w:szCs w:val="22"/>
              </w:rPr>
            </w:pPr>
            <w:r w:rsidRPr="00CE4321">
              <w:rPr>
                <w:sz w:val="22"/>
                <w:szCs w:val="22"/>
              </w:rPr>
              <w:t>2,0</w:t>
            </w:r>
          </w:p>
        </w:tc>
      </w:tr>
      <w:tr w:rsidR="000E434B" w:rsidRPr="00CE4321" w:rsidTr="007B2322">
        <w:trPr>
          <w:tblCellSpacing w:w="7" w:type="dxa"/>
        </w:trPr>
        <w:tc>
          <w:tcPr>
            <w:tcW w:w="2019" w:type="pct"/>
            <w:vAlign w:val="bottom"/>
            <w:hideMark/>
          </w:tcPr>
          <w:p w:rsidR="000E434B" w:rsidRPr="00CE4321" w:rsidRDefault="000E434B" w:rsidP="00CE4321">
            <w:pPr>
              <w:rPr>
                <w:sz w:val="22"/>
                <w:szCs w:val="22"/>
              </w:rPr>
            </w:pPr>
            <w:r w:rsidRPr="00CE4321">
              <w:rPr>
                <w:sz w:val="22"/>
                <w:szCs w:val="22"/>
              </w:rPr>
              <w:t xml:space="preserve">акцизы по подакцизным товарам </w:t>
            </w:r>
            <w:r w:rsidRPr="00CE4321">
              <w:rPr>
                <w:sz w:val="22"/>
                <w:szCs w:val="22"/>
              </w:rPr>
              <w:br/>
              <w:t xml:space="preserve">(продукции), производимым </w:t>
            </w:r>
            <w:r w:rsidRPr="00CE4321">
              <w:rPr>
                <w:sz w:val="22"/>
                <w:szCs w:val="22"/>
              </w:rPr>
              <w:br/>
              <w:t xml:space="preserve">на территории Российской Федерации </w:t>
            </w:r>
            <w:r w:rsidRPr="00CE4321">
              <w:rPr>
                <w:sz w:val="22"/>
                <w:szCs w:val="22"/>
              </w:rPr>
              <w:br/>
              <w:t>и ввозимым из Республики Беларусь</w:t>
            </w:r>
          </w:p>
        </w:tc>
        <w:tc>
          <w:tcPr>
            <w:tcW w:w="491" w:type="pct"/>
            <w:vAlign w:val="bottom"/>
            <w:hideMark/>
          </w:tcPr>
          <w:p w:rsidR="000E434B" w:rsidRPr="00CE4321" w:rsidRDefault="000E434B" w:rsidP="00CE4321">
            <w:pPr>
              <w:rPr>
                <w:sz w:val="22"/>
                <w:szCs w:val="22"/>
              </w:rPr>
            </w:pPr>
            <w:r w:rsidRPr="00CE4321">
              <w:rPr>
                <w:sz w:val="22"/>
                <w:szCs w:val="22"/>
              </w:rPr>
              <w:t>29,1</w:t>
            </w:r>
          </w:p>
        </w:tc>
        <w:tc>
          <w:tcPr>
            <w:tcW w:w="481" w:type="pct"/>
            <w:vAlign w:val="bottom"/>
            <w:hideMark/>
          </w:tcPr>
          <w:p w:rsidR="000E434B" w:rsidRPr="00CE4321" w:rsidRDefault="000E434B" w:rsidP="00CE4321">
            <w:pPr>
              <w:rPr>
                <w:sz w:val="22"/>
                <w:szCs w:val="22"/>
              </w:rPr>
            </w:pPr>
            <w:r w:rsidRPr="00CE4321">
              <w:rPr>
                <w:sz w:val="22"/>
                <w:szCs w:val="22"/>
              </w:rPr>
              <w:t>4,1</w:t>
            </w:r>
          </w:p>
        </w:tc>
        <w:tc>
          <w:tcPr>
            <w:tcW w:w="491" w:type="pct"/>
            <w:vAlign w:val="bottom"/>
            <w:hideMark/>
          </w:tcPr>
          <w:p w:rsidR="000E434B" w:rsidRPr="00CE4321" w:rsidRDefault="000E434B" w:rsidP="00CE4321">
            <w:pPr>
              <w:rPr>
                <w:sz w:val="22"/>
                <w:szCs w:val="22"/>
              </w:rPr>
            </w:pPr>
            <w:r w:rsidRPr="00CE4321">
              <w:rPr>
                <w:sz w:val="22"/>
                <w:szCs w:val="22"/>
              </w:rPr>
              <w:t>10,3</w:t>
            </w:r>
          </w:p>
        </w:tc>
        <w:tc>
          <w:tcPr>
            <w:tcW w:w="416" w:type="pct"/>
            <w:vAlign w:val="bottom"/>
            <w:hideMark/>
          </w:tcPr>
          <w:p w:rsidR="000E434B" w:rsidRPr="00CE4321" w:rsidRDefault="000E434B" w:rsidP="00CE4321">
            <w:pPr>
              <w:rPr>
                <w:sz w:val="22"/>
                <w:szCs w:val="22"/>
              </w:rPr>
            </w:pPr>
            <w:r w:rsidRPr="00CE4321">
              <w:rPr>
                <w:sz w:val="22"/>
                <w:szCs w:val="22"/>
              </w:rPr>
              <w:t>3,3</w:t>
            </w:r>
          </w:p>
        </w:tc>
        <w:tc>
          <w:tcPr>
            <w:tcW w:w="491" w:type="pct"/>
            <w:vAlign w:val="bottom"/>
            <w:hideMark/>
          </w:tcPr>
          <w:p w:rsidR="000E434B" w:rsidRPr="00CE4321" w:rsidRDefault="000E434B" w:rsidP="00CE4321">
            <w:pPr>
              <w:rPr>
                <w:sz w:val="22"/>
                <w:szCs w:val="22"/>
              </w:rPr>
            </w:pPr>
            <w:r w:rsidRPr="00CE4321">
              <w:rPr>
                <w:sz w:val="22"/>
                <w:szCs w:val="22"/>
              </w:rPr>
              <w:t>16,4</w:t>
            </w:r>
          </w:p>
        </w:tc>
        <w:tc>
          <w:tcPr>
            <w:tcW w:w="553" w:type="pct"/>
            <w:vAlign w:val="bottom"/>
            <w:hideMark/>
          </w:tcPr>
          <w:p w:rsidR="000E434B" w:rsidRPr="00CE4321" w:rsidRDefault="000E434B" w:rsidP="00CE4321">
            <w:pPr>
              <w:rPr>
                <w:sz w:val="22"/>
                <w:szCs w:val="22"/>
              </w:rPr>
            </w:pPr>
            <w:r w:rsidRPr="00CE4321">
              <w:rPr>
                <w:sz w:val="22"/>
                <w:szCs w:val="22"/>
              </w:rPr>
              <w:t>4,3</w:t>
            </w:r>
          </w:p>
        </w:tc>
      </w:tr>
      <w:tr w:rsidR="000E434B" w:rsidRPr="00CE4321" w:rsidTr="007B2322">
        <w:trPr>
          <w:tblCellSpacing w:w="7" w:type="dxa"/>
        </w:trPr>
        <w:tc>
          <w:tcPr>
            <w:tcW w:w="2019" w:type="pct"/>
            <w:vAlign w:val="bottom"/>
            <w:hideMark/>
          </w:tcPr>
          <w:p w:rsidR="000E434B" w:rsidRPr="00CE4321" w:rsidRDefault="000E434B" w:rsidP="00CE4321">
            <w:pPr>
              <w:rPr>
                <w:sz w:val="22"/>
                <w:szCs w:val="22"/>
              </w:rPr>
            </w:pPr>
            <w:r w:rsidRPr="00CE4321">
              <w:rPr>
                <w:sz w:val="22"/>
                <w:szCs w:val="22"/>
              </w:rPr>
              <w:t xml:space="preserve">из них на: </w:t>
            </w:r>
            <w:r w:rsidRPr="00CE4321">
              <w:rPr>
                <w:sz w:val="22"/>
                <w:szCs w:val="22"/>
              </w:rPr>
              <w:br/>
              <w:t xml:space="preserve">спирт этиловый из всех видов сырья </w:t>
            </w:r>
            <w:r w:rsidRPr="00CE4321">
              <w:rPr>
                <w:sz w:val="22"/>
                <w:szCs w:val="22"/>
              </w:rPr>
              <w:br/>
              <w:t xml:space="preserve">(в том числе этиловый спирт-сырец </w:t>
            </w:r>
            <w:r w:rsidRPr="00CE4321">
              <w:rPr>
                <w:sz w:val="22"/>
                <w:szCs w:val="22"/>
              </w:rPr>
              <w:br/>
              <w:t xml:space="preserve">из всех видов сырья) </w:t>
            </w:r>
          </w:p>
        </w:tc>
        <w:tc>
          <w:tcPr>
            <w:tcW w:w="491" w:type="pct"/>
            <w:vAlign w:val="bottom"/>
            <w:hideMark/>
          </w:tcPr>
          <w:p w:rsidR="000E434B" w:rsidRPr="00CE4321" w:rsidRDefault="000E434B" w:rsidP="00CE4321">
            <w:pPr>
              <w:rPr>
                <w:sz w:val="22"/>
                <w:szCs w:val="22"/>
              </w:rPr>
            </w:pPr>
            <w:r w:rsidRPr="00CE4321">
              <w:rPr>
                <w:sz w:val="22"/>
                <w:szCs w:val="22"/>
              </w:rPr>
              <w:t>10,0</w:t>
            </w:r>
          </w:p>
        </w:tc>
        <w:tc>
          <w:tcPr>
            <w:tcW w:w="481" w:type="pct"/>
            <w:vAlign w:val="bottom"/>
            <w:hideMark/>
          </w:tcPr>
          <w:p w:rsidR="000E434B" w:rsidRPr="00CE4321" w:rsidRDefault="000E434B" w:rsidP="00CE4321">
            <w:pPr>
              <w:rPr>
                <w:sz w:val="22"/>
                <w:szCs w:val="22"/>
              </w:rPr>
            </w:pPr>
            <w:r w:rsidRPr="00CE4321">
              <w:rPr>
                <w:sz w:val="22"/>
                <w:szCs w:val="22"/>
              </w:rPr>
              <w:t>1,4</w:t>
            </w:r>
          </w:p>
        </w:tc>
        <w:tc>
          <w:tcPr>
            <w:tcW w:w="491" w:type="pct"/>
            <w:vAlign w:val="bottom"/>
            <w:hideMark/>
          </w:tcPr>
          <w:p w:rsidR="000E434B" w:rsidRPr="00CE4321" w:rsidRDefault="000E434B" w:rsidP="00CE4321">
            <w:pPr>
              <w:rPr>
                <w:sz w:val="22"/>
                <w:szCs w:val="22"/>
              </w:rPr>
            </w:pPr>
            <w:r w:rsidRPr="00CE4321">
              <w:rPr>
                <w:sz w:val="22"/>
                <w:szCs w:val="22"/>
              </w:rPr>
              <w:t>2,5</w:t>
            </w:r>
          </w:p>
        </w:tc>
        <w:tc>
          <w:tcPr>
            <w:tcW w:w="416" w:type="pct"/>
            <w:vAlign w:val="bottom"/>
            <w:hideMark/>
          </w:tcPr>
          <w:p w:rsidR="000E434B" w:rsidRPr="00CE4321" w:rsidRDefault="000E434B" w:rsidP="00CE4321">
            <w:pPr>
              <w:rPr>
                <w:sz w:val="22"/>
                <w:szCs w:val="22"/>
              </w:rPr>
            </w:pPr>
            <w:r w:rsidRPr="00CE4321">
              <w:rPr>
                <w:sz w:val="22"/>
                <w:szCs w:val="22"/>
              </w:rPr>
              <w:t>0,8</w:t>
            </w:r>
          </w:p>
        </w:tc>
        <w:tc>
          <w:tcPr>
            <w:tcW w:w="491" w:type="pct"/>
            <w:vAlign w:val="bottom"/>
            <w:hideMark/>
          </w:tcPr>
          <w:p w:rsidR="000E434B" w:rsidRPr="00CE4321" w:rsidRDefault="000E434B" w:rsidP="00CE4321">
            <w:pPr>
              <w:rPr>
                <w:sz w:val="22"/>
                <w:szCs w:val="22"/>
              </w:rPr>
            </w:pPr>
            <w:r w:rsidRPr="00CE4321">
              <w:rPr>
                <w:sz w:val="22"/>
                <w:szCs w:val="22"/>
              </w:rPr>
              <w:t>5,7</w:t>
            </w:r>
          </w:p>
        </w:tc>
        <w:tc>
          <w:tcPr>
            <w:tcW w:w="553" w:type="pct"/>
            <w:vAlign w:val="bottom"/>
            <w:hideMark/>
          </w:tcPr>
          <w:p w:rsidR="000E434B" w:rsidRPr="00CE4321" w:rsidRDefault="000E434B" w:rsidP="00CE4321">
            <w:pPr>
              <w:rPr>
                <w:sz w:val="22"/>
                <w:szCs w:val="22"/>
              </w:rPr>
            </w:pPr>
            <w:r w:rsidRPr="00CE4321">
              <w:rPr>
                <w:sz w:val="22"/>
                <w:szCs w:val="22"/>
              </w:rPr>
              <w:t>1,5</w:t>
            </w:r>
          </w:p>
        </w:tc>
      </w:tr>
      <w:tr w:rsidR="000E434B" w:rsidRPr="00CE4321" w:rsidTr="007B2322">
        <w:trPr>
          <w:tblCellSpacing w:w="7" w:type="dxa"/>
        </w:trPr>
        <w:tc>
          <w:tcPr>
            <w:tcW w:w="2019" w:type="pct"/>
            <w:vAlign w:val="bottom"/>
            <w:hideMark/>
          </w:tcPr>
          <w:p w:rsidR="000E434B" w:rsidRPr="00CE4321" w:rsidRDefault="000E434B" w:rsidP="00CE4321">
            <w:pPr>
              <w:rPr>
                <w:sz w:val="22"/>
                <w:szCs w:val="22"/>
              </w:rPr>
            </w:pPr>
            <w:r w:rsidRPr="00CE4321">
              <w:rPr>
                <w:sz w:val="22"/>
                <w:szCs w:val="22"/>
              </w:rPr>
              <w:t xml:space="preserve">табачную продукцию </w:t>
            </w:r>
          </w:p>
        </w:tc>
        <w:tc>
          <w:tcPr>
            <w:tcW w:w="491" w:type="pct"/>
            <w:vAlign w:val="bottom"/>
            <w:hideMark/>
          </w:tcPr>
          <w:p w:rsidR="000E434B" w:rsidRPr="00CE4321" w:rsidRDefault="000E434B" w:rsidP="00CE4321">
            <w:pPr>
              <w:rPr>
                <w:sz w:val="22"/>
                <w:szCs w:val="22"/>
              </w:rPr>
            </w:pPr>
            <w:r w:rsidRPr="00CE4321">
              <w:rPr>
                <w:sz w:val="22"/>
                <w:szCs w:val="22"/>
              </w:rPr>
              <w:t>0,1</w:t>
            </w:r>
          </w:p>
        </w:tc>
        <w:tc>
          <w:tcPr>
            <w:tcW w:w="481" w:type="pct"/>
            <w:vAlign w:val="bottom"/>
            <w:hideMark/>
          </w:tcPr>
          <w:p w:rsidR="000E434B" w:rsidRPr="00CE4321" w:rsidRDefault="000E434B" w:rsidP="00CE4321">
            <w:pPr>
              <w:rPr>
                <w:sz w:val="22"/>
                <w:szCs w:val="22"/>
              </w:rPr>
            </w:pPr>
            <w:r w:rsidRPr="00CE4321">
              <w:rPr>
                <w:sz w:val="22"/>
                <w:szCs w:val="22"/>
              </w:rPr>
              <w:t>0,0</w:t>
            </w:r>
          </w:p>
        </w:tc>
        <w:tc>
          <w:tcPr>
            <w:tcW w:w="491" w:type="pct"/>
            <w:vAlign w:val="bottom"/>
            <w:hideMark/>
          </w:tcPr>
          <w:p w:rsidR="000E434B" w:rsidRPr="00CE4321" w:rsidRDefault="000E434B" w:rsidP="00CE4321">
            <w:pPr>
              <w:rPr>
                <w:sz w:val="22"/>
                <w:szCs w:val="22"/>
              </w:rPr>
            </w:pPr>
            <w:r w:rsidRPr="00CE4321">
              <w:rPr>
                <w:sz w:val="22"/>
                <w:szCs w:val="22"/>
              </w:rPr>
              <w:t>0,0</w:t>
            </w:r>
          </w:p>
        </w:tc>
        <w:tc>
          <w:tcPr>
            <w:tcW w:w="416" w:type="pct"/>
            <w:vAlign w:val="bottom"/>
            <w:hideMark/>
          </w:tcPr>
          <w:p w:rsidR="000E434B" w:rsidRPr="00CE4321" w:rsidRDefault="000E434B" w:rsidP="00CE4321">
            <w:pPr>
              <w:rPr>
                <w:sz w:val="22"/>
                <w:szCs w:val="22"/>
              </w:rPr>
            </w:pPr>
            <w:r w:rsidRPr="00CE4321">
              <w:rPr>
                <w:sz w:val="22"/>
                <w:szCs w:val="22"/>
              </w:rPr>
              <w:t>0,0</w:t>
            </w:r>
          </w:p>
        </w:tc>
        <w:tc>
          <w:tcPr>
            <w:tcW w:w="491" w:type="pct"/>
            <w:vAlign w:val="bottom"/>
            <w:hideMark/>
          </w:tcPr>
          <w:p w:rsidR="000E434B" w:rsidRPr="00CE4321" w:rsidRDefault="000E434B" w:rsidP="00CE4321">
            <w:pPr>
              <w:rPr>
                <w:sz w:val="22"/>
                <w:szCs w:val="22"/>
              </w:rPr>
            </w:pPr>
            <w:r w:rsidRPr="00CE4321">
              <w:rPr>
                <w:sz w:val="22"/>
                <w:szCs w:val="22"/>
              </w:rPr>
              <w:t>0,1</w:t>
            </w:r>
          </w:p>
        </w:tc>
        <w:tc>
          <w:tcPr>
            <w:tcW w:w="553" w:type="pct"/>
            <w:vAlign w:val="bottom"/>
            <w:hideMark/>
          </w:tcPr>
          <w:p w:rsidR="000E434B" w:rsidRPr="00CE4321" w:rsidRDefault="000E434B" w:rsidP="00CE4321">
            <w:pPr>
              <w:rPr>
                <w:sz w:val="22"/>
                <w:szCs w:val="22"/>
              </w:rPr>
            </w:pPr>
            <w:r w:rsidRPr="00CE4321">
              <w:rPr>
                <w:sz w:val="22"/>
                <w:szCs w:val="22"/>
              </w:rPr>
              <w:t>0,0</w:t>
            </w:r>
          </w:p>
        </w:tc>
      </w:tr>
      <w:tr w:rsidR="000E434B" w:rsidRPr="00CE4321" w:rsidTr="007B2322">
        <w:trPr>
          <w:tblCellSpacing w:w="7" w:type="dxa"/>
        </w:trPr>
        <w:tc>
          <w:tcPr>
            <w:tcW w:w="2019" w:type="pct"/>
            <w:vAlign w:val="bottom"/>
            <w:hideMark/>
          </w:tcPr>
          <w:p w:rsidR="000E434B" w:rsidRPr="00CE4321" w:rsidRDefault="000E434B" w:rsidP="00CE4321">
            <w:pPr>
              <w:rPr>
                <w:sz w:val="22"/>
                <w:szCs w:val="22"/>
              </w:rPr>
            </w:pPr>
            <w:r w:rsidRPr="00CE4321">
              <w:rPr>
                <w:sz w:val="22"/>
                <w:szCs w:val="22"/>
              </w:rPr>
              <w:t>автомобильный бензин</w:t>
            </w:r>
          </w:p>
        </w:tc>
        <w:tc>
          <w:tcPr>
            <w:tcW w:w="491" w:type="pct"/>
            <w:vAlign w:val="bottom"/>
            <w:hideMark/>
          </w:tcPr>
          <w:p w:rsidR="000E434B" w:rsidRPr="00CE4321" w:rsidRDefault="000E434B" w:rsidP="00CE4321">
            <w:pPr>
              <w:rPr>
                <w:sz w:val="22"/>
                <w:szCs w:val="22"/>
              </w:rPr>
            </w:pPr>
            <w:r w:rsidRPr="00CE4321">
              <w:rPr>
                <w:sz w:val="22"/>
                <w:szCs w:val="22"/>
              </w:rPr>
              <w:t>0,3</w:t>
            </w:r>
          </w:p>
        </w:tc>
        <w:tc>
          <w:tcPr>
            <w:tcW w:w="481" w:type="pct"/>
            <w:vAlign w:val="bottom"/>
            <w:hideMark/>
          </w:tcPr>
          <w:p w:rsidR="000E434B" w:rsidRPr="00CE4321" w:rsidRDefault="000E434B" w:rsidP="00CE4321">
            <w:pPr>
              <w:rPr>
                <w:sz w:val="22"/>
                <w:szCs w:val="22"/>
              </w:rPr>
            </w:pPr>
            <w:r w:rsidRPr="00CE4321">
              <w:rPr>
                <w:sz w:val="22"/>
                <w:szCs w:val="22"/>
              </w:rPr>
              <w:t>0,0</w:t>
            </w:r>
          </w:p>
        </w:tc>
        <w:tc>
          <w:tcPr>
            <w:tcW w:w="491" w:type="pct"/>
            <w:vAlign w:val="bottom"/>
            <w:hideMark/>
          </w:tcPr>
          <w:p w:rsidR="000E434B" w:rsidRPr="00CE4321" w:rsidRDefault="000E434B" w:rsidP="00CE4321">
            <w:pPr>
              <w:rPr>
                <w:sz w:val="22"/>
                <w:szCs w:val="22"/>
              </w:rPr>
            </w:pPr>
            <w:r w:rsidRPr="00CE4321">
              <w:rPr>
                <w:sz w:val="22"/>
                <w:szCs w:val="22"/>
              </w:rPr>
              <w:t>0,2</w:t>
            </w:r>
          </w:p>
        </w:tc>
        <w:tc>
          <w:tcPr>
            <w:tcW w:w="416" w:type="pct"/>
            <w:vAlign w:val="bottom"/>
            <w:hideMark/>
          </w:tcPr>
          <w:p w:rsidR="000E434B" w:rsidRPr="00CE4321" w:rsidRDefault="000E434B" w:rsidP="00CE4321">
            <w:pPr>
              <w:rPr>
                <w:sz w:val="22"/>
                <w:szCs w:val="22"/>
              </w:rPr>
            </w:pPr>
            <w:r w:rsidRPr="00CE4321">
              <w:rPr>
                <w:sz w:val="22"/>
                <w:szCs w:val="22"/>
              </w:rPr>
              <w:t>0,0</w:t>
            </w:r>
          </w:p>
        </w:tc>
        <w:tc>
          <w:tcPr>
            <w:tcW w:w="491" w:type="pct"/>
            <w:vAlign w:val="bottom"/>
            <w:hideMark/>
          </w:tcPr>
          <w:p w:rsidR="000E434B" w:rsidRPr="00CE4321" w:rsidRDefault="000E434B" w:rsidP="00CE4321">
            <w:pPr>
              <w:rPr>
                <w:sz w:val="22"/>
                <w:szCs w:val="22"/>
              </w:rPr>
            </w:pPr>
            <w:r w:rsidRPr="00CE4321">
              <w:rPr>
                <w:sz w:val="22"/>
                <w:szCs w:val="22"/>
              </w:rPr>
              <w:t>0,1</w:t>
            </w:r>
          </w:p>
        </w:tc>
        <w:tc>
          <w:tcPr>
            <w:tcW w:w="553" w:type="pct"/>
            <w:vAlign w:val="bottom"/>
            <w:hideMark/>
          </w:tcPr>
          <w:p w:rsidR="000E434B" w:rsidRPr="00CE4321" w:rsidRDefault="000E434B" w:rsidP="00CE4321">
            <w:pPr>
              <w:rPr>
                <w:sz w:val="22"/>
                <w:szCs w:val="22"/>
              </w:rPr>
            </w:pPr>
            <w:r w:rsidRPr="00CE4321">
              <w:rPr>
                <w:sz w:val="22"/>
                <w:szCs w:val="22"/>
              </w:rPr>
              <w:t>0,0</w:t>
            </w:r>
          </w:p>
        </w:tc>
      </w:tr>
      <w:tr w:rsidR="000E434B" w:rsidRPr="00CE4321" w:rsidTr="007B2322">
        <w:trPr>
          <w:tblCellSpacing w:w="7" w:type="dxa"/>
        </w:trPr>
        <w:tc>
          <w:tcPr>
            <w:tcW w:w="2019" w:type="pct"/>
            <w:vAlign w:val="bottom"/>
            <w:hideMark/>
          </w:tcPr>
          <w:p w:rsidR="000E434B" w:rsidRPr="00CE4321" w:rsidRDefault="000E434B" w:rsidP="00CE4321">
            <w:pPr>
              <w:rPr>
                <w:sz w:val="22"/>
                <w:szCs w:val="22"/>
              </w:rPr>
            </w:pPr>
            <w:r w:rsidRPr="00CE4321">
              <w:rPr>
                <w:sz w:val="22"/>
                <w:szCs w:val="22"/>
              </w:rPr>
              <w:t>легковые автомобили и мотоциклы</w:t>
            </w:r>
          </w:p>
        </w:tc>
        <w:tc>
          <w:tcPr>
            <w:tcW w:w="491" w:type="pct"/>
            <w:vAlign w:val="bottom"/>
            <w:hideMark/>
          </w:tcPr>
          <w:p w:rsidR="000E434B" w:rsidRPr="00CE4321" w:rsidRDefault="000E434B" w:rsidP="00CE4321">
            <w:pPr>
              <w:rPr>
                <w:sz w:val="22"/>
                <w:szCs w:val="22"/>
              </w:rPr>
            </w:pPr>
            <w:r w:rsidRPr="00CE4321">
              <w:rPr>
                <w:sz w:val="22"/>
                <w:szCs w:val="22"/>
              </w:rPr>
              <w:t>0,6</w:t>
            </w:r>
          </w:p>
        </w:tc>
        <w:tc>
          <w:tcPr>
            <w:tcW w:w="481" w:type="pct"/>
            <w:vAlign w:val="bottom"/>
            <w:hideMark/>
          </w:tcPr>
          <w:p w:rsidR="000E434B" w:rsidRPr="00CE4321" w:rsidRDefault="000E434B" w:rsidP="00CE4321">
            <w:pPr>
              <w:rPr>
                <w:sz w:val="22"/>
                <w:szCs w:val="22"/>
              </w:rPr>
            </w:pPr>
            <w:r w:rsidRPr="00CE4321">
              <w:rPr>
                <w:sz w:val="22"/>
                <w:szCs w:val="22"/>
              </w:rPr>
              <w:t>0,1</w:t>
            </w:r>
          </w:p>
        </w:tc>
        <w:tc>
          <w:tcPr>
            <w:tcW w:w="491" w:type="pct"/>
            <w:vAlign w:val="bottom"/>
            <w:hideMark/>
          </w:tcPr>
          <w:p w:rsidR="000E434B" w:rsidRPr="00CE4321" w:rsidRDefault="000E434B" w:rsidP="00CE4321">
            <w:pPr>
              <w:rPr>
                <w:sz w:val="22"/>
                <w:szCs w:val="22"/>
              </w:rPr>
            </w:pPr>
            <w:r w:rsidRPr="00CE4321">
              <w:rPr>
                <w:sz w:val="22"/>
                <w:szCs w:val="22"/>
              </w:rPr>
              <w:t>0,0</w:t>
            </w:r>
          </w:p>
        </w:tc>
        <w:tc>
          <w:tcPr>
            <w:tcW w:w="416" w:type="pct"/>
            <w:vAlign w:val="bottom"/>
            <w:hideMark/>
          </w:tcPr>
          <w:p w:rsidR="000E434B" w:rsidRPr="00CE4321" w:rsidRDefault="000E434B" w:rsidP="00CE4321">
            <w:pPr>
              <w:rPr>
                <w:sz w:val="22"/>
                <w:szCs w:val="22"/>
              </w:rPr>
            </w:pPr>
            <w:r w:rsidRPr="00CE4321">
              <w:rPr>
                <w:sz w:val="22"/>
                <w:szCs w:val="22"/>
              </w:rPr>
              <w:t>0,0</w:t>
            </w:r>
          </w:p>
        </w:tc>
        <w:tc>
          <w:tcPr>
            <w:tcW w:w="491" w:type="pct"/>
            <w:vAlign w:val="bottom"/>
            <w:hideMark/>
          </w:tcPr>
          <w:p w:rsidR="000E434B" w:rsidRPr="00CE4321" w:rsidRDefault="000E434B" w:rsidP="00CE4321">
            <w:pPr>
              <w:rPr>
                <w:sz w:val="22"/>
                <w:szCs w:val="22"/>
              </w:rPr>
            </w:pPr>
            <w:r w:rsidRPr="00CE4321">
              <w:rPr>
                <w:sz w:val="22"/>
                <w:szCs w:val="22"/>
              </w:rPr>
              <w:t>0,6</w:t>
            </w:r>
          </w:p>
        </w:tc>
        <w:tc>
          <w:tcPr>
            <w:tcW w:w="553" w:type="pct"/>
            <w:vAlign w:val="bottom"/>
            <w:hideMark/>
          </w:tcPr>
          <w:p w:rsidR="000E434B" w:rsidRPr="00CE4321" w:rsidRDefault="000E434B" w:rsidP="00CE4321">
            <w:pPr>
              <w:rPr>
                <w:sz w:val="22"/>
                <w:szCs w:val="22"/>
              </w:rPr>
            </w:pPr>
            <w:r w:rsidRPr="00CE4321">
              <w:rPr>
                <w:sz w:val="22"/>
                <w:szCs w:val="22"/>
              </w:rPr>
              <w:t>0,2</w:t>
            </w:r>
          </w:p>
        </w:tc>
      </w:tr>
      <w:tr w:rsidR="000E434B" w:rsidRPr="00CE4321" w:rsidTr="007B2322">
        <w:trPr>
          <w:tblCellSpacing w:w="7" w:type="dxa"/>
        </w:trPr>
        <w:tc>
          <w:tcPr>
            <w:tcW w:w="2019" w:type="pct"/>
            <w:vAlign w:val="bottom"/>
            <w:hideMark/>
          </w:tcPr>
          <w:p w:rsidR="000E434B" w:rsidRPr="00CE4321" w:rsidRDefault="000E434B" w:rsidP="00CE4321">
            <w:pPr>
              <w:rPr>
                <w:sz w:val="22"/>
                <w:szCs w:val="22"/>
              </w:rPr>
            </w:pPr>
            <w:r w:rsidRPr="00CE4321">
              <w:rPr>
                <w:sz w:val="22"/>
                <w:szCs w:val="22"/>
              </w:rPr>
              <w:t>дизельное топливо</w:t>
            </w:r>
          </w:p>
        </w:tc>
        <w:tc>
          <w:tcPr>
            <w:tcW w:w="491" w:type="pct"/>
            <w:vAlign w:val="bottom"/>
            <w:hideMark/>
          </w:tcPr>
          <w:p w:rsidR="000E434B" w:rsidRPr="00CE4321" w:rsidRDefault="000E434B" w:rsidP="00CE4321">
            <w:pPr>
              <w:rPr>
                <w:sz w:val="22"/>
                <w:szCs w:val="22"/>
              </w:rPr>
            </w:pPr>
            <w:r w:rsidRPr="00CE4321">
              <w:rPr>
                <w:sz w:val="22"/>
                <w:szCs w:val="22"/>
              </w:rPr>
              <w:t>0,1</w:t>
            </w:r>
          </w:p>
        </w:tc>
        <w:tc>
          <w:tcPr>
            <w:tcW w:w="481" w:type="pct"/>
            <w:vAlign w:val="bottom"/>
            <w:hideMark/>
          </w:tcPr>
          <w:p w:rsidR="000E434B" w:rsidRPr="00CE4321" w:rsidRDefault="000E434B" w:rsidP="00CE4321">
            <w:pPr>
              <w:rPr>
                <w:sz w:val="22"/>
                <w:szCs w:val="22"/>
              </w:rPr>
            </w:pPr>
            <w:r w:rsidRPr="00CE4321">
              <w:rPr>
                <w:sz w:val="22"/>
                <w:szCs w:val="22"/>
              </w:rPr>
              <w:t>0,0</w:t>
            </w:r>
          </w:p>
        </w:tc>
        <w:tc>
          <w:tcPr>
            <w:tcW w:w="491" w:type="pct"/>
            <w:vAlign w:val="bottom"/>
            <w:hideMark/>
          </w:tcPr>
          <w:p w:rsidR="000E434B" w:rsidRPr="00CE4321" w:rsidRDefault="000E434B" w:rsidP="00CE4321">
            <w:pPr>
              <w:rPr>
                <w:sz w:val="22"/>
                <w:szCs w:val="22"/>
              </w:rPr>
            </w:pPr>
            <w:r w:rsidRPr="00CE4321">
              <w:rPr>
                <w:sz w:val="22"/>
                <w:szCs w:val="22"/>
              </w:rPr>
              <w:t>0,1</w:t>
            </w:r>
          </w:p>
        </w:tc>
        <w:tc>
          <w:tcPr>
            <w:tcW w:w="416" w:type="pct"/>
            <w:vAlign w:val="bottom"/>
            <w:hideMark/>
          </w:tcPr>
          <w:p w:rsidR="000E434B" w:rsidRPr="00CE4321" w:rsidRDefault="000E434B" w:rsidP="00CE4321">
            <w:pPr>
              <w:rPr>
                <w:sz w:val="22"/>
                <w:szCs w:val="22"/>
              </w:rPr>
            </w:pPr>
            <w:r w:rsidRPr="00CE4321">
              <w:rPr>
                <w:sz w:val="22"/>
                <w:szCs w:val="22"/>
              </w:rPr>
              <w:t>0,0</w:t>
            </w:r>
          </w:p>
        </w:tc>
        <w:tc>
          <w:tcPr>
            <w:tcW w:w="491" w:type="pct"/>
            <w:vAlign w:val="bottom"/>
            <w:hideMark/>
          </w:tcPr>
          <w:p w:rsidR="000E434B" w:rsidRPr="00CE4321" w:rsidRDefault="000E434B" w:rsidP="00CE4321">
            <w:pPr>
              <w:rPr>
                <w:sz w:val="22"/>
                <w:szCs w:val="22"/>
              </w:rPr>
            </w:pPr>
            <w:r w:rsidRPr="00CE4321">
              <w:rPr>
                <w:sz w:val="22"/>
                <w:szCs w:val="22"/>
              </w:rPr>
              <w:t>0,1</w:t>
            </w:r>
          </w:p>
        </w:tc>
        <w:tc>
          <w:tcPr>
            <w:tcW w:w="553" w:type="pct"/>
            <w:vAlign w:val="bottom"/>
            <w:hideMark/>
          </w:tcPr>
          <w:p w:rsidR="000E434B" w:rsidRPr="00CE4321" w:rsidRDefault="000E434B" w:rsidP="00CE4321">
            <w:pPr>
              <w:rPr>
                <w:sz w:val="22"/>
                <w:szCs w:val="22"/>
              </w:rPr>
            </w:pPr>
            <w:r w:rsidRPr="00CE4321">
              <w:rPr>
                <w:sz w:val="22"/>
                <w:szCs w:val="22"/>
              </w:rPr>
              <w:t>0,0</w:t>
            </w:r>
          </w:p>
        </w:tc>
      </w:tr>
      <w:tr w:rsidR="000E434B" w:rsidRPr="00CE4321" w:rsidTr="007B2322">
        <w:trPr>
          <w:tblCellSpacing w:w="7" w:type="dxa"/>
        </w:trPr>
        <w:tc>
          <w:tcPr>
            <w:tcW w:w="2019" w:type="pct"/>
            <w:vAlign w:val="bottom"/>
            <w:hideMark/>
          </w:tcPr>
          <w:p w:rsidR="000E434B" w:rsidRPr="00CE4321" w:rsidRDefault="000E434B" w:rsidP="00CE4321">
            <w:pPr>
              <w:rPr>
                <w:sz w:val="22"/>
                <w:szCs w:val="22"/>
              </w:rPr>
            </w:pPr>
            <w:r w:rsidRPr="00CE4321">
              <w:rPr>
                <w:sz w:val="22"/>
                <w:szCs w:val="22"/>
              </w:rPr>
              <w:t>пиво</w:t>
            </w:r>
          </w:p>
        </w:tc>
        <w:tc>
          <w:tcPr>
            <w:tcW w:w="491" w:type="pct"/>
            <w:vAlign w:val="bottom"/>
            <w:hideMark/>
          </w:tcPr>
          <w:p w:rsidR="000E434B" w:rsidRPr="00CE4321" w:rsidRDefault="000E434B" w:rsidP="00CE4321">
            <w:pPr>
              <w:rPr>
                <w:sz w:val="22"/>
                <w:szCs w:val="22"/>
              </w:rPr>
            </w:pPr>
            <w:r w:rsidRPr="00CE4321">
              <w:rPr>
                <w:sz w:val="22"/>
                <w:szCs w:val="22"/>
              </w:rPr>
              <w:t>0,3</w:t>
            </w:r>
          </w:p>
        </w:tc>
        <w:tc>
          <w:tcPr>
            <w:tcW w:w="481" w:type="pct"/>
            <w:vAlign w:val="bottom"/>
            <w:hideMark/>
          </w:tcPr>
          <w:p w:rsidR="000E434B" w:rsidRPr="00CE4321" w:rsidRDefault="000E434B" w:rsidP="00CE4321">
            <w:pPr>
              <w:rPr>
                <w:sz w:val="22"/>
                <w:szCs w:val="22"/>
              </w:rPr>
            </w:pPr>
            <w:r w:rsidRPr="00CE4321">
              <w:rPr>
                <w:sz w:val="22"/>
                <w:szCs w:val="22"/>
              </w:rPr>
              <w:t>0,0</w:t>
            </w:r>
          </w:p>
        </w:tc>
        <w:tc>
          <w:tcPr>
            <w:tcW w:w="491" w:type="pct"/>
            <w:vAlign w:val="bottom"/>
            <w:hideMark/>
          </w:tcPr>
          <w:p w:rsidR="000E434B" w:rsidRPr="00CE4321" w:rsidRDefault="000E434B" w:rsidP="00CE4321">
            <w:pPr>
              <w:rPr>
                <w:sz w:val="22"/>
                <w:szCs w:val="22"/>
              </w:rPr>
            </w:pPr>
            <w:r w:rsidRPr="00CE4321">
              <w:rPr>
                <w:sz w:val="22"/>
                <w:szCs w:val="22"/>
              </w:rPr>
              <w:t>0,2</w:t>
            </w:r>
          </w:p>
        </w:tc>
        <w:tc>
          <w:tcPr>
            <w:tcW w:w="416" w:type="pct"/>
            <w:vAlign w:val="bottom"/>
            <w:hideMark/>
          </w:tcPr>
          <w:p w:rsidR="000E434B" w:rsidRPr="00CE4321" w:rsidRDefault="000E434B" w:rsidP="00CE4321">
            <w:pPr>
              <w:rPr>
                <w:sz w:val="22"/>
                <w:szCs w:val="22"/>
              </w:rPr>
            </w:pPr>
            <w:r w:rsidRPr="00CE4321">
              <w:rPr>
                <w:sz w:val="22"/>
                <w:szCs w:val="22"/>
              </w:rPr>
              <w:t>0,1</w:t>
            </w:r>
          </w:p>
        </w:tc>
        <w:tc>
          <w:tcPr>
            <w:tcW w:w="491" w:type="pct"/>
            <w:vAlign w:val="bottom"/>
            <w:hideMark/>
          </w:tcPr>
          <w:p w:rsidR="000E434B" w:rsidRPr="00CE4321" w:rsidRDefault="000E434B" w:rsidP="00CE4321">
            <w:pPr>
              <w:rPr>
                <w:sz w:val="22"/>
                <w:szCs w:val="22"/>
              </w:rPr>
            </w:pPr>
            <w:r w:rsidRPr="00CE4321">
              <w:rPr>
                <w:sz w:val="22"/>
                <w:szCs w:val="22"/>
              </w:rPr>
              <w:t>0,1</w:t>
            </w:r>
          </w:p>
        </w:tc>
        <w:tc>
          <w:tcPr>
            <w:tcW w:w="553" w:type="pct"/>
            <w:vAlign w:val="bottom"/>
            <w:hideMark/>
          </w:tcPr>
          <w:p w:rsidR="000E434B" w:rsidRPr="00CE4321" w:rsidRDefault="000E434B" w:rsidP="00CE4321">
            <w:pPr>
              <w:rPr>
                <w:sz w:val="22"/>
                <w:szCs w:val="22"/>
              </w:rPr>
            </w:pPr>
            <w:r w:rsidRPr="00CE4321">
              <w:rPr>
                <w:sz w:val="22"/>
                <w:szCs w:val="22"/>
              </w:rPr>
              <w:t>0,0</w:t>
            </w:r>
          </w:p>
        </w:tc>
      </w:tr>
      <w:tr w:rsidR="000E434B" w:rsidRPr="00CE4321" w:rsidTr="007B2322">
        <w:trPr>
          <w:tblCellSpacing w:w="7" w:type="dxa"/>
        </w:trPr>
        <w:tc>
          <w:tcPr>
            <w:tcW w:w="2019" w:type="pct"/>
            <w:vAlign w:val="bottom"/>
            <w:hideMark/>
          </w:tcPr>
          <w:p w:rsidR="000E434B" w:rsidRPr="00CE4321" w:rsidRDefault="000E434B" w:rsidP="00CE4321">
            <w:pPr>
              <w:rPr>
                <w:sz w:val="22"/>
                <w:szCs w:val="22"/>
              </w:rPr>
            </w:pPr>
            <w:r w:rsidRPr="00CE4321">
              <w:rPr>
                <w:sz w:val="22"/>
                <w:szCs w:val="22"/>
              </w:rPr>
              <w:t xml:space="preserve">алкогольную продукцию с объемной </w:t>
            </w:r>
            <w:r w:rsidRPr="00CE4321">
              <w:rPr>
                <w:sz w:val="22"/>
                <w:szCs w:val="22"/>
              </w:rPr>
              <w:br/>
              <w:t xml:space="preserve">долей этилового спирта свыше 25% </w:t>
            </w:r>
            <w:r w:rsidRPr="00CE4321">
              <w:rPr>
                <w:sz w:val="22"/>
                <w:szCs w:val="22"/>
              </w:rPr>
              <w:br/>
              <w:t>(за исключением вин)</w:t>
            </w:r>
          </w:p>
        </w:tc>
        <w:tc>
          <w:tcPr>
            <w:tcW w:w="491" w:type="pct"/>
            <w:vAlign w:val="bottom"/>
            <w:hideMark/>
          </w:tcPr>
          <w:p w:rsidR="000E434B" w:rsidRPr="00CE4321" w:rsidRDefault="000E434B" w:rsidP="00CE4321">
            <w:pPr>
              <w:rPr>
                <w:sz w:val="22"/>
                <w:szCs w:val="22"/>
              </w:rPr>
            </w:pPr>
            <w:r w:rsidRPr="00CE4321">
              <w:rPr>
                <w:sz w:val="22"/>
                <w:szCs w:val="22"/>
              </w:rPr>
              <w:t>12,9</w:t>
            </w:r>
          </w:p>
        </w:tc>
        <w:tc>
          <w:tcPr>
            <w:tcW w:w="481" w:type="pct"/>
            <w:vAlign w:val="bottom"/>
            <w:hideMark/>
          </w:tcPr>
          <w:p w:rsidR="000E434B" w:rsidRPr="00CE4321" w:rsidRDefault="000E434B" w:rsidP="00CE4321">
            <w:pPr>
              <w:rPr>
                <w:sz w:val="22"/>
                <w:szCs w:val="22"/>
              </w:rPr>
            </w:pPr>
            <w:r w:rsidRPr="00CE4321">
              <w:rPr>
                <w:sz w:val="22"/>
                <w:szCs w:val="22"/>
              </w:rPr>
              <w:t>1,8</w:t>
            </w:r>
          </w:p>
        </w:tc>
        <w:tc>
          <w:tcPr>
            <w:tcW w:w="491" w:type="pct"/>
            <w:vAlign w:val="bottom"/>
            <w:hideMark/>
          </w:tcPr>
          <w:p w:rsidR="000E434B" w:rsidRPr="00CE4321" w:rsidRDefault="000E434B" w:rsidP="00CE4321">
            <w:pPr>
              <w:rPr>
                <w:sz w:val="22"/>
                <w:szCs w:val="22"/>
              </w:rPr>
            </w:pPr>
            <w:r w:rsidRPr="00CE4321">
              <w:rPr>
                <w:sz w:val="22"/>
                <w:szCs w:val="22"/>
              </w:rPr>
              <w:t>4,7</w:t>
            </w:r>
          </w:p>
        </w:tc>
        <w:tc>
          <w:tcPr>
            <w:tcW w:w="416" w:type="pct"/>
            <w:vAlign w:val="bottom"/>
            <w:hideMark/>
          </w:tcPr>
          <w:p w:rsidR="000E434B" w:rsidRPr="00CE4321" w:rsidRDefault="000E434B" w:rsidP="00CE4321">
            <w:pPr>
              <w:rPr>
                <w:sz w:val="22"/>
                <w:szCs w:val="22"/>
              </w:rPr>
            </w:pPr>
            <w:r w:rsidRPr="00CE4321">
              <w:rPr>
                <w:sz w:val="22"/>
                <w:szCs w:val="22"/>
              </w:rPr>
              <w:t>1,5</w:t>
            </w:r>
          </w:p>
        </w:tc>
        <w:tc>
          <w:tcPr>
            <w:tcW w:w="491" w:type="pct"/>
            <w:vAlign w:val="bottom"/>
            <w:hideMark/>
          </w:tcPr>
          <w:p w:rsidR="000E434B" w:rsidRPr="00CE4321" w:rsidRDefault="000E434B" w:rsidP="00CE4321">
            <w:pPr>
              <w:rPr>
                <w:sz w:val="22"/>
                <w:szCs w:val="22"/>
              </w:rPr>
            </w:pPr>
            <w:r w:rsidRPr="00CE4321">
              <w:rPr>
                <w:sz w:val="22"/>
                <w:szCs w:val="22"/>
              </w:rPr>
              <w:t>7,8</w:t>
            </w:r>
          </w:p>
        </w:tc>
        <w:tc>
          <w:tcPr>
            <w:tcW w:w="553" w:type="pct"/>
            <w:vAlign w:val="bottom"/>
            <w:hideMark/>
          </w:tcPr>
          <w:p w:rsidR="000E434B" w:rsidRPr="00CE4321" w:rsidRDefault="000E434B" w:rsidP="00CE4321">
            <w:pPr>
              <w:rPr>
                <w:sz w:val="22"/>
                <w:szCs w:val="22"/>
              </w:rPr>
            </w:pPr>
            <w:r w:rsidRPr="00CE4321">
              <w:rPr>
                <w:sz w:val="22"/>
                <w:szCs w:val="22"/>
              </w:rPr>
              <w:t>2,1</w:t>
            </w:r>
          </w:p>
        </w:tc>
      </w:tr>
      <w:tr w:rsidR="000E434B" w:rsidRPr="00CE4321" w:rsidTr="007B2322">
        <w:trPr>
          <w:tblCellSpacing w:w="7" w:type="dxa"/>
        </w:trPr>
        <w:tc>
          <w:tcPr>
            <w:tcW w:w="2019" w:type="pct"/>
            <w:vAlign w:val="bottom"/>
            <w:hideMark/>
          </w:tcPr>
          <w:p w:rsidR="000E434B" w:rsidRPr="00CE4321" w:rsidRDefault="000E434B" w:rsidP="00CE4321">
            <w:pPr>
              <w:rPr>
                <w:sz w:val="22"/>
                <w:szCs w:val="22"/>
              </w:rPr>
            </w:pPr>
            <w:r w:rsidRPr="00CE4321">
              <w:rPr>
                <w:sz w:val="22"/>
                <w:szCs w:val="22"/>
              </w:rPr>
              <w:t>остальные федеральные налоги и сборы</w:t>
            </w:r>
          </w:p>
        </w:tc>
        <w:tc>
          <w:tcPr>
            <w:tcW w:w="491" w:type="pct"/>
            <w:vAlign w:val="bottom"/>
            <w:hideMark/>
          </w:tcPr>
          <w:p w:rsidR="000E434B" w:rsidRPr="00CE4321" w:rsidRDefault="000E434B" w:rsidP="00CE4321">
            <w:pPr>
              <w:rPr>
                <w:sz w:val="22"/>
                <w:szCs w:val="22"/>
              </w:rPr>
            </w:pPr>
            <w:r w:rsidRPr="00CE4321">
              <w:rPr>
                <w:sz w:val="22"/>
                <w:szCs w:val="22"/>
              </w:rPr>
              <w:t>52,9</w:t>
            </w:r>
          </w:p>
        </w:tc>
        <w:tc>
          <w:tcPr>
            <w:tcW w:w="481" w:type="pct"/>
            <w:vAlign w:val="bottom"/>
            <w:hideMark/>
          </w:tcPr>
          <w:p w:rsidR="000E434B" w:rsidRPr="00CE4321" w:rsidRDefault="000E434B" w:rsidP="00CE4321">
            <w:pPr>
              <w:rPr>
                <w:sz w:val="22"/>
                <w:szCs w:val="22"/>
              </w:rPr>
            </w:pPr>
            <w:r w:rsidRPr="00CE4321">
              <w:rPr>
                <w:sz w:val="22"/>
                <w:szCs w:val="22"/>
              </w:rPr>
              <w:t>7,5</w:t>
            </w:r>
          </w:p>
        </w:tc>
        <w:tc>
          <w:tcPr>
            <w:tcW w:w="491" w:type="pct"/>
            <w:vAlign w:val="bottom"/>
            <w:hideMark/>
          </w:tcPr>
          <w:p w:rsidR="000E434B" w:rsidRPr="00CE4321" w:rsidRDefault="000E434B" w:rsidP="00CE4321">
            <w:pPr>
              <w:rPr>
                <w:sz w:val="22"/>
                <w:szCs w:val="22"/>
              </w:rPr>
            </w:pPr>
            <w:r w:rsidRPr="00CE4321">
              <w:rPr>
                <w:sz w:val="22"/>
                <w:szCs w:val="22"/>
              </w:rPr>
              <w:t>25,2</w:t>
            </w:r>
          </w:p>
        </w:tc>
        <w:tc>
          <w:tcPr>
            <w:tcW w:w="416" w:type="pct"/>
            <w:vAlign w:val="bottom"/>
            <w:hideMark/>
          </w:tcPr>
          <w:p w:rsidR="000E434B" w:rsidRPr="00CE4321" w:rsidRDefault="000E434B" w:rsidP="00CE4321">
            <w:pPr>
              <w:rPr>
                <w:sz w:val="22"/>
                <w:szCs w:val="22"/>
              </w:rPr>
            </w:pPr>
            <w:r w:rsidRPr="00CE4321">
              <w:rPr>
                <w:sz w:val="22"/>
                <w:szCs w:val="22"/>
              </w:rPr>
              <w:t>8,0</w:t>
            </w:r>
          </w:p>
        </w:tc>
        <w:tc>
          <w:tcPr>
            <w:tcW w:w="491" w:type="pct"/>
            <w:vAlign w:val="bottom"/>
            <w:hideMark/>
          </w:tcPr>
          <w:p w:rsidR="000E434B" w:rsidRPr="00CE4321" w:rsidRDefault="000E434B" w:rsidP="00CE4321">
            <w:pPr>
              <w:rPr>
                <w:sz w:val="22"/>
                <w:szCs w:val="22"/>
              </w:rPr>
            </w:pPr>
            <w:r w:rsidRPr="00CE4321">
              <w:rPr>
                <w:sz w:val="22"/>
                <w:szCs w:val="22"/>
              </w:rPr>
              <w:t>26,9</w:t>
            </w:r>
          </w:p>
        </w:tc>
        <w:tc>
          <w:tcPr>
            <w:tcW w:w="553" w:type="pct"/>
            <w:vAlign w:val="bottom"/>
            <w:hideMark/>
          </w:tcPr>
          <w:p w:rsidR="000E434B" w:rsidRPr="00CE4321" w:rsidRDefault="000E434B" w:rsidP="00CE4321">
            <w:pPr>
              <w:rPr>
                <w:sz w:val="22"/>
                <w:szCs w:val="22"/>
              </w:rPr>
            </w:pPr>
            <w:r w:rsidRPr="00CE4321">
              <w:rPr>
                <w:sz w:val="22"/>
                <w:szCs w:val="22"/>
              </w:rPr>
              <w:t>7,1</w:t>
            </w:r>
          </w:p>
        </w:tc>
      </w:tr>
      <w:tr w:rsidR="000E434B" w:rsidRPr="00CE4321" w:rsidTr="007B2322">
        <w:trPr>
          <w:tblCellSpacing w:w="7" w:type="dxa"/>
        </w:trPr>
        <w:tc>
          <w:tcPr>
            <w:tcW w:w="2019" w:type="pct"/>
            <w:vAlign w:val="bottom"/>
            <w:hideMark/>
          </w:tcPr>
          <w:p w:rsidR="000E434B" w:rsidRPr="00CE4321" w:rsidRDefault="000E434B" w:rsidP="00CE4321">
            <w:pPr>
              <w:rPr>
                <w:sz w:val="22"/>
                <w:szCs w:val="22"/>
              </w:rPr>
            </w:pPr>
            <w:r w:rsidRPr="00CE4321">
              <w:rPr>
                <w:bCs/>
                <w:sz w:val="22"/>
                <w:szCs w:val="22"/>
              </w:rPr>
              <w:t>по региональным налогам и сборам</w:t>
            </w:r>
          </w:p>
        </w:tc>
        <w:tc>
          <w:tcPr>
            <w:tcW w:w="491" w:type="pct"/>
            <w:vAlign w:val="bottom"/>
            <w:hideMark/>
          </w:tcPr>
          <w:p w:rsidR="000E434B" w:rsidRPr="00CE4321" w:rsidRDefault="000E434B" w:rsidP="00CE4321">
            <w:pPr>
              <w:rPr>
                <w:sz w:val="22"/>
                <w:szCs w:val="22"/>
              </w:rPr>
            </w:pPr>
            <w:r w:rsidRPr="00CE4321">
              <w:rPr>
                <w:sz w:val="22"/>
                <w:szCs w:val="22"/>
              </w:rPr>
              <w:t>70,2</w:t>
            </w:r>
          </w:p>
        </w:tc>
        <w:tc>
          <w:tcPr>
            <w:tcW w:w="481" w:type="pct"/>
            <w:vAlign w:val="bottom"/>
            <w:hideMark/>
          </w:tcPr>
          <w:p w:rsidR="000E434B" w:rsidRPr="00CE4321" w:rsidRDefault="000E434B" w:rsidP="00CE4321">
            <w:pPr>
              <w:rPr>
                <w:sz w:val="22"/>
                <w:szCs w:val="22"/>
              </w:rPr>
            </w:pPr>
            <w:r w:rsidRPr="00CE4321">
              <w:rPr>
                <w:sz w:val="22"/>
                <w:szCs w:val="22"/>
              </w:rPr>
              <w:t>10,0</w:t>
            </w:r>
          </w:p>
        </w:tc>
        <w:tc>
          <w:tcPr>
            <w:tcW w:w="491" w:type="pct"/>
            <w:vAlign w:val="bottom"/>
            <w:hideMark/>
          </w:tcPr>
          <w:p w:rsidR="000E434B" w:rsidRPr="00CE4321" w:rsidRDefault="000E434B" w:rsidP="00CE4321">
            <w:pPr>
              <w:rPr>
                <w:sz w:val="22"/>
                <w:szCs w:val="22"/>
              </w:rPr>
            </w:pPr>
            <w:r w:rsidRPr="00CE4321">
              <w:rPr>
                <w:sz w:val="22"/>
                <w:szCs w:val="22"/>
              </w:rPr>
              <w:t>49,2</w:t>
            </w:r>
          </w:p>
        </w:tc>
        <w:tc>
          <w:tcPr>
            <w:tcW w:w="416" w:type="pct"/>
            <w:vAlign w:val="bottom"/>
            <w:hideMark/>
          </w:tcPr>
          <w:p w:rsidR="000E434B" w:rsidRPr="00CE4321" w:rsidRDefault="000E434B" w:rsidP="00CE4321">
            <w:pPr>
              <w:rPr>
                <w:sz w:val="22"/>
                <w:szCs w:val="22"/>
              </w:rPr>
            </w:pPr>
            <w:r w:rsidRPr="00CE4321">
              <w:rPr>
                <w:sz w:val="22"/>
                <w:szCs w:val="22"/>
              </w:rPr>
              <w:t>15,6</w:t>
            </w:r>
          </w:p>
        </w:tc>
        <w:tc>
          <w:tcPr>
            <w:tcW w:w="491" w:type="pct"/>
            <w:vAlign w:val="bottom"/>
            <w:hideMark/>
          </w:tcPr>
          <w:p w:rsidR="000E434B" w:rsidRPr="00CE4321" w:rsidRDefault="000E434B" w:rsidP="00CE4321">
            <w:pPr>
              <w:rPr>
                <w:sz w:val="22"/>
                <w:szCs w:val="22"/>
              </w:rPr>
            </w:pPr>
            <w:r w:rsidRPr="00CE4321">
              <w:rPr>
                <w:sz w:val="22"/>
                <w:szCs w:val="22"/>
              </w:rPr>
              <w:t>19,7</w:t>
            </w:r>
          </w:p>
        </w:tc>
        <w:tc>
          <w:tcPr>
            <w:tcW w:w="553" w:type="pct"/>
            <w:vAlign w:val="bottom"/>
            <w:hideMark/>
          </w:tcPr>
          <w:p w:rsidR="000E434B" w:rsidRPr="00CE4321" w:rsidRDefault="000E434B" w:rsidP="00CE4321">
            <w:pPr>
              <w:rPr>
                <w:sz w:val="22"/>
                <w:szCs w:val="22"/>
              </w:rPr>
            </w:pPr>
            <w:r w:rsidRPr="00CE4321">
              <w:rPr>
                <w:sz w:val="22"/>
                <w:szCs w:val="22"/>
              </w:rPr>
              <w:t>5,2</w:t>
            </w:r>
          </w:p>
        </w:tc>
      </w:tr>
      <w:tr w:rsidR="000E434B" w:rsidRPr="00CE4321" w:rsidTr="007B2322">
        <w:trPr>
          <w:tblCellSpacing w:w="7" w:type="dxa"/>
        </w:trPr>
        <w:tc>
          <w:tcPr>
            <w:tcW w:w="2019" w:type="pct"/>
            <w:vAlign w:val="bottom"/>
            <w:hideMark/>
          </w:tcPr>
          <w:p w:rsidR="000E434B" w:rsidRPr="00CE4321" w:rsidRDefault="000E434B" w:rsidP="00CE4321">
            <w:pPr>
              <w:rPr>
                <w:sz w:val="22"/>
                <w:szCs w:val="22"/>
              </w:rPr>
            </w:pPr>
            <w:r w:rsidRPr="00CE4321">
              <w:rPr>
                <w:bCs/>
                <w:sz w:val="22"/>
                <w:szCs w:val="22"/>
              </w:rPr>
              <w:t>по местным налогам и сборам</w:t>
            </w:r>
          </w:p>
        </w:tc>
        <w:tc>
          <w:tcPr>
            <w:tcW w:w="491" w:type="pct"/>
            <w:vAlign w:val="bottom"/>
            <w:hideMark/>
          </w:tcPr>
          <w:p w:rsidR="000E434B" w:rsidRPr="00CE4321" w:rsidRDefault="000E434B" w:rsidP="00CE4321">
            <w:pPr>
              <w:rPr>
                <w:sz w:val="22"/>
                <w:szCs w:val="22"/>
              </w:rPr>
            </w:pPr>
            <w:r w:rsidRPr="00CE4321">
              <w:rPr>
                <w:sz w:val="22"/>
                <w:szCs w:val="22"/>
              </w:rPr>
              <w:t>32,9</w:t>
            </w:r>
          </w:p>
        </w:tc>
        <w:tc>
          <w:tcPr>
            <w:tcW w:w="481" w:type="pct"/>
            <w:vAlign w:val="bottom"/>
            <w:hideMark/>
          </w:tcPr>
          <w:p w:rsidR="000E434B" w:rsidRPr="00CE4321" w:rsidRDefault="000E434B" w:rsidP="00CE4321">
            <w:pPr>
              <w:rPr>
                <w:sz w:val="22"/>
                <w:szCs w:val="22"/>
              </w:rPr>
            </w:pPr>
            <w:r w:rsidRPr="00CE4321">
              <w:rPr>
                <w:sz w:val="22"/>
                <w:szCs w:val="22"/>
              </w:rPr>
              <w:t>4,7</w:t>
            </w:r>
          </w:p>
        </w:tc>
        <w:tc>
          <w:tcPr>
            <w:tcW w:w="491" w:type="pct"/>
            <w:vAlign w:val="bottom"/>
            <w:hideMark/>
          </w:tcPr>
          <w:p w:rsidR="000E434B" w:rsidRPr="00CE4321" w:rsidRDefault="000E434B" w:rsidP="00CE4321">
            <w:pPr>
              <w:rPr>
                <w:sz w:val="22"/>
                <w:szCs w:val="22"/>
              </w:rPr>
            </w:pPr>
            <w:r w:rsidRPr="00CE4321">
              <w:rPr>
                <w:sz w:val="22"/>
                <w:szCs w:val="22"/>
              </w:rPr>
              <w:t>22,9</w:t>
            </w:r>
          </w:p>
        </w:tc>
        <w:tc>
          <w:tcPr>
            <w:tcW w:w="416" w:type="pct"/>
            <w:vAlign w:val="bottom"/>
            <w:hideMark/>
          </w:tcPr>
          <w:p w:rsidR="000E434B" w:rsidRPr="00CE4321" w:rsidRDefault="000E434B" w:rsidP="00CE4321">
            <w:pPr>
              <w:rPr>
                <w:sz w:val="22"/>
                <w:szCs w:val="22"/>
              </w:rPr>
            </w:pPr>
            <w:r w:rsidRPr="00CE4321">
              <w:rPr>
                <w:sz w:val="22"/>
                <w:szCs w:val="22"/>
              </w:rPr>
              <w:t>7,3</w:t>
            </w:r>
          </w:p>
        </w:tc>
        <w:tc>
          <w:tcPr>
            <w:tcW w:w="491" w:type="pct"/>
            <w:vAlign w:val="bottom"/>
            <w:hideMark/>
          </w:tcPr>
          <w:p w:rsidR="000E434B" w:rsidRPr="00CE4321" w:rsidRDefault="000E434B" w:rsidP="00CE4321">
            <w:pPr>
              <w:rPr>
                <w:sz w:val="22"/>
                <w:szCs w:val="22"/>
              </w:rPr>
            </w:pPr>
            <w:r w:rsidRPr="00CE4321">
              <w:rPr>
                <w:sz w:val="22"/>
                <w:szCs w:val="22"/>
              </w:rPr>
              <w:t>9,4</w:t>
            </w:r>
          </w:p>
        </w:tc>
        <w:tc>
          <w:tcPr>
            <w:tcW w:w="553" w:type="pct"/>
            <w:vAlign w:val="bottom"/>
            <w:hideMark/>
          </w:tcPr>
          <w:p w:rsidR="000E434B" w:rsidRPr="00CE4321" w:rsidRDefault="000E434B" w:rsidP="00CE4321">
            <w:pPr>
              <w:rPr>
                <w:sz w:val="22"/>
                <w:szCs w:val="22"/>
              </w:rPr>
            </w:pPr>
            <w:r w:rsidRPr="00CE4321">
              <w:rPr>
                <w:sz w:val="22"/>
                <w:szCs w:val="22"/>
              </w:rPr>
              <w:t>2,5</w:t>
            </w:r>
          </w:p>
        </w:tc>
      </w:tr>
      <w:tr w:rsidR="000E434B" w:rsidRPr="00CE4321" w:rsidTr="007B2322">
        <w:trPr>
          <w:tblCellSpacing w:w="7" w:type="dxa"/>
        </w:trPr>
        <w:tc>
          <w:tcPr>
            <w:tcW w:w="2019" w:type="pct"/>
            <w:vAlign w:val="bottom"/>
            <w:hideMark/>
          </w:tcPr>
          <w:p w:rsidR="000E434B" w:rsidRPr="00CE4321" w:rsidRDefault="000E434B" w:rsidP="00CE4321">
            <w:pPr>
              <w:rPr>
                <w:sz w:val="22"/>
                <w:szCs w:val="22"/>
              </w:rPr>
            </w:pPr>
            <w:r w:rsidRPr="00CE4321">
              <w:rPr>
                <w:bCs/>
                <w:sz w:val="22"/>
                <w:szCs w:val="22"/>
              </w:rPr>
              <w:t xml:space="preserve">по налогам со специальным </w:t>
            </w:r>
            <w:r w:rsidRPr="00CE4321">
              <w:rPr>
                <w:bCs/>
                <w:sz w:val="22"/>
                <w:szCs w:val="22"/>
              </w:rPr>
              <w:br/>
              <w:t>налоговым режимом</w:t>
            </w:r>
          </w:p>
        </w:tc>
        <w:tc>
          <w:tcPr>
            <w:tcW w:w="491" w:type="pct"/>
            <w:vAlign w:val="bottom"/>
            <w:hideMark/>
          </w:tcPr>
          <w:p w:rsidR="000E434B" w:rsidRPr="00CE4321" w:rsidRDefault="000E434B" w:rsidP="00CE4321">
            <w:pPr>
              <w:rPr>
                <w:sz w:val="22"/>
                <w:szCs w:val="22"/>
              </w:rPr>
            </w:pPr>
            <w:r w:rsidRPr="00CE4321">
              <w:rPr>
                <w:sz w:val="22"/>
                <w:szCs w:val="22"/>
              </w:rPr>
              <w:t>15,9</w:t>
            </w:r>
          </w:p>
        </w:tc>
        <w:tc>
          <w:tcPr>
            <w:tcW w:w="481" w:type="pct"/>
            <w:vAlign w:val="bottom"/>
            <w:hideMark/>
          </w:tcPr>
          <w:p w:rsidR="000E434B" w:rsidRPr="00CE4321" w:rsidRDefault="000E434B" w:rsidP="00CE4321">
            <w:pPr>
              <w:rPr>
                <w:sz w:val="22"/>
                <w:szCs w:val="22"/>
              </w:rPr>
            </w:pPr>
            <w:r w:rsidRPr="00CE4321">
              <w:rPr>
                <w:sz w:val="22"/>
                <w:szCs w:val="22"/>
              </w:rPr>
              <w:t>2,3</w:t>
            </w:r>
          </w:p>
        </w:tc>
        <w:tc>
          <w:tcPr>
            <w:tcW w:w="491" w:type="pct"/>
            <w:vAlign w:val="bottom"/>
            <w:hideMark/>
          </w:tcPr>
          <w:p w:rsidR="000E434B" w:rsidRPr="00CE4321" w:rsidRDefault="000E434B" w:rsidP="00CE4321">
            <w:pPr>
              <w:rPr>
                <w:sz w:val="22"/>
                <w:szCs w:val="22"/>
              </w:rPr>
            </w:pPr>
            <w:r w:rsidRPr="00CE4321">
              <w:rPr>
                <w:sz w:val="22"/>
                <w:szCs w:val="22"/>
              </w:rPr>
              <w:t>10,2</w:t>
            </w:r>
          </w:p>
        </w:tc>
        <w:tc>
          <w:tcPr>
            <w:tcW w:w="416" w:type="pct"/>
            <w:vAlign w:val="bottom"/>
            <w:hideMark/>
          </w:tcPr>
          <w:p w:rsidR="000E434B" w:rsidRPr="00CE4321" w:rsidRDefault="000E434B" w:rsidP="00CE4321">
            <w:pPr>
              <w:rPr>
                <w:sz w:val="22"/>
                <w:szCs w:val="22"/>
              </w:rPr>
            </w:pPr>
            <w:r w:rsidRPr="00CE4321">
              <w:rPr>
                <w:sz w:val="22"/>
                <w:szCs w:val="22"/>
              </w:rPr>
              <w:t>3,2</w:t>
            </w:r>
          </w:p>
        </w:tc>
        <w:tc>
          <w:tcPr>
            <w:tcW w:w="491" w:type="pct"/>
            <w:vAlign w:val="bottom"/>
            <w:hideMark/>
          </w:tcPr>
          <w:p w:rsidR="000E434B" w:rsidRPr="00CE4321" w:rsidRDefault="000E434B" w:rsidP="00CE4321">
            <w:pPr>
              <w:rPr>
                <w:sz w:val="22"/>
                <w:szCs w:val="22"/>
              </w:rPr>
            </w:pPr>
            <w:r w:rsidRPr="00CE4321">
              <w:rPr>
                <w:sz w:val="22"/>
                <w:szCs w:val="22"/>
              </w:rPr>
              <w:t>5,6</w:t>
            </w:r>
          </w:p>
        </w:tc>
        <w:tc>
          <w:tcPr>
            <w:tcW w:w="553" w:type="pct"/>
            <w:vAlign w:val="bottom"/>
            <w:hideMark/>
          </w:tcPr>
          <w:p w:rsidR="000E434B" w:rsidRPr="00CE4321" w:rsidRDefault="000E434B" w:rsidP="00CE4321">
            <w:pPr>
              <w:rPr>
                <w:sz w:val="22"/>
                <w:szCs w:val="22"/>
              </w:rPr>
            </w:pPr>
            <w:r w:rsidRPr="00CE4321">
              <w:rPr>
                <w:sz w:val="22"/>
                <w:szCs w:val="22"/>
              </w:rPr>
              <w:t>1,5</w:t>
            </w:r>
          </w:p>
        </w:tc>
      </w:tr>
      <w:tr w:rsidR="000E434B" w:rsidRPr="00CE4321" w:rsidTr="007B2322">
        <w:trPr>
          <w:tblCellSpacing w:w="7" w:type="dxa"/>
        </w:trPr>
        <w:tc>
          <w:tcPr>
            <w:tcW w:w="4985" w:type="pct"/>
            <w:gridSpan w:val="7"/>
            <w:hideMark/>
          </w:tcPr>
          <w:p w:rsidR="000E434B" w:rsidRPr="00CE4321" w:rsidRDefault="000E434B" w:rsidP="00CE4321">
            <w:pPr>
              <w:rPr>
                <w:sz w:val="22"/>
                <w:szCs w:val="22"/>
              </w:rPr>
            </w:pPr>
            <w:r w:rsidRPr="00CE4321">
              <w:rPr>
                <w:iCs/>
                <w:sz w:val="22"/>
                <w:szCs w:val="22"/>
              </w:rPr>
              <w:t>1) Без учета задолженности по единому социальному налогу, уплате пеней и налоговых санкций.</w:t>
            </w:r>
          </w:p>
        </w:tc>
      </w:tr>
    </w:tbl>
    <w:p w:rsidR="000E434B" w:rsidRPr="000E434B" w:rsidRDefault="000E434B" w:rsidP="00CE4321">
      <w:pPr>
        <w:spacing w:line="360" w:lineRule="auto"/>
        <w:ind w:firstLine="709"/>
        <w:jc w:val="both"/>
        <w:textAlignment w:val="top"/>
        <w:rPr>
          <w:sz w:val="28"/>
          <w:szCs w:val="28"/>
        </w:rPr>
      </w:pPr>
    </w:p>
    <w:p w:rsidR="002C6BAA" w:rsidRPr="002C6BAA" w:rsidRDefault="002C6BAA" w:rsidP="00CE4321">
      <w:pPr>
        <w:spacing w:line="360" w:lineRule="auto"/>
        <w:ind w:firstLine="709"/>
        <w:jc w:val="both"/>
        <w:rPr>
          <w:sz w:val="28"/>
          <w:szCs w:val="28"/>
        </w:rPr>
      </w:pPr>
      <w:r w:rsidRPr="002C6BAA">
        <w:rPr>
          <w:sz w:val="28"/>
          <w:szCs w:val="28"/>
        </w:rPr>
        <w:t>Целями управления средствами Резервного фонда являются обеспечение сохранности средств Фонда и стабильного уровня доходов от его размещения в долгосрочной перспективе. Управление средствами фонда в указанных целях допускает возможность получения отрицательных финансовых результатов в краткосрочном периоде.</w:t>
      </w:r>
      <w:r w:rsidRPr="000E434B">
        <w:rPr>
          <w:sz w:val="28"/>
          <w:szCs w:val="28"/>
          <w:vertAlign w:val="superscript"/>
        </w:rPr>
        <w:t>[1]</w:t>
      </w:r>
    </w:p>
    <w:p w:rsidR="002C6BAA" w:rsidRPr="002C6BAA" w:rsidRDefault="002C6BAA" w:rsidP="00CE4321">
      <w:pPr>
        <w:spacing w:line="360" w:lineRule="auto"/>
        <w:ind w:firstLine="709"/>
        <w:jc w:val="both"/>
        <w:rPr>
          <w:sz w:val="28"/>
          <w:szCs w:val="28"/>
        </w:rPr>
      </w:pPr>
      <w:r w:rsidRPr="002C6BAA">
        <w:rPr>
          <w:sz w:val="28"/>
          <w:szCs w:val="28"/>
        </w:rPr>
        <w:t>Управление средствами Резервного фонда осуществляется Министерством финансов Российской Федерации в порядке, установленном Правительством Российской Федерации. Отдельные полномочия по управлению средствами Резервного фонда могут осуществляться Центральным банком Российской Федерации.</w:t>
      </w:r>
      <w:r w:rsidRPr="000E434B">
        <w:rPr>
          <w:sz w:val="28"/>
          <w:szCs w:val="28"/>
          <w:vertAlign w:val="superscript"/>
        </w:rPr>
        <w:t>[2]</w:t>
      </w:r>
    </w:p>
    <w:p w:rsidR="002C6BAA" w:rsidRPr="002C6BAA" w:rsidRDefault="002C6BAA" w:rsidP="00CE4321">
      <w:pPr>
        <w:spacing w:line="360" w:lineRule="auto"/>
        <w:ind w:firstLine="709"/>
        <w:jc w:val="both"/>
        <w:rPr>
          <w:sz w:val="28"/>
          <w:szCs w:val="28"/>
        </w:rPr>
      </w:pPr>
      <w:r w:rsidRPr="00CE4321">
        <w:rPr>
          <w:bCs/>
          <w:sz w:val="28"/>
          <w:szCs w:val="28"/>
        </w:rPr>
        <w:t>Управление средствами Резервного фонда может осуществляться следующими способами</w:t>
      </w:r>
      <w:r w:rsidRPr="002C6BAA">
        <w:rPr>
          <w:sz w:val="28"/>
          <w:szCs w:val="28"/>
        </w:rPr>
        <w:t xml:space="preserve"> (как каждым по отдельности, так и одновременно):</w:t>
      </w:r>
      <w:r w:rsidRPr="000E434B">
        <w:rPr>
          <w:sz w:val="28"/>
          <w:szCs w:val="28"/>
          <w:vertAlign w:val="superscript"/>
        </w:rPr>
        <w:t>[3]</w:t>
      </w:r>
    </w:p>
    <w:p w:rsidR="002C6BAA" w:rsidRPr="002C6BAA" w:rsidRDefault="002C6BAA" w:rsidP="00CE4321">
      <w:pPr>
        <w:spacing w:line="360" w:lineRule="auto"/>
        <w:ind w:firstLine="709"/>
        <w:jc w:val="both"/>
        <w:rPr>
          <w:sz w:val="28"/>
          <w:szCs w:val="28"/>
        </w:rPr>
      </w:pPr>
      <w:r w:rsidRPr="002C6BAA">
        <w:rPr>
          <w:sz w:val="28"/>
          <w:szCs w:val="28"/>
        </w:rPr>
        <w:t>1) путем приобретения за счет средств Фонда иностранной валюты и ее размещения на счетах по учету средств Резервного фонда в иностранной валюте (долларах США, евро, фунтах стерлингов) в Центральном банке Российской Федерации. За пользование денежными средствами на указанных счетах Центральный банк Российской Федерации уплачивает проценты, установленные договором банковского счета;</w:t>
      </w:r>
    </w:p>
    <w:p w:rsidR="002C6BAA" w:rsidRPr="002C6BAA" w:rsidRDefault="002C6BAA" w:rsidP="00CE4321">
      <w:pPr>
        <w:spacing w:line="360" w:lineRule="auto"/>
        <w:ind w:firstLine="709"/>
        <w:jc w:val="both"/>
        <w:rPr>
          <w:sz w:val="28"/>
          <w:szCs w:val="28"/>
        </w:rPr>
      </w:pPr>
      <w:r w:rsidRPr="002C6BAA">
        <w:rPr>
          <w:sz w:val="28"/>
          <w:szCs w:val="28"/>
        </w:rPr>
        <w:t>2) путем размещения средств Фонда в иностранную валюту и финансовые активы, номинированные в иностранной валюте, перечень которых определен законодательством Российской Федерации.</w:t>
      </w:r>
    </w:p>
    <w:p w:rsidR="002C6BAA" w:rsidRPr="002C6BAA" w:rsidRDefault="002C6BAA" w:rsidP="00CE4321">
      <w:pPr>
        <w:spacing w:line="360" w:lineRule="auto"/>
        <w:ind w:firstLine="709"/>
        <w:jc w:val="both"/>
        <w:rPr>
          <w:sz w:val="28"/>
          <w:szCs w:val="28"/>
        </w:rPr>
      </w:pPr>
      <w:r w:rsidRPr="002C6BAA">
        <w:rPr>
          <w:sz w:val="28"/>
          <w:szCs w:val="28"/>
        </w:rPr>
        <w:t xml:space="preserve">Министерство финансов Российской Федерации управляет средствами Резервного фонда в соответствии с первым способом, то есть путем размещения средств на валютных счетах в Центральном банке Российской Федерации, следующим образом. Согласно утвержденному Министерством финансов Российской Федерации порядку расчета и зачисления процентов, начисляемых на счета по учету средств Резервного фонда в иностранной валюте, Банк России уплачивает на остатки на указанных счетах проценты, эквивалентные доходности индексов, сформированных из финансовых активов, в которые могут размещаться средства Резервного фонда, требования к которым утверждены Правительством Российской Федерации. </w:t>
      </w:r>
    </w:p>
    <w:p w:rsidR="002C6BAA" w:rsidRPr="002C6BAA" w:rsidRDefault="002C6BAA" w:rsidP="00CE4321">
      <w:pPr>
        <w:spacing w:line="360" w:lineRule="auto"/>
        <w:ind w:firstLine="709"/>
        <w:jc w:val="both"/>
        <w:rPr>
          <w:sz w:val="28"/>
          <w:szCs w:val="28"/>
        </w:rPr>
      </w:pPr>
      <w:r w:rsidRPr="00CE4321">
        <w:rPr>
          <w:bCs/>
          <w:sz w:val="28"/>
          <w:szCs w:val="28"/>
        </w:rPr>
        <w:t>Правительство Российской Федерации устанавливает предельные</w:t>
      </w:r>
      <w:r w:rsidRPr="00CE4321">
        <w:rPr>
          <w:sz w:val="28"/>
          <w:szCs w:val="28"/>
        </w:rPr>
        <w:t xml:space="preserve"> </w:t>
      </w:r>
      <w:r w:rsidRPr="00CE4321">
        <w:rPr>
          <w:bCs/>
          <w:sz w:val="28"/>
          <w:szCs w:val="28"/>
        </w:rPr>
        <w:t>доли разрешенных финансовых активов</w:t>
      </w:r>
      <w:r w:rsidRPr="002C6BAA">
        <w:rPr>
          <w:sz w:val="28"/>
          <w:szCs w:val="28"/>
        </w:rPr>
        <w:t xml:space="preserve"> в общем объеме размещенных средств Резервного фонда. В целях повышения эффективности управления средствами Резервного фонда Министерство финансов Российской Федерации уполномочено утверждать нормативные доли разрешенных финансовых активов в общем объеме размещенных средств Резервного фонда в пределах соответствующих долей, установленных Правительством Российской Федерации. </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45"/>
        <w:gridCol w:w="2550"/>
        <w:gridCol w:w="2700"/>
      </w:tblGrid>
      <w:tr w:rsidR="000E434B" w:rsidRPr="000E434B" w:rsidTr="000E434B">
        <w:tc>
          <w:tcPr>
            <w:tcW w:w="4545" w:type="dxa"/>
            <w:hideMark/>
          </w:tcPr>
          <w:p w:rsidR="002C6BAA" w:rsidRPr="00CE4321" w:rsidRDefault="002C6BAA" w:rsidP="00CE4321">
            <w:r w:rsidRPr="00CE4321">
              <w:t xml:space="preserve">Разрешенные </w:t>
            </w:r>
          </w:p>
          <w:p w:rsidR="002C6BAA" w:rsidRPr="00CE4321" w:rsidRDefault="002C6BAA" w:rsidP="00CE4321">
            <w:r w:rsidRPr="00CE4321">
              <w:t>финансовые активы, определенные Бюджетным кодексом Российской Федерации</w:t>
            </w:r>
            <w:r w:rsidRPr="00CE4321">
              <w:rPr>
                <w:vertAlign w:val="superscript"/>
              </w:rPr>
              <w:t>[4]</w:t>
            </w:r>
          </w:p>
        </w:tc>
        <w:tc>
          <w:tcPr>
            <w:tcW w:w="2550" w:type="dxa"/>
            <w:hideMark/>
          </w:tcPr>
          <w:p w:rsidR="002C6BAA" w:rsidRPr="00CE4321" w:rsidRDefault="002C6BAA" w:rsidP="00CE4321">
            <w:r w:rsidRPr="00CE4321">
              <w:t>Предельные доли, установленные Правительством Российской Федерации</w:t>
            </w:r>
            <w:bookmarkStart w:id="12" w:name="_ftnref5"/>
            <w:bookmarkEnd w:id="12"/>
            <w:r w:rsidRPr="00CE4321">
              <w:rPr>
                <w:vertAlign w:val="superscript"/>
              </w:rPr>
              <w:t>[5]</w:t>
            </w:r>
          </w:p>
        </w:tc>
        <w:tc>
          <w:tcPr>
            <w:tcW w:w="2700" w:type="dxa"/>
            <w:hideMark/>
          </w:tcPr>
          <w:p w:rsidR="002C6BAA" w:rsidRPr="00CE4321" w:rsidRDefault="002C6BAA" w:rsidP="00CE4321">
            <w:r w:rsidRPr="00CE4321">
              <w:t>Нормативные доли, утвержденные Минфином России</w:t>
            </w:r>
            <w:bookmarkStart w:id="13" w:name="_ftnref6"/>
            <w:bookmarkEnd w:id="13"/>
            <w:r w:rsidRPr="00CE4321">
              <w:rPr>
                <w:vertAlign w:val="superscript"/>
              </w:rPr>
              <w:t>[6]</w:t>
            </w:r>
          </w:p>
        </w:tc>
      </w:tr>
      <w:tr w:rsidR="000E434B" w:rsidRPr="000E434B" w:rsidTr="000E434B">
        <w:tc>
          <w:tcPr>
            <w:tcW w:w="4545" w:type="dxa"/>
            <w:hideMark/>
          </w:tcPr>
          <w:p w:rsidR="002C6BAA" w:rsidRPr="00CE4321" w:rsidRDefault="002C6BAA" w:rsidP="00CE4321">
            <w:r w:rsidRPr="00CE4321">
              <w:t>долговые обязательства иностранных государств</w:t>
            </w:r>
          </w:p>
        </w:tc>
        <w:tc>
          <w:tcPr>
            <w:tcW w:w="2550" w:type="dxa"/>
            <w:hideMark/>
          </w:tcPr>
          <w:p w:rsidR="002C6BAA" w:rsidRPr="00CE4321" w:rsidRDefault="002C6BAA" w:rsidP="00CE4321">
            <w:pPr>
              <w:jc w:val="center"/>
            </w:pPr>
            <w:r w:rsidRPr="00CE4321">
              <w:t>50-100 %</w:t>
            </w:r>
          </w:p>
        </w:tc>
        <w:tc>
          <w:tcPr>
            <w:tcW w:w="2700" w:type="dxa"/>
            <w:hideMark/>
          </w:tcPr>
          <w:p w:rsidR="002C6BAA" w:rsidRPr="00CE4321" w:rsidRDefault="002C6BAA" w:rsidP="00CE4321">
            <w:pPr>
              <w:jc w:val="center"/>
            </w:pPr>
            <w:r w:rsidRPr="00CE4321">
              <w:t>100 %</w:t>
            </w:r>
          </w:p>
        </w:tc>
      </w:tr>
      <w:tr w:rsidR="000E434B" w:rsidRPr="000E434B" w:rsidTr="000E434B">
        <w:tc>
          <w:tcPr>
            <w:tcW w:w="4545" w:type="dxa"/>
            <w:hideMark/>
          </w:tcPr>
          <w:p w:rsidR="002C6BAA" w:rsidRPr="00CE4321" w:rsidRDefault="002C6BAA" w:rsidP="00CE4321">
            <w:r w:rsidRPr="00CE4321">
              <w:t>долговые обязательства иностранных государственных агентств и центральных банков</w:t>
            </w:r>
          </w:p>
        </w:tc>
        <w:tc>
          <w:tcPr>
            <w:tcW w:w="2550" w:type="dxa"/>
            <w:hideMark/>
          </w:tcPr>
          <w:p w:rsidR="002C6BAA" w:rsidRPr="00CE4321" w:rsidRDefault="002C6BAA" w:rsidP="00CE4321">
            <w:pPr>
              <w:jc w:val="center"/>
            </w:pPr>
            <w:r w:rsidRPr="00CE4321">
              <w:t>0-30 %</w:t>
            </w:r>
          </w:p>
        </w:tc>
        <w:tc>
          <w:tcPr>
            <w:tcW w:w="2700" w:type="dxa"/>
            <w:hideMark/>
          </w:tcPr>
          <w:p w:rsidR="002C6BAA" w:rsidRPr="00CE4321" w:rsidRDefault="002C6BAA" w:rsidP="00CE4321">
            <w:pPr>
              <w:jc w:val="center"/>
            </w:pPr>
            <w:r w:rsidRPr="00CE4321">
              <w:t>0 %</w:t>
            </w:r>
          </w:p>
        </w:tc>
      </w:tr>
      <w:tr w:rsidR="000E434B" w:rsidRPr="000E434B" w:rsidTr="000E434B">
        <w:tc>
          <w:tcPr>
            <w:tcW w:w="4545" w:type="dxa"/>
            <w:hideMark/>
          </w:tcPr>
          <w:p w:rsidR="002C6BAA" w:rsidRPr="00CE4321" w:rsidRDefault="002C6BAA" w:rsidP="00CE4321">
            <w:r w:rsidRPr="00CE4321">
              <w:t>долговые обязательства международных финансовых организаций, в том числе оформленные ценными бумагами</w:t>
            </w:r>
          </w:p>
        </w:tc>
        <w:tc>
          <w:tcPr>
            <w:tcW w:w="2550" w:type="dxa"/>
            <w:hideMark/>
          </w:tcPr>
          <w:p w:rsidR="002C6BAA" w:rsidRPr="00CE4321" w:rsidRDefault="002C6BAA" w:rsidP="00CE4321">
            <w:pPr>
              <w:jc w:val="center"/>
            </w:pPr>
            <w:r w:rsidRPr="00CE4321">
              <w:t>0-15 %</w:t>
            </w:r>
          </w:p>
        </w:tc>
        <w:tc>
          <w:tcPr>
            <w:tcW w:w="2700" w:type="dxa"/>
            <w:hideMark/>
          </w:tcPr>
          <w:p w:rsidR="002C6BAA" w:rsidRPr="00CE4321" w:rsidRDefault="002C6BAA" w:rsidP="00CE4321">
            <w:pPr>
              <w:jc w:val="center"/>
            </w:pPr>
            <w:r w:rsidRPr="00CE4321">
              <w:t>0 %</w:t>
            </w:r>
          </w:p>
        </w:tc>
      </w:tr>
      <w:tr w:rsidR="000E434B" w:rsidRPr="000E434B" w:rsidTr="000E434B">
        <w:tc>
          <w:tcPr>
            <w:tcW w:w="4545" w:type="dxa"/>
            <w:hideMark/>
          </w:tcPr>
          <w:p w:rsidR="002C6BAA" w:rsidRPr="00CE4321" w:rsidRDefault="002C6BAA" w:rsidP="00CE4321">
            <w:r w:rsidRPr="00CE4321">
              <w:t>депозиты в иностранных банках и кредитных организациях</w:t>
            </w:r>
          </w:p>
        </w:tc>
        <w:tc>
          <w:tcPr>
            <w:tcW w:w="2550" w:type="dxa"/>
            <w:hideMark/>
          </w:tcPr>
          <w:p w:rsidR="002C6BAA" w:rsidRPr="00CE4321" w:rsidRDefault="002C6BAA" w:rsidP="00CE4321">
            <w:pPr>
              <w:jc w:val="center"/>
            </w:pPr>
            <w:r w:rsidRPr="00CE4321">
              <w:t>0-30 %</w:t>
            </w:r>
          </w:p>
        </w:tc>
        <w:tc>
          <w:tcPr>
            <w:tcW w:w="2700" w:type="dxa"/>
            <w:hideMark/>
          </w:tcPr>
          <w:p w:rsidR="002C6BAA" w:rsidRPr="00CE4321" w:rsidRDefault="002C6BAA" w:rsidP="00CE4321">
            <w:pPr>
              <w:jc w:val="center"/>
            </w:pPr>
            <w:r w:rsidRPr="00CE4321">
              <w:t>0 %</w:t>
            </w:r>
          </w:p>
        </w:tc>
      </w:tr>
    </w:tbl>
    <w:p w:rsidR="00CE4321" w:rsidRDefault="00CE4321" w:rsidP="00CE4321">
      <w:pPr>
        <w:spacing w:line="360" w:lineRule="auto"/>
        <w:ind w:firstLine="709"/>
        <w:jc w:val="both"/>
        <w:rPr>
          <w:sz w:val="28"/>
          <w:szCs w:val="28"/>
        </w:rPr>
      </w:pPr>
    </w:p>
    <w:p w:rsidR="002C6BAA" w:rsidRPr="00CE4321" w:rsidRDefault="002C6BAA" w:rsidP="00CE4321">
      <w:pPr>
        <w:spacing w:line="360" w:lineRule="auto"/>
        <w:ind w:firstLine="709"/>
        <w:jc w:val="both"/>
        <w:rPr>
          <w:sz w:val="28"/>
          <w:szCs w:val="28"/>
        </w:rPr>
      </w:pPr>
      <w:r w:rsidRPr="002C6BAA">
        <w:rPr>
          <w:sz w:val="28"/>
          <w:szCs w:val="28"/>
        </w:rPr>
        <w:t xml:space="preserve">Правительство Российской Федерации установило следующие </w:t>
      </w:r>
      <w:r w:rsidRPr="00CE4321">
        <w:rPr>
          <w:bCs/>
          <w:sz w:val="28"/>
          <w:szCs w:val="28"/>
        </w:rPr>
        <w:t>требования к указанным финансовым активам:</w:t>
      </w:r>
      <w:r w:rsidRPr="00CE4321">
        <w:rPr>
          <w:sz w:val="28"/>
          <w:szCs w:val="28"/>
          <w:vertAlign w:val="superscript"/>
        </w:rPr>
        <w:t>[7]</w:t>
      </w:r>
    </w:p>
    <w:p w:rsidR="002C6BAA" w:rsidRPr="002C6BAA" w:rsidRDefault="002C6BAA" w:rsidP="00CE4321">
      <w:pPr>
        <w:spacing w:line="360" w:lineRule="auto"/>
        <w:ind w:firstLine="709"/>
        <w:jc w:val="both"/>
        <w:rPr>
          <w:sz w:val="28"/>
          <w:szCs w:val="28"/>
        </w:rPr>
      </w:pPr>
      <w:r w:rsidRPr="002C6BAA">
        <w:rPr>
          <w:sz w:val="28"/>
          <w:szCs w:val="28"/>
        </w:rPr>
        <w:t>1. средства Резервного фонда могут размещаться в долговые обязательства в виде ценных бумаг иностранных государств, иностранных государственных агентств и центральных банков следующих стран</w:t>
      </w:r>
      <w:r w:rsidRPr="000E434B">
        <w:rPr>
          <w:sz w:val="28"/>
          <w:szCs w:val="28"/>
          <w:vertAlign w:val="superscript"/>
        </w:rPr>
        <w:t>[8]</w:t>
      </w:r>
      <w:r w:rsidRPr="002C6BAA">
        <w:rPr>
          <w:sz w:val="28"/>
          <w:szCs w:val="28"/>
        </w:rPr>
        <w:t xml:space="preserve">: </w:t>
      </w:r>
      <w:r w:rsidR="00CE4321">
        <w:rPr>
          <w:sz w:val="28"/>
          <w:szCs w:val="28"/>
        </w:rPr>
        <w:t xml:space="preserve">Австрия, Бельгия, Великобритания, Германия, Дания, Канада, Люксембург, Нидерланды, США, Финляндия, Франция, </w:t>
      </w:r>
      <w:r w:rsidRPr="002C6BAA">
        <w:rPr>
          <w:sz w:val="28"/>
          <w:szCs w:val="28"/>
        </w:rPr>
        <w:t>Швеция.</w:t>
      </w:r>
    </w:p>
    <w:p w:rsidR="002C6BAA" w:rsidRPr="002C6BAA" w:rsidRDefault="002C6BAA" w:rsidP="00CE4321">
      <w:pPr>
        <w:spacing w:line="360" w:lineRule="auto"/>
        <w:ind w:firstLine="709"/>
        <w:jc w:val="both"/>
        <w:rPr>
          <w:sz w:val="28"/>
          <w:szCs w:val="28"/>
        </w:rPr>
      </w:pPr>
      <w:r w:rsidRPr="002C6BAA">
        <w:rPr>
          <w:sz w:val="28"/>
          <w:szCs w:val="28"/>
        </w:rPr>
        <w:t>2. долговые обязательства должны соответствовать следующим требованиям:</w:t>
      </w:r>
    </w:p>
    <w:p w:rsidR="002C6BAA" w:rsidRPr="002C6BAA" w:rsidRDefault="002C6BAA" w:rsidP="00CE4321">
      <w:pPr>
        <w:spacing w:line="360" w:lineRule="auto"/>
        <w:ind w:firstLine="709"/>
        <w:jc w:val="both"/>
        <w:rPr>
          <w:sz w:val="28"/>
          <w:szCs w:val="28"/>
        </w:rPr>
      </w:pPr>
      <w:r w:rsidRPr="002C6BAA">
        <w:rPr>
          <w:sz w:val="28"/>
          <w:szCs w:val="28"/>
        </w:rPr>
        <w:t>- эмитент долговых обязательств должен иметь рейтинг долгосрочной кредитоспособности не ниже уровня «АА-» по классификации рейтинговых агентств «Фитч Рейтингс» (Fitch-Ratings) или «Стандарт энд Пурс» (Standard &amp; Poor's) либо не ниже уровня «Аа3» по классификации рейтингового агентства «Мудис Инвесторс Сервис» (Moody's Investors Service). Если эмитенту долговых обязательств указанными агентствами присвоены разные рейтинги долгосрочной кредитоспособности, то в качестве рейтинга долгосрочной кредитоспособности принимается наименьший из присвоенных;</w:t>
      </w:r>
    </w:p>
    <w:p w:rsidR="002C6BAA" w:rsidRPr="002C6BAA" w:rsidRDefault="002C6BAA" w:rsidP="00CE4321">
      <w:pPr>
        <w:spacing w:line="360" w:lineRule="auto"/>
        <w:ind w:firstLine="709"/>
        <w:jc w:val="both"/>
        <w:rPr>
          <w:sz w:val="28"/>
          <w:szCs w:val="28"/>
        </w:rPr>
      </w:pPr>
      <w:r w:rsidRPr="002C6BAA">
        <w:rPr>
          <w:sz w:val="28"/>
          <w:szCs w:val="28"/>
        </w:rPr>
        <w:t>- сроки погашения выпусков долговых обязательств являются фиксированными, условия выпуска и обращения не предусматривают права эмитента осуществить досрочно их выкуп (погашение) и права владельца долговых обязательств досрочно предъявить их к выкупу (погашению) эмитентом;</w:t>
      </w:r>
    </w:p>
    <w:p w:rsidR="002C6BAA" w:rsidRPr="002C6BAA" w:rsidRDefault="002C6BAA" w:rsidP="00CE4321">
      <w:pPr>
        <w:spacing w:line="360" w:lineRule="auto"/>
        <w:ind w:firstLine="709"/>
        <w:jc w:val="both"/>
        <w:rPr>
          <w:sz w:val="28"/>
          <w:szCs w:val="28"/>
        </w:rPr>
      </w:pPr>
      <w:r w:rsidRPr="002C6BAA">
        <w:rPr>
          <w:sz w:val="28"/>
          <w:szCs w:val="28"/>
        </w:rPr>
        <w:t>- нормативы минимального и максимального сроков до погашения выпусков долговых обязательств, установленные Министерством финансов Российской Федерации, являются обязательными;</w:t>
      </w:r>
    </w:p>
    <w:p w:rsidR="002C6BAA" w:rsidRPr="002C6BAA" w:rsidRDefault="002C6BAA" w:rsidP="00CE4321">
      <w:pPr>
        <w:spacing w:line="360" w:lineRule="auto"/>
        <w:ind w:firstLine="709"/>
        <w:jc w:val="both"/>
        <w:rPr>
          <w:sz w:val="28"/>
          <w:szCs w:val="28"/>
        </w:rPr>
      </w:pPr>
      <w:r w:rsidRPr="002C6BAA">
        <w:rPr>
          <w:sz w:val="28"/>
          <w:szCs w:val="28"/>
        </w:rPr>
        <w:t>- ставка купонного дохода, выплачиваемого по купонным долговым обязательствам, а также номиналы долговых обязательств являются фиксированными;</w:t>
      </w:r>
    </w:p>
    <w:p w:rsidR="002C6BAA" w:rsidRPr="002C6BAA" w:rsidRDefault="002C6BAA" w:rsidP="00CE4321">
      <w:pPr>
        <w:spacing w:line="360" w:lineRule="auto"/>
        <w:ind w:firstLine="709"/>
        <w:jc w:val="both"/>
        <w:rPr>
          <w:sz w:val="28"/>
          <w:szCs w:val="28"/>
        </w:rPr>
      </w:pPr>
      <w:r w:rsidRPr="002C6BAA">
        <w:rPr>
          <w:sz w:val="28"/>
          <w:szCs w:val="28"/>
        </w:rPr>
        <w:t>- номинал долговых обязательств выражается в долларах США, евро и фунтах стерлингов, платежи по долговым обязательствам осуществляются в валюте номинала;</w:t>
      </w:r>
    </w:p>
    <w:p w:rsidR="002C6BAA" w:rsidRPr="002C6BAA" w:rsidRDefault="002C6BAA" w:rsidP="00CE4321">
      <w:pPr>
        <w:spacing w:line="360" w:lineRule="auto"/>
        <w:ind w:firstLine="709"/>
        <w:jc w:val="both"/>
        <w:rPr>
          <w:sz w:val="28"/>
          <w:szCs w:val="28"/>
        </w:rPr>
      </w:pPr>
      <w:r w:rsidRPr="002C6BAA">
        <w:rPr>
          <w:sz w:val="28"/>
          <w:szCs w:val="28"/>
        </w:rPr>
        <w:t>- объем выпуска долговых обязательств, находящихся в обращении, составляет не менее 1 млрд. долларов США для долговых обязательств, номинированных в долларах США, не менее 1 млрд. евро - для долговых обязательств, номинированных в евро, и не менее 0,5 млрд. фунтов стерлингов - для долговых обязательств, номинированных в фунтах стерлингов;</w:t>
      </w:r>
    </w:p>
    <w:p w:rsidR="002C6BAA" w:rsidRPr="002C6BAA" w:rsidRDefault="002C6BAA" w:rsidP="00CE4321">
      <w:pPr>
        <w:spacing w:line="360" w:lineRule="auto"/>
        <w:ind w:firstLine="709"/>
        <w:jc w:val="both"/>
        <w:rPr>
          <w:sz w:val="28"/>
          <w:szCs w:val="28"/>
        </w:rPr>
      </w:pPr>
      <w:r w:rsidRPr="002C6BAA">
        <w:rPr>
          <w:sz w:val="28"/>
          <w:szCs w:val="28"/>
        </w:rPr>
        <w:t>- выпуски долговых обязательств не являются выпусками, предназначенными для частного (непубличного) размещения.</w:t>
      </w:r>
    </w:p>
    <w:p w:rsidR="002C6BAA" w:rsidRPr="002C6BAA" w:rsidRDefault="002C6BAA" w:rsidP="00CE4321">
      <w:pPr>
        <w:spacing w:line="360" w:lineRule="auto"/>
        <w:ind w:firstLine="709"/>
        <w:jc w:val="both"/>
        <w:rPr>
          <w:sz w:val="28"/>
          <w:szCs w:val="28"/>
        </w:rPr>
      </w:pPr>
      <w:r w:rsidRPr="002C6BAA">
        <w:rPr>
          <w:sz w:val="28"/>
          <w:szCs w:val="28"/>
        </w:rPr>
        <w:t>3. к международным финансовым организациям, в долговые обязательства которых могут размещаться средства Резервного фонда, относятся:</w:t>
      </w:r>
    </w:p>
    <w:p w:rsidR="002C6BAA" w:rsidRPr="002C6BAA" w:rsidRDefault="002C6BAA" w:rsidP="00CE4321">
      <w:pPr>
        <w:spacing w:line="360" w:lineRule="auto"/>
        <w:ind w:firstLine="709"/>
        <w:jc w:val="both"/>
        <w:rPr>
          <w:sz w:val="28"/>
          <w:szCs w:val="28"/>
          <w:lang w:val="en-US"/>
        </w:rPr>
      </w:pPr>
      <w:r w:rsidRPr="002C6BAA">
        <w:rPr>
          <w:sz w:val="28"/>
          <w:szCs w:val="28"/>
          <w:lang w:val="en-US"/>
        </w:rPr>
        <w:t xml:space="preserve">- </w:t>
      </w:r>
      <w:r w:rsidRPr="002C6BAA">
        <w:rPr>
          <w:sz w:val="28"/>
          <w:szCs w:val="28"/>
        </w:rPr>
        <w:t>Азиатский</w:t>
      </w:r>
      <w:r w:rsidRPr="002C6BAA">
        <w:rPr>
          <w:sz w:val="28"/>
          <w:szCs w:val="28"/>
          <w:lang w:val="en-US"/>
        </w:rPr>
        <w:t xml:space="preserve"> </w:t>
      </w:r>
      <w:r w:rsidRPr="002C6BAA">
        <w:rPr>
          <w:sz w:val="28"/>
          <w:szCs w:val="28"/>
        </w:rPr>
        <w:t>банк</w:t>
      </w:r>
      <w:r w:rsidRPr="002C6BAA">
        <w:rPr>
          <w:sz w:val="28"/>
          <w:szCs w:val="28"/>
          <w:lang w:val="en-US"/>
        </w:rPr>
        <w:t xml:space="preserve"> </w:t>
      </w:r>
      <w:r w:rsidRPr="002C6BAA">
        <w:rPr>
          <w:sz w:val="28"/>
          <w:szCs w:val="28"/>
        </w:rPr>
        <w:t>развития</w:t>
      </w:r>
      <w:r w:rsidRPr="002C6BAA">
        <w:rPr>
          <w:sz w:val="28"/>
          <w:szCs w:val="28"/>
          <w:lang w:val="en-US"/>
        </w:rPr>
        <w:t xml:space="preserve"> (Asian Development Bank, ABD);</w:t>
      </w:r>
    </w:p>
    <w:p w:rsidR="002C6BAA" w:rsidRPr="002C6BAA" w:rsidRDefault="002C6BAA" w:rsidP="00CE4321">
      <w:pPr>
        <w:spacing w:line="360" w:lineRule="auto"/>
        <w:ind w:firstLine="709"/>
        <w:jc w:val="both"/>
        <w:rPr>
          <w:sz w:val="28"/>
          <w:szCs w:val="28"/>
          <w:lang w:val="en-US"/>
        </w:rPr>
      </w:pPr>
      <w:r w:rsidRPr="002C6BAA">
        <w:rPr>
          <w:sz w:val="28"/>
          <w:szCs w:val="28"/>
          <w:lang w:val="en-US"/>
        </w:rPr>
        <w:t xml:space="preserve">- </w:t>
      </w:r>
      <w:r w:rsidRPr="002C6BAA">
        <w:rPr>
          <w:sz w:val="28"/>
          <w:szCs w:val="28"/>
        </w:rPr>
        <w:t>Банк</w:t>
      </w:r>
      <w:r w:rsidRPr="002C6BAA">
        <w:rPr>
          <w:sz w:val="28"/>
          <w:szCs w:val="28"/>
          <w:lang w:val="en-US"/>
        </w:rPr>
        <w:t xml:space="preserve"> </w:t>
      </w:r>
      <w:r w:rsidRPr="002C6BAA">
        <w:rPr>
          <w:sz w:val="28"/>
          <w:szCs w:val="28"/>
        </w:rPr>
        <w:t>развития</w:t>
      </w:r>
      <w:r w:rsidRPr="002C6BAA">
        <w:rPr>
          <w:sz w:val="28"/>
          <w:szCs w:val="28"/>
          <w:lang w:val="en-US"/>
        </w:rPr>
        <w:t xml:space="preserve"> </w:t>
      </w:r>
      <w:r w:rsidRPr="002C6BAA">
        <w:rPr>
          <w:sz w:val="28"/>
          <w:szCs w:val="28"/>
        </w:rPr>
        <w:t>при</w:t>
      </w:r>
      <w:r w:rsidRPr="002C6BAA">
        <w:rPr>
          <w:sz w:val="28"/>
          <w:szCs w:val="28"/>
          <w:lang w:val="en-US"/>
        </w:rPr>
        <w:t xml:space="preserve"> </w:t>
      </w:r>
      <w:r w:rsidRPr="002C6BAA">
        <w:rPr>
          <w:sz w:val="28"/>
          <w:szCs w:val="28"/>
        </w:rPr>
        <w:t>Совете</w:t>
      </w:r>
      <w:r w:rsidRPr="002C6BAA">
        <w:rPr>
          <w:sz w:val="28"/>
          <w:szCs w:val="28"/>
          <w:lang w:val="en-US"/>
        </w:rPr>
        <w:t xml:space="preserve"> </w:t>
      </w:r>
      <w:r w:rsidRPr="002C6BAA">
        <w:rPr>
          <w:sz w:val="28"/>
          <w:szCs w:val="28"/>
        </w:rPr>
        <w:t>Европы</w:t>
      </w:r>
      <w:r w:rsidRPr="002C6BAA">
        <w:rPr>
          <w:sz w:val="28"/>
          <w:szCs w:val="28"/>
          <w:lang w:val="en-US"/>
        </w:rPr>
        <w:t xml:space="preserve"> (Council of Europe Development Bank, </w:t>
      </w:r>
      <w:r w:rsidRPr="002C6BAA">
        <w:rPr>
          <w:sz w:val="28"/>
          <w:szCs w:val="28"/>
        </w:rPr>
        <w:t>СЕВ</w:t>
      </w:r>
      <w:r w:rsidRPr="002C6BAA">
        <w:rPr>
          <w:sz w:val="28"/>
          <w:szCs w:val="28"/>
          <w:lang w:val="en-US"/>
        </w:rPr>
        <w:t>);</w:t>
      </w:r>
    </w:p>
    <w:p w:rsidR="002C6BAA" w:rsidRPr="002C6BAA" w:rsidRDefault="002C6BAA" w:rsidP="00CE4321">
      <w:pPr>
        <w:spacing w:line="360" w:lineRule="auto"/>
        <w:ind w:firstLine="709"/>
        <w:jc w:val="both"/>
        <w:rPr>
          <w:sz w:val="28"/>
          <w:szCs w:val="28"/>
          <w:lang w:val="en-US"/>
        </w:rPr>
      </w:pPr>
      <w:r w:rsidRPr="002C6BAA">
        <w:rPr>
          <w:sz w:val="28"/>
          <w:szCs w:val="28"/>
          <w:lang w:val="en-US"/>
        </w:rPr>
        <w:t xml:space="preserve">- </w:t>
      </w:r>
      <w:r w:rsidRPr="002C6BAA">
        <w:rPr>
          <w:sz w:val="28"/>
          <w:szCs w:val="28"/>
        </w:rPr>
        <w:t>Европейский</w:t>
      </w:r>
      <w:r w:rsidRPr="002C6BAA">
        <w:rPr>
          <w:sz w:val="28"/>
          <w:szCs w:val="28"/>
          <w:lang w:val="en-US"/>
        </w:rPr>
        <w:t xml:space="preserve"> </w:t>
      </w:r>
      <w:r w:rsidRPr="002C6BAA">
        <w:rPr>
          <w:sz w:val="28"/>
          <w:szCs w:val="28"/>
        </w:rPr>
        <w:t>банк</w:t>
      </w:r>
      <w:r w:rsidRPr="002C6BAA">
        <w:rPr>
          <w:sz w:val="28"/>
          <w:szCs w:val="28"/>
          <w:lang w:val="en-US"/>
        </w:rPr>
        <w:t xml:space="preserve"> </w:t>
      </w:r>
      <w:r w:rsidRPr="002C6BAA">
        <w:rPr>
          <w:sz w:val="28"/>
          <w:szCs w:val="28"/>
        </w:rPr>
        <w:t>реконструкции</w:t>
      </w:r>
      <w:r w:rsidRPr="002C6BAA">
        <w:rPr>
          <w:sz w:val="28"/>
          <w:szCs w:val="28"/>
          <w:lang w:val="en-US"/>
        </w:rPr>
        <w:t xml:space="preserve"> </w:t>
      </w:r>
      <w:r w:rsidRPr="002C6BAA">
        <w:rPr>
          <w:sz w:val="28"/>
          <w:szCs w:val="28"/>
        </w:rPr>
        <w:t>и</w:t>
      </w:r>
      <w:r w:rsidRPr="002C6BAA">
        <w:rPr>
          <w:sz w:val="28"/>
          <w:szCs w:val="28"/>
          <w:lang w:val="en-US"/>
        </w:rPr>
        <w:t xml:space="preserve"> </w:t>
      </w:r>
      <w:r w:rsidRPr="002C6BAA">
        <w:rPr>
          <w:sz w:val="28"/>
          <w:szCs w:val="28"/>
        </w:rPr>
        <w:t>развития</w:t>
      </w:r>
      <w:r w:rsidRPr="002C6BAA">
        <w:rPr>
          <w:sz w:val="28"/>
          <w:szCs w:val="28"/>
          <w:lang w:val="en-US"/>
        </w:rPr>
        <w:t xml:space="preserve"> (European Bank for Reconstruction and Development, EBRD);</w:t>
      </w:r>
    </w:p>
    <w:p w:rsidR="002C6BAA" w:rsidRPr="002C6BAA" w:rsidRDefault="002C6BAA" w:rsidP="00CE4321">
      <w:pPr>
        <w:spacing w:line="360" w:lineRule="auto"/>
        <w:ind w:firstLine="709"/>
        <w:jc w:val="both"/>
        <w:rPr>
          <w:sz w:val="28"/>
          <w:szCs w:val="28"/>
          <w:lang w:val="en-US"/>
        </w:rPr>
      </w:pPr>
      <w:r w:rsidRPr="002C6BAA">
        <w:rPr>
          <w:sz w:val="28"/>
          <w:szCs w:val="28"/>
          <w:lang w:val="en-US"/>
        </w:rPr>
        <w:t xml:space="preserve">- </w:t>
      </w:r>
      <w:r w:rsidRPr="002C6BAA">
        <w:rPr>
          <w:sz w:val="28"/>
          <w:szCs w:val="28"/>
        </w:rPr>
        <w:t>Европейский</w:t>
      </w:r>
      <w:r w:rsidRPr="002C6BAA">
        <w:rPr>
          <w:sz w:val="28"/>
          <w:szCs w:val="28"/>
          <w:lang w:val="en-US"/>
        </w:rPr>
        <w:t xml:space="preserve"> </w:t>
      </w:r>
      <w:r w:rsidRPr="002C6BAA">
        <w:rPr>
          <w:sz w:val="28"/>
          <w:szCs w:val="28"/>
        </w:rPr>
        <w:t>инвестиционный</w:t>
      </w:r>
      <w:r w:rsidRPr="002C6BAA">
        <w:rPr>
          <w:sz w:val="28"/>
          <w:szCs w:val="28"/>
          <w:lang w:val="en-US"/>
        </w:rPr>
        <w:t xml:space="preserve"> </w:t>
      </w:r>
      <w:r w:rsidRPr="002C6BAA">
        <w:rPr>
          <w:sz w:val="28"/>
          <w:szCs w:val="28"/>
        </w:rPr>
        <w:t>банк</w:t>
      </w:r>
      <w:r w:rsidRPr="002C6BAA">
        <w:rPr>
          <w:sz w:val="28"/>
          <w:szCs w:val="28"/>
          <w:lang w:val="en-US"/>
        </w:rPr>
        <w:t xml:space="preserve"> (European Investment Bank, EIB);</w:t>
      </w:r>
    </w:p>
    <w:p w:rsidR="002C6BAA" w:rsidRPr="002C6BAA" w:rsidRDefault="002C6BAA" w:rsidP="00CE4321">
      <w:pPr>
        <w:spacing w:line="360" w:lineRule="auto"/>
        <w:ind w:firstLine="709"/>
        <w:jc w:val="both"/>
        <w:rPr>
          <w:sz w:val="28"/>
          <w:szCs w:val="28"/>
          <w:lang w:val="en-US"/>
        </w:rPr>
      </w:pPr>
      <w:r w:rsidRPr="002C6BAA">
        <w:rPr>
          <w:sz w:val="28"/>
          <w:szCs w:val="28"/>
          <w:lang w:val="en-US"/>
        </w:rPr>
        <w:t xml:space="preserve">- </w:t>
      </w:r>
      <w:r w:rsidRPr="002C6BAA">
        <w:rPr>
          <w:sz w:val="28"/>
          <w:szCs w:val="28"/>
        </w:rPr>
        <w:t>Межамериканский</w:t>
      </w:r>
      <w:r w:rsidRPr="002C6BAA">
        <w:rPr>
          <w:sz w:val="28"/>
          <w:szCs w:val="28"/>
          <w:lang w:val="en-US"/>
        </w:rPr>
        <w:t xml:space="preserve"> </w:t>
      </w:r>
      <w:r w:rsidRPr="002C6BAA">
        <w:rPr>
          <w:sz w:val="28"/>
          <w:szCs w:val="28"/>
        </w:rPr>
        <w:t>банк</w:t>
      </w:r>
      <w:r w:rsidRPr="002C6BAA">
        <w:rPr>
          <w:sz w:val="28"/>
          <w:szCs w:val="28"/>
          <w:lang w:val="en-US"/>
        </w:rPr>
        <w:t xml:space="preserve"> </w:t>
      </w:r>
      <w:r w:rsidRPr="002C6BAA">
        <w:rPr>
          <w:sz w:val="28"/>
          <w:szCs w:val="28"/>
        </w:rPr>
        <w:t>развития</w:t>
      </w:r>
      <w:r w:rsidRPr="002C6BAA">
        <w:rPr>
          <w:sz w:val="28"/>
          <w:szCs w:val="28"/>
          <w:lang w:val="en-US"/>
        </w:rPr>
        <w:t xml:space="preserve"> (Inter-American Development Bank, IADB);</w:t>
      </w:r>
    </w:p>
    <w:p w:rsidR="002C6BAA" w:rsidRPr="002C6BAA" w:rsidRDefault="002C6BAA" w:rsidP="00CE4321">
      <w:pPr>
        <w:spacing w:line="360" w:lineRule="auto"/>
        <w:ind w:firstLine="709"/>
        <w:jc w:val="both"/>
        <w:rPr>
          <w:sz w:val="28"/>
          <w:szCs w:val="28"/>
          <w:lang w:val="en-US"/>
        </w:rPr>
      </w:pPr>
      <w:r w:rsidRPr="002C6BAA">
        <w:rPr>
          <w:sz w:val="28"/>
          <w:szCs w:val="28"/>
          <w:lang w:val="en-US"/>
        </w:rPr>
        <w:t xml:space="preserve">- </w:t>
      </w:r>
      <w:r w:rsidRPr="002C6BAA">
        <w:rPr>
          <w:sz w:val="28"/>
          <w:szCs w:val="28"/>
        </w:rPr>
        <w:t>Международная</w:t>
      </w:r>
      <w:r w:rsidRPr="002C6BAA">
        <w:rPr>
          <w:sz w:val="28"/>
          <w:szCs w:val="28"/>
          <w:lang w:val="en-US"/>
        </w:rPr>
        <w:t xml:space="preserve"> </w:t>
      </w:r>
      <w:r w:rsidRPr="002C6BAA">
        <w:rPr>
          <w:sz w:val="28"/>
          <w:szCs w:val="28"/>
        </w:rPr>
        <w:t>финансовая</w:t>
      </w:r>
      <w:r w:rsidRPr="002C6BAA">
        <w:rPr>
          <w:sz w:val="28"/>
          <w:szCs w:val="28"/>
          <w:lang w:val="en-US"/>
        </w:rPr>
        <w:t xml:space="preserve"> </w:t>
      </w:r>
      <w:r w:rsidRPr="002C6BAA">
        <w:rPr>
          <w:sz w:val="28"/>
          <w:szCs w:val="28"/>
        </w:rPr>
        <w:t>корпорация</w:t>
      </w:r>
      <w:r w:rsidRPr="002C6BAA">
        <w:rPr>
          <w:sz w:val="28"/>
          <w:szCs w:val="28"/>
          <w:lang w:val="en-US"/>
        </w:rPr>
        <w:t xml:space="preserve"> (International Finance Corporation, IFC);</w:t>
      </w:r>
    </w:p>
    <w:p w:rsidR="002C6BAA" w:rsidRPr="002C6BAA" w:rsidRDefault="002C6BAA" w:rsidP="00CE4321">
      <w:pPr>
        <w:spacing w:line="360" w:lineRule="auto"/>
        <w:ind w:firstLine="709"/>
        <w:jc w:val="both"/>
        <w:rPr>
          <w:sz w:val="28"/>
          <w:szCs w:val="28"/>
          <w:lang w:val="en-US"/>
        </w:rPr>
      </w:pPr>
      <w:r w:rsidRPr="002C6BAA">
        <w:rPr>
          <w:sz w:val="28"/>
          <w:szCs w:val="28"/>
          <w:lang w:val="en-US"/>
        </w:rPr>
        <w:t xml:space="preserve">- </w:t>
      </w:r>
      <w:r w:rsidRPr="002C6BAA">
        <w:rPr>
          <w:sz w:val="28"/>
          <w:szCs w:val="28"/>
        </w:rPr>
        <w:t>Международный</w:t>
      </w:r>
      <w:r w:rsidRPr="002C6BAA">
        <w:rPr>
          <w:sz w:val="28"/>
          <w:szCs w:val="28"/>
          <w:lang w:val="en-US"/>
        </w:rPr>
        <w:t xml:space="preserve"> </w:t>
      </w:r>
      <w:r w:rsidRPr="002C6BAA">
        <w:rPr>
          <w:sz w:val="28"/>
          <w:szCs w:val="28"/>
        </w:rPr>
        <w:t>банк</w:t>
      </w:r>
      <w:r w:rsidRPr="002C6BAA">
        <w:rPr>
          <w:sz w:val="28"/>
          <w:szCs w:val="28"/>
          <w:lang w:val="en-US"/>
        </w:rPr>
        <w:t xml:space="preserve"> </w:t>
      </w:r>
      <w:r w:rsidRPr="002C6BAA">
        <w:rPr>
          <w:sz w:val="28"/>
          <w:szCs w:val="28"/>
        </w:rPr>
        <w:t>реконструкции</w:t>
      </w:r>
      <w:r w:rsidRPr="002C6BAA">
        <w:rPr>
          <w:sz w:val="28"/>
          <w:szCs w:val="28"/>
          <w:lang w:val="en-US"/>
        </w:rPr>
        <w:t xml:space="preserve"> </w:t>
      </w:r>
      <w:r w:rsidRPr="002C6BAA">
        <w:rPr>
          <w:sz w:val="28"/>
          <w:szCs w:val="28"/>
        </w:rPr>
        <w:t>и</w:t>
      </w:r>
      <w:r w:rsidRPr="002C6BAA">
        <w:rPr>
          <w:sz w:val="28"/>
          <w:szCs w:val="28"/>
          <w:lang w:val="en-US"/>
        </w:rPr>
        <w:t xml:space="preserve"> </w:t>
      </w:r>
      <w:r w:rsidRPr="002C6BAA">
        <w:rPr>
          <w:sz w:val="28"/>
          <w:szCs w:val="28"/>
        </w:rPr>
        <w:t>развития</w:t>
      </w:r>
      <w:r w:rsidRPr="002C6BAA">
        <w:rPr>
          <w:sz w:val="28"/>
          <w:szCs w:val="28"/>
          <w:lang w:val="en-US"/>
        </w:rPr>
        <w:t xml:space="preserve"> (International Bank for Reconstruction and Development, IBRD);</w:t>
      </w:r>
    </w:p>
    <w:p w:rsidR="002C6BAA" w:rsidRPr="002C6BAA" w:rsidRDefault="002C6BAA" w:rsidP="00CE4321">
      <w:pPr>
        <w:spacing w:line="360" w:lineRule="auto"/>
        <w:ind w:firstLine="709"/>
        <w:jc w:val="both"/>
        <w:rPr>
          <w:sz w:val="28"/>
          <w:szCs w:val="28"/>
          <w:lang w:val="en-US"/>
        </w:rPr>
      </w:pPr>
      <w:r w:rsidRPr="002C6BAA">
        <w:rPr>
          <w:sz w:val="28"/>
          <w:szCs w:val="28"/>
          <w:lang w:val="en-US"/>
        </w:rPr>
        <w:t xml:space="preserve">- </w:t>
      </w:r>
      <w:r w:rsidRPr="002C6BAA">
        <w:rPr>
          <w:sz w:val="28"/>
          <w:szCs w:val="28"/>
        </w:rPr>
        <w:t>Международный</w:t>
      </w:r>
      <w:r w:rsidRPr="002C6BAA">
        <w:rPr>
          <w:sz w:val="28"/>
          <w:szCs w:val="28"/>
          <w:lang w:val="en-US"/>
        </w:rPr>
        <w:t xml:space="preserve"> </w:t>
      </w:r>
      <w:r w:rsidRPr="002C6BAA">
        <w:rPr>
          <w:sz w:val="28"/>
          <w:szCs w:val="28"/>
        </w:rPr>
        <w:t>валютный</w:t>
      </w:r>
      <w:r w:rsidRPr="002C6BAA">
        <w:rPr>
          <w:sz w:val="28"/>
          <w:szCs w:val="28"/>
          <w:lang w:val="en-US"/>
        </w:rPr>
        <w:t xml:space="preserve"> </w:t>
      </w:r>
      <w:r w:rsidRPr="002C6BAA">
        <w:rPr>
          <w:sz w:val="28"/>
          <w:szCs w:val="28"/>
        </w:rPr>
        <w:t>фонд</w:t>
      </w:r>
      <w:r w:rsidRPr="002C6BAA">
        <w:rPr>
          <w:sz w:val="28"/>
          <w:szCs w:val="28"/>
          <w:lang w:val="en-US"/>
        </w:rPr>
        <w:t xml:space="preserve"> (International Monetary Fund, IMF);</w:t>
      </w:r>
    </w:p>
    <w:p w:rsidR="002C6BAA" w:rsidRPr="002C6BAA" w:rsidRDefault="002C6BAA" w:rsidP="00CE4321">
      <w:pPr>
        <w:spacing w:line="360" w:lineRule="auto"/>
        <w:ind w:firstLine="709"/>
        <w:jc w:val="both"/>
        <w:rPr>
          <w:sz w:val="28"/>
          <w:szCs w:val="28"/>
        </w:rPr>
      </w:pPr>
      <w:r w:rsidRPr="002C6BAA">
        <w:rPr>
          <w:sz w:val="28"/>
          <w:szCs w:val="28"/>
        </w:rPr>
        <w:t>- Северный инвестиционный банк (Nordic Investment Bank, NIB).</w:t>
      </w:r>
    </w:p>
    <w:p w:rsidR="002C6BAA" w:rsidRPr="002C6BAA" w:rsidRDefault="002C6BAA" w:rsidP="00CE4321">
      <w:pPr>
        <w:spacing w:line="360" w:lineRule="auto"/>
        <w:ind w:firstLine="709"/>
        <w:jc w:val="both"/>
        <w:rPr>
          <w:sz w:val="28"/>
          <w:szCs w:val="28"/>
        </w:rPr>
      </w:pPr>
      <w:r w:rsidRPr="002C6BAA">
        <w:rPr>
          <w:sz w:val="28"/>
          <w:szCs w:val="28"/>
        </w:rPr>
        <w:t>4. при размещении средств Резервного фонда на депозитах в иностранных банках и кредитных организациях должны выполняться следующие требования:</w:t>
      </w:r>
    </w:p>
    <w:p w:rsidR="002C6BAA" w:rsidRPr="002C6BAA" w:rsidRDefault="002C6BAA" w:rsidP="00CE4321">
      <w:pPr>
        <w:spacing w:line="360" w:lineRule="auto"/>
        <w:ind w:firstLine="709"/>
        <w:jc w:val="both"/>
        <w:rPr>
          <w:sz w:val="28"/>
          <w:szCs w:val="28"/>
        </w:rPr>
      </w:pPr>
      <w:r w:rsidRPr="002C6BAA">
        <w:rPr>
          <w:sz w:val="28"/>
          <w:szCs w:val="28"/>
        </w:rPr>
        <w:t>- иностранный банк или кредитная организация должны иметь рейтинг долгосрочной кредитоспособности не ниже уровня «АА-» по классификации рейтинговых агентств «Фитч Рейтингс» (Fitch-Ratings) или «Стандарт энд Пурс» (Standard &amp; Poor’s) либо не ниже уровня «Аа3» по классификации рейтингового агентства «Мудис Инвесторс Сервис» (Moody’s Investors Service). Если банку или кредитной организации указанными агентствами присвоены разные рейтинги долгосрочной кредитоспособности, то в качестве рейтинга долгосрочной кредитоспособности принимается наименьший из присвоенных;</w:t>
      </w:r>
    </w:p>
    <w:p w:rsidR="002C6BAA" w:rsidRPr="002C6BAA" w:rsidRDefault="002C6BAA" w:rsidP="00CE4321">
      <w:pPr>
        <w:spacing w:line="360" w:lineRule="auto"/>
        <w:ind w:firstLine="709"/>
        <w:jc w:val="both"/>
        <w:rPr>
          <w:sz w:val="28"/>
          <w:szCs w:val="28"/>
        </w:rPr>
      </w:pPr>
      <w:r w:rsidRPr="002C6BAA">
        <w:rPr>
          <w:sz w:val="28"/>
          <w:szCs w:val="28"/>
        </w:rPr>
        <w:t>- нормативы минимального и максимального сроков размещения средств Резервного фонда на депозитах в иностранных банках и кредитных организациях, установленные Министерством финансов Российской Федерации, являются обязательными;</w:t>
      </w:r>
    </w:p>
    <w:p w:rsidR="002C6BAA" w:rsidRPr="002C6BAA" w:rsidRDefault="002C6BAA" w:rsidP="00CE4321">
      <w:pPr>
        <w:spacing w:line="360" w:lineRule="auto"/>
        <w:ind w:firstLine="709"/>
        <w:jc w:val="both"/>
        <w:rPr>
          <w:sz w:val="28"/>
          <w:szCs w:val="28"/>
        </w:rPr>
      </w:pPr>
      <w:r w:rsidRPr="002C6BAA">
        <w:rPr>
          <w:sz w:val="28"/>
          <w:szCs w:val="28"/>
        </w:rPr>
        <w:t>- суммарный объем средств Резервного фонда, размещенных на депозитах в одном иностранном банке или кредитной организации, не должен превышать 25 % общего объема средств Резервного фонда, размещенных на депозитах в иностранных банках и кредитных организациях.</w:t>
      </w:r>
    </w:p>
    <w:p w:rsidR="002C6BAA" w:rsidRPr="002C6BAA" w:rsidRDefault="002C6BAA" w:rsidP="00CE4321">
      <w:pPr>
        <w:spacing w:line="360" w:lineRule="auto"/>
        <w:ind w:firstLine="709"/>
        <w:jc w:val="both"/>
        <w:rPr>
          <w:sz w:val="28"/>
          <w:szCs w:val="28"/>
        </w:rPr>
      </w:pPr>
      <w:r w:rsidRPr="002C6BAA">
        <w:rPr>
          <w:sz w:val="28"/>
          <w:szCs w:val="28"/>
        </w:rPr>
        <w:t>5. Министерство финансов Российской Федерации вправе устанавливать дополнительные требования к долговым обязательствам и депозитам в иностранных банках и кредитных организациях в пределах требований, установленных Правительством Российской Федерации.</w:t>
      </w:r>
    </w:p>
    <w:p w:rsidR="002C6BAA" w:rsidRPr="002C6BAA" w:rsidRDefault="002C6BAA" w:rsidP="00CE4321">
      <w:pPr>
        <w:spacing w:line="360" w:lineRule="auto"/>
        <w:ind w:firstLine="709"/>
        <w:jc w:val="both"/>
        <w:rPr>
          <w:sz w:val="28"/>
          <w:szCs w:val="28"/>
        </w:rPr>
      </w:pPr>
      <w:r w:rsidRPr="002C6BAA">
        <w:rPr>
          <w:sz w:val="28"/>
          <w:szCs w:val="28"/>
        </w:rPr>
        <w:t>Предельный объем использования средств Резервного фонда для финансового обеспечения нефтегазового трансферта утверждается федеральным законом о федеральном бюджете на очередной финансовый год и плановый период. Использование средств Резервного фонда на финансирование нефтегазового трансферта в периоды неблагоприятной конъюнктуры мировых цен на энергоносители позволяет проводить сбалансированную бюджетную политику, обеспечивать стабильное социально-экономическое развитие страны, снижая его зависимость от колебаний на мировых товарно-сырьевых рынках.</w:t>
      </w:r>
    </w:p>
    <w:p w:rsidR="002C6BAA" w:rsidRPr="00CE4321" w:rsidRDefault="002C6BAA" w:rsidP="00CE4321">
      <w:pPr>
        <w:spacing w:line="360" w:lineRule="auto"/>
        <w:ind w:firstLine="709"/>
        <w:jc w:val="both"/>
        <w:rPr>
          <w:sz w:val="28"/>
          <w:szCs w:val="28"/>
        </w:rPr>
      </w:pPr>
      <w:r w:rsidRPr="002C6BAA">
        <w:rPr>
          <w:iCs/>
          <w:sz w:val="28"/>
          <w:szCs w:val="28"/>
        </w:rPr>
        <w:t>С 1 января 2010 г. до 1 января 2014 г. средства Фонда не используются для финансового обеспечения нефтегазового трансферта, а могут направляться на финансовое обеспечение расходов федерального бюджета.</w:t>
      </w:r>
      <w:r w:rsidRPr="00CE4321">
        <w:rPr>
          <w:bCs/>
          <w:iCs/>
          <w:sz w:val="28"/>
          <w:szCs w:val="28"/>
        </w:rPr>
        <w:t>[1]</w:t>
      </w:r>
    </w:p>
    <w:p w:rsidR="002C6BAA" w:rsidRPr="002C6BAA" w:rsidRDefault="002C6BAA" w:rsidP="00CE4321">
      <w:pPr>
        <w:spacing w:line="360" w:lineRule="auto"/>
        <w:ind w:firstLine="709"/>
        <w:jc w:val="both"/>
        <w:rPr>
          <w:sz w:val="28"/>
          <w:szCs w:val="28"/>
        </w:rPr>
      </w:pPr>
      <w:r w:rsidRPr="002C6BAA">
        <w:rPr>
          <w:sz w:val="28"/>
          <w:szCs w:val="28"/>
        </w:rPr>
        <w:t>Использование средств Резервного фонда на досрочное погашение государственного внешнего долга Российской Федерации ориентировано на снижение долговой нагрузки федерального бюджета за счет незапланированных доходов федерального бюджета и экономию средств федерального бюджета за счет сокращения расходов на обслуживание долговых обязательств Российской Федерации.</w:t>
      </w:r>
    </w:p>
    <w:p w:rsidR="002C6BAA" w:rsidRPr="002C6BAA" w:rsidRDefault="002C6BAA" w:rsidP="00CE4321">
      <w:pPr>
        <w:spacing w:line="360" w:lineRule="auto"/>
        <w:ind w:firstLine="709"/>
        <w:jc w:val="both"/>
        <w:rPr>
          <w:sz w:val="28"/>
          <w:szCs w:val="28"/>
        </w:rPr>
      </w:pPr>
      <w:r w:rsidRPr="002C6BAA">
        <w:rPr>
          <w:iCs/>
          <w:sz w:val="28"/>
          <w:szCs w:val="28"/>
        </w:rPr>
        <w:t>Правительство Российской Федерации вправе до 1 января 2014 г. без внесения изменений в федеральный закон о федеральном бюджете направлять средства Фонда на осуществление выплат, сокращающих долговые обязательства, сокращение заимствований и обеспечение сбалансированности федерального бюджета, в том числе с превышением общего объема расходов федерального бюджета в случае и в пределах увеличения бюджетных ассигнований федерального бюджета на предоставление межбюджетных трансфертов в целях обеспечения сбалансированности бюджетов государственных внебюджетных фондов Российской Федерации.</w:t>
      </w:r>
      <w:r w:rsidRPr="00CE4321">
        <w:rPr>
          <w:bCs/>
          <w:iCs/>
          <w:sz w:val="28"/>
          <w:szCs w:val="28"/>
        </w:rPr>
        <w:t>[2]</w:t>
      </w:r>
      <w:r w:rsidRPr="00CE4321">
        <w:rPr>
          <w:sz w:val="28"/>
          <w:szCs w:val="28"/>
        </w:rPr>
        <w:t xml:space="preserve"> </w:t>
      </w:r>
    </w:p>
    <w:p w:rsidR="00EA26D2" w:rsidRPr="000E434B" w:rsidRDefault="00EA26D2" w:rsidP="00CE4321">
      <w:pPr>
        <w:spacing w:line="360" w:lineRule="auto"/>
        <w:ind w:firstLine="709"/>
        <w:jc w:val="both"/>
        <w:rPr>
          <w:sz w:val="28"/>
          <w:szCs w:val="28"/>
        </w:rPr>
      </w:pPr>
      <w:r w:rsidRPr="000E434B">
        <w:rPr>
          <w:sz w:val="28"/>
          <w:szCs w:val="28"/>
        </w:rPr>
        <w:t>Производство, реализация на внутреннем рынке и экспорт нефти в 200</w:t>
      </w:r>
      <w:r w:rsidR="003417B0" w:rsidRPr="000E434B">
        <w:rPr>
          <w:sz w:val="28"/>
          <w:szCs w:val="28"/>
        </w:rPr>
        <w:t>9</w:t>
      </w:r>
      <w:r w:rsidR="00C839E4" w:rsidRPr="000E434B">
        <w:rPr>
          <w:sz w:val="28"/>
          <w:szCs w:val="28"/>
        </w:rPr>
        <w:t> г</w:t>
      </w:r>
      <w:r w:rsidRPr="000E434B">
        <w:rPr>
          <w:sz w:val="28"/>
          <w:szCs w:val="28"/>
        </w:rPr>
        <w:t>. характеризуется следующими данными: добыча составила 469,6 млн. тонн, что по отношению к 200</w:t>
      </w:r>
      <w:r w:rsidR="003417B0" w:rsidRPr="000E434B">
        <w:rPr>
          <w:sz w:val="28"/>
          <w:szCs w:val="28"/>
        </w:rPr>
        <w:t>8</w:t>
      </w:r>
      <w:r w:rsidR="00C839E4" w:rsidRPr="000E434B">
        <w:rPr>
          <w:sz w:val="28"/>
          <w:szCs w:val="28"/>
        </w:rPr>
        <w:t> г</w:t>
      </w:r>
      <w:r w:rsidRPr="000E434B">
        <w:rPr>
          <w:sz w:val="28"/>
          <w:szCs w:val="28"/>
        </w:rPr>
        <w:t xml:space="preserve">. </w:t>
      </w:r>
      <w:r w:rsidR="00C839E4" w:rsidRPr="000E434B">
        <w:rPr>
          <w:sz w:val="28"/>
          <w:szCs w:val="28"/>
        </w:rPr>
        <w:t xml:space="preserve">– </w:t>
      </w:r>
      <w:r w:rsidRPr="000E434B">
        <w:rPr>
          <w:sz w:val="28"/>
          <w:szCs w:val="28"/>
        </w:rPr>
        <w:t>102,</w:t>
      </w:r>
      <w:r w:rsidR="00C839E4" w:rsidRPr="000E434B">
        <w:rPr>
          <w:sz w:val="28"/>
          <w:szCs w:val="28"/>
        </w:rPr>
        <w:t>2%</w:t>
      </w:r>
      <w:r w:rsidRPr="000E434B">
        <w:rPr>
          <w:sz w:val="28"/>
          <w:szCs w:val="28"/>
        </w:rPr>
        <w:t xml:space="preserve">, реализация на внутреннем рынке </w:t>
      </w:r>
      <w:r w:rsidR="00C839E4" w:rsidRPr="000E434B">
        <w:rPr>
          <w:sz w:val="28"/>
          <w:szCs w:val="28"/>
        </w:rPr>
        <w:t xml:space="preserve">– </w:t>
      </w:r>
      <w:r w:rsidRPr="000E434B">
        <w:rPr>
          <w:sz w:val="28"/>
          <w:szCs w:val="28"/>
        </w:rPr>
        <w:t>207,4 млн. тонн (106.</w:t>
      </w:r>
      <w:r w:rsidR="00C839E4" w:rsidRPr="000E434B">
        <w:rPr>
          <w:sz w:val="28"/>
          <w:szCs w:val="28"/>
        </w:rPr>
        <w:t>2%</w:t>
      </w:r>
      <w:r w:rsidRPr="000E434B">
        <w:rPr>
          <w:sz w:val="28"/>
          <w:szCs w:val="28"/>
        </w:rPr>
        <w:t xml:space="preserve">), экспорт </w:t>
      </w:r>
      <w:r w:rsidR="00C839E4" w:rsidRPr="000E434B">
        <w:rPr>
          <w:sz w:val="28"/>
          <w:szCs w:val="28"/>
        </w:rPr>
        <w:t xml:space="preserve">– </w:t>
      </w:r>
      <w:r w:rsidRPr="000E434B">
        <w:rPr>
          <w:sz w:val="28"/>
          <w:szCs w:val="28"/>
        </w:rPr>
        <w:t>252,5 млн. тонн (9</w:t>
      </w:r>
      <w:r w:rsidR="00C839E4" w:rsidRPr="000E434B">
        <w:rPr>
          <w:sz w:val="28"/>
          <w:szCs w:val="28"/>
        </w:rPr>
        <w:t>8%</w:t>
      </w:r>
      <w:r w:rsidRPr="000E434B">
        <w:rPr>
          <w:sz w:val="28"/>
          <w:szCs w:val="28"/>
        </w:rPr>
        <w:t>).</w:t>
      </w:r>
    </w:p>
    <w:p w:rsidR="00EA26D2" w:rsidRPr="000E434B" w:rsidRDefault="00EA26D2" w:rsidP="00CE4321">
      <w:pPr>
        <w:spacing w:line="360" w:lineRule="auto"/>
        <w:ind w:firstLine="709"/>
        <w:jc w:val="both"/>
        <w:rPr>
          <w:sz w:val="28"/>
          <w:szCs w:val="28"/>
        </w:rPr>
      </w:pPr>
      <w:r w:rsidRPr="000E434B">
        <w:rPr>
          <w:sz w:val="28"/>
          <w:szCs w:val="28"/>
        </w:rPr>
        <w:t>В последнее время применительно к описанию российской экономике все чаще стали применять термин &lt;голландская болезнь&gt;, подразумевая под этим понятием в широком смысле зависимость экономики от конъюнктуры мировых рынков минерального сырья.</w:t>
      </w:r>
    </w:p>
    <w:p w:rsidR="00C839E4" w:rsidRPr="000E434B" w:rsidRDefault="00EA26D2" w:rsidP="00CE4321">
      <w:pPr>
        <w:spacing w:line="360" w:lineRule="auto"/>
        <w:ind w:firstLine="709"/>
        <w:jc w:val="both"/>
        <w:rPr>
          <w:sz w:val="28"/>
          <w:szCs w:val="28"/>
        </w:rPr>
      </w:pPr>
      <w:r w:rsidRPr="000E434B">
        <w:rPr>
          <w:sz w:val="28"/>
          <w:szCs w:val="28"/>
        </w:rPr>
        <w:t>Термин &lt;голландская болезнь&gt; возник после известных экономических событий в Голландии, которая владеет крупнейшим в Европе газовым месторождением Гронинген и многими месторождениями в Северном море. В 1960</w:t>
      </w:r>
      <w:r w:rsidR="00C839E4" w:rsidRPr="000E434B">
        <w:rPr>
          <w:sz w:val="28"/>
          <w:szCs w:val="28"/>
        </w:rPr>
        <w:t>-е</w:t>
      </w:r>
      <w:r w:rsidRPr="000E434B">
        <w:rPr>
          <w:sz w:val="28"/>
          <w:szCs w:val="28"/>
        </w:rPr>
        <w:t xml:space="preserve"> годы Гронинген оказался &lt;истинной золотой жилой&gt;.</w:t>
      </w:r>
    </w:p>
    <w:p w:rsidR="00EA26D2" w:rsidRPr="000E434B" w:rsidRDefault="00EA26D2" w:rsidP="00CE4321">
      <w:pPr>
        <w:spacing w:line="360" w:lineRule="auto"/>
        <w:ind w:firstLine="709"/>
        <w:jc w:val="both"/>
        <w:rPr>
          <w:sz w:val="28"/>
          <w:szCs w:val="28"/>
        </w:rPr>
      </w:pPr>
      <w:r w:rsidRPr="000E434B">
        <w:rPr>
          <w:sz w:val="28"/>
          <w:szCs w:val="28"/>
        </w:rPr>
        <w:t>Но значительный приток денег в экономику привел к неожиданным последствиям: возрос уровень инфляции, безработицы, наблюдался спад производства на фоне экономического роста. Этот феномен заинтересовал экономистов и впервые был описан в 1977 году в журнале</w:t>
      </w:r>
      <w:r w:rsidR="00C839E4" w:rsidRPr="000E434B">
        <w:rPr>
          <w:sz w:val="28"/>
          <w:szCs w:val="28"/>
        </w:rPr>
        <w:t>.</w:t>
      </w:r>
      <w:r w:rsidRPr="000E434B">
        <w:rPr>
          <w:sz w:val="28"/>
          <w:szCs w:val="28"/>
        </w:rPr>
        <w:t xml:space="preserve"> С конца 1970</w:t>
      </w:r>
      <w:r w:rsidR="00C839E4" w:rsidRPr="000E434B">
        <w:rPr>
          <w:sz w:val="28"/>
          <w:szCs w:val="28"/>
        </w:rPr>
        <w:t>-х</w:t>
      </w:r>
      <w:r w:rsidRPr="000E434B">
        <w:rPr>
          <w:sz w:val="28"/>
          <w:szCs w:val="28"/>
        </w:rPr>
        <w:t xml:space="preserve"> годов зарубежные ученые </w:t>
      </w:r>
      <w:r w:rsidR="00C839E4" w:rsidRPr="000E434B">
        <w:rPr>
          <w:sz w:val="28"/>
          <w:szCs w:val="28"/>
        </w:rPr>
        <w:t>М. Корден</w:t>
      </w:r>
      <w:r w:rsidRPr="000E434B">
        <w:rPr>
          <w:sz w:val="28"/>
          <w:szCs w:val="28"/>
        </w:rPr>
        <w:t xml:space="preserve">, </w:t>
      </w:r>
      <w:r w:rsidR="00C839E4" w:rsidRPr="000E434B">
        <w:rPr>
          <w:sz w:val="28"/>
          <w:szCs w:val="28"/>
        </w:rPr>
        <w:t>П. Нири</w:t>
      </w:r>
      <w:r w:rsidRPr="000E434B">
        <w:rPr>
          <w:sz w:val="28"/>
          <w:szCs w:val="28"/>
        </w:rPr>
        <w:t xml:space="preserve">, </w:t>
      </w:r>
      <w:r w:rsidR="00C839E4" w:rsidRPr="000E434B">
        <w:rPr>
          <w:sz w:val="28"/>
          <w:szCs w:val="28"/>
        </w:rPr>
        <w:t>В. Сальтер</w:t>
      </w:r>
      <w:r w:rsidRPr="000E434B">
        <w:rPr>
          <w:sz w:val="28"/>
          <w:szCs w:val="28"/>
        </w:rPr>
        <w:t xml:space="preserve">, </w:t>
      </w:r>
      <w:r w:rsidR="00C839E4" w:rsidRPr="000E434B">
        <w:rPr>
          <w:sz w:val="28"/>
          <w:szCs w:val="28"/>
        </w:rPr>
        <w:t>С. Вайнбергер</w:t>
      </w:r>
      <w:r w:rsidRPr="000E434B">
        <w:rPr>
          <w:sz w:val="28"/>
          <w:szCs w:val="28"/>
        </w:rPr>
        <w:t xml:space="preserve">, </w:t>
      </w:r>
      <w:r w:rsidR="00C839E4" w:rsidRPr="000E434B">
        <w:rPr>
          <w:sz w:val="28"/>
          <w:szCs w:val="28"/>
        </w:rPr>
        <w:t>П. Дазгупта</w:t>
      </w:r>
      <w:r w:rsidRPr="000E434B">
        <w:rPr>
          <w:sz w:val="28"/>
          <w:szCs w:val="28"/>
        </w:rPr>
        <w:t xml:space="preserve">, </w:t>
      </w:r>
      <w:r w:rsidR="00C839E4" w:rsidRPr="000E434B">
        <w:rPr>
          <w:sz w:val="28"/>
          <w:szCs w:val="28"/>
        </w:rPr>
        <w:t>Р. Иствуд</w:t>
      </w:r>
      <w:r w:rsidRPr="000E434B">
        <w:rPr>
          <w:sz w:val="28"/>
          <w:szCs w:val="28"/>
        </w:rPr>
        <w:t xml:space="preserve"> вели активные исследования механизмов возникновения и протекания &lt;голландской болезни&gt;. На основе теорий международной торговли, спроса и предложения факторов производства, макроэкономической динамики была создана модель стремительно развивающегося сектора, которая позволяет исследовать последствия бума в секторе экономики, производящим любой вид продукции. Такими секторами, как правило, являются сырьевые.</w:t>
      </w:r>
    </w:p>
    <w:p w:rsidR="00EA26D2" w:rsidRPr="000E434B" w:rsidRDefault="00EA26D2" w:rsidP="00CE4321">
      <w:pPr>
        <w:spacing w:line="360" w:lineRule="auto"/>
        <w:ind w:firstLine="709"/>
        <w:jc w:val="both"/>
        <w:rPr>
          <w:sz w:val="28"/>
          <w:szCs w:val="28"/>
        </w:rPr>
      </w:pPr>
      <w:r w:rsidRPr="000E434B">
        <w:rPr>
          <w:sz w:val="28"/>
          <w:szCs w:val="28"/>
        </w:rPr>
        <w:t>Учеными было замечено, что активное расширение производства и экспорта в одних отраслях неизбежно ведет к застою или даже падению производства в других отраслях и необходимости импорта. Таким образом, приоритетный сектор оттягивает ресурсы из промышленности, ухудшая положение всей экономики в целом. Модель стремительно развивающегося сектора позволила выявить и классифицировать ряд эффектов, через которые проявляется &lt;голландская болезнь&gt; в экономике:</w:t>
      </w:r>
    </w:p>
    <w:p w:rsidR="00EA26D2" w:rsidRPr="000E434B" w:rsidRDefault="00EA26D2" w:rsidP="00CE4321">
      <w:pPr>
        <w:spacing w:line="360" w:lineRule="auto"/>
        <w:ind w:firstLine="709"/>
        <w:jc w:val="both"/>
        <w:rPr>
          <w:sz w:val="28"/>
          <w:szCs w:val="28"/>
        </w:rPr>
      </w:pPr>
      <w:r w:rsidRPr="000E434B">
        <w:rPr>
          <w:sz w:val="28"/>
          <w:szCs w:val="28"/>
        </w:rPr>
        <w:t>1.</w:t>
      </w:r>
      <w:r w:rsidR="00C839E4" w:rsidRPr="000E434B">
        <w:rPr>
          <w:sz w:val="28"/>
          <w:szCs w:val="28"/>
        </w:rPr>
        <w:t xml:space="preserve"> </w:t>
      </w:r>
      <w:r w:rsidRPr="000E434B">
        <w:rPr>
          <w:sz w:val="28"/>
          <w:szCs w:val="28"/>
        </w:rPr>
        <w:t>&lt;Голландская болезнь&gt; проявляется тем сильнее, чем больше времени потребуется на устранение причин ее возникновения, поэтому более поздние ее стадии более разрушительны для экономики.</w:t>
      </w:r>
    </w:p>
    <w:p w:rsidR="00C839E4" w:rsidRPr="000E434B" w:rsidRDefault="00EA26D2" w:rsidP="00CE4321">
      <w:pPr>
        <w:spacing w:line="360" w:lineRule="auto"/>
        <w:ind w:firstLine="709"/>
        <w:jc w:val="both"/>
        <w:rPr>
          <w:sz w:val="28"/>
          <w:szCs w:val="28"/>
        </w:rPr>
      </w:pPr>
      <w:r w:rsidRPr="000E434B">
        <w:rPr>
          <w:sz w:val="28"/>
          <w:szCs w:val="28"/>
        </w:rPr>
        <w:t>2.</w:t>
      </w:r>
      <w:r w:rsidR="00C839E4" w:rsidRPr="000E434B">
        <w:rPr>
          <w:sz w:val="28"/>
          <w:szCs w:val="28"/>
        </w:rPr>
        <w:t xml:space="preserve"> </w:t>
      </w:r>
      <w:r w:rsidRPr="000E434B">
        <w:rPr>
          <w:sz w:val="28"/>
          <w:szCs w:val="28"/>
        </w:rPr>
        <w:t>Высокая дифференциация рентабельности. Асимметричность роста отраслей и неравномерность распределения доходов.</w:t>
      </w:r>
    </w:p>
    <w:p w:rsidR="00EA26D2" w:rsidRPr="000E434B" w:rsidRDefault="00EA26D2" w:rsidP="00CE4321">
      <w:pPr>
        <w:spacing w:line="360" w:lineRule="auto"/>
        <w:ind w:firstLine="709"/>
        <w:jc w:val="both"/>
        <w:rPr>
          <w:sz w:val="28"/>
          <w:szCs w:val="28"/>
        </w:rPr>
      </w:pPr>
      <w:r w:rsidRPr="000E434B">
        <w:rPr>
          <w:sz w:val="28"/>
          <w:szCs w:val="28"/>
        </w:rPr>
        <w:t>3.</w:t>
      </w:r>
      <w:r w:rsidR="00C839E4" w:rsidRPr="000E434B">
        <w:rPr>
          <w:sz w:val="28"/>
          <w:szCs w:val="28"/>
        </w:rPr>
        <w:t xml:space="preserve"> </w:t>
      </w:r>
      <w:r w:rsidRPr="000E434B">
        <w:rPr>
          <w:sz w:val="28"/>
          <w:szCs w:val="28"/>
        </w:rPr>
        <w:t>Изменения в денежном секторе, вызванные увеличением валютной выручки.</w:t>
      </w:r>
    </w:p>
    <w:p w:rsidR="003417B0" w:rsidRPr="000E434B" w:rsidRDefault="00EA26D2" w:rsidP="00CE4321">
      <w:pPr>
        <w:spacing w:line="360" w:lineRule="auto"/>
        <w:ind w:firstLine="709"/>
        <w:jc w:val="both"/>
        <w:rPr>
          <w:sz w:val="28"/>
          <w:szCs w:val="28"/>
        </w:rPr>
      </w:pPr>
      <w:r w:rsidRPr="000E434B">
        <w:rPr>
          <w:sz w:val="28"/>
          <w:szCs w:val="28"/>
        </w:rPr>
        <w:t>В России о феномене &lt;голландской болезни&gt; впервые заговорили на официальном уровне в Министерстве экономического развития и торговли в 2001</w:t>
      </w:r>
      <w:r w:rsidR="00C839E4" w:rsidRPr="000E434B">
        <w:rPr>
          <w:sz w:val="28"/>
          <w:szCs w:val="28"/>
        </w:rPr>
        <w:t> г</w:t>
      </w:r>
      <w:r w:rsidRPr="000E434B">
        <w:rPr>
          <w:sz w:val="28"/>
          <w:szCs w:val="28"/>
        </w:rPr>
        <w:t>. Рост экспортной выручки позволяет наращивать капитальные вложения в добычу нефти и газа без увеличения производства. Средний показатель уровеня инфляции за 2000</w:t>
      </w:r>
      <w:r w:rsidR="00C839E4" w:rsidRPr="000E434B">
        <w:rPr>
          <w:sz w:val="28"/>
          <w:szCs w:val="28"/>
        </w:rPr>
        <w:t>–2</w:t>
      </w:r>
      <w:r w:rsidRPr="000E434B">
        <w:rPr>
          <w:sz w:val="28"/>
          <w:szCs w:val="28"/>
        </w:rPr>
        <w:t>003 годы составил для России 16,</w:t>
      </w:r>
      <w:r w:rsidR="00C839E4" w:rsidRPr="000E434B">
        <w:rPr>
          <w:sz w:val="28"/>
          <w:szCs w:val="28"/>
        </w:rPr>
        <w:t>5%</w:t>
      </w:r>
      <w:r w:rsidRPr="000E434B">
        <w:rPr>
          <w:sz w:val="28"/>
          <w:szCs w:val="28"/>
        </w:rPr>
        <w:t xml:space="preserve"> в год. Национальная валюта Российской Федерации не стабильна, причем дальнейшее повышение реально эффективного курса будет оказывать серьезное влияние на снижение конкурентноспособности российской экономики.</w:t>
      </w:r>
    </w:p>
    <w:p w:rsidR="00EA26D2" w:rsidRPr="000E434B" w:rsidRDefault="00EA26D2" w:rsidP="00CE4321">
      <w:pPr>
        <w:spacing w:line="360" w:lineRule="auto"/>
        <w:ind w:firstLine="709"/>
        <w:jc w:val="both"/>
        <w:rPr>
          <w:sz w:val="28"/>
          <w:szCs w:val="28"/>
        </w:rPr>
      </w:pPr>
      <w:r w:rsidRPr="000E434B">
        <w:rPr>
          <w:sz w:val="28"/>
          <w:szCs w:val="28"/>
        </w:rPr>
        <w:t xml:space="preserve">Проанализировав сложившуюся ситуацию можно сказать, что в России наблюдаются все эффекты &lt;голландской болезни&gt;, о которых шла речь выше. В связи со сложившимися обстоятельствами Федеральным законом от 23 декабря 2003 года было принято решение образовать </w:t>
      </w:r>
      <w:r w:rsidR="000E434B" w:rsidRPr="000E434B">
        <w:rPr>
          <w:sz w:val="28"/>
          <w:szCs w:val="28"/>
        </w:rPr>
        <w:t xml:space="preserve">Резервный </w:t>
      </w:r>
      <w:r w:rsidRPr="000E434B">
        <w:rPr>
          <w:sz w:val="28"/>
          <w:szCs w:val="28"/>
        </w:rPr>
        <w:t>фонд Российской Федерации.</w:t>
      </w:r>
    </w:p>
    <w:p w:rsidR="00EA26D2" w:rsidRPr="000E434B" w:rsidRDefault="00EA26D2" w:rsidP="00CE4321">
      <w:pPr>
        <w:spacing w:line="360" w:lineRule="auto"/>
        <w:ind w:firstLine="709"/>
        <w:jc w:val="both"/>
        <w:rPr>
          <w:sz w:val="28"/>
          <w:szCs w:val="28"/>
        </w:rPr>
      </w:pPr>
      <w:r w:rsidRPr="000E434B">
        <w:rPr>
          <w:sz w:val="28"/>
          <w:szCs w:val="28"/>
        </w:rPr>
        <w:t>До России опыт формирования фонд</w:t>
      </w:r>
      <w:r w:rsidR="003417B0" w:rsidRPr="000E434B">
        <w:rPr>
          <w:sz w:val="28"/>
          <w:szCs w:val="28"/>
        </w:rPr>
        <w:t>о</w:t>
      </w:r>
      <w:r w:rsidRPr="000E434B">
        <w:rPr>
          <w:sz w:val="28"/>
          <w:szCs w:val="28"/>
        </w:rPr>
        <w:t>в невозобновляемых ресурсов приобрели ряд стран-экспортеров природного сырья. Первые такие фонды стали появляться в 1970</w:t>
      </w:r>
      <w:r w:rsidR="00C839E4" w:rsidRPr="000E434B">
        <w:rPr>
          <w:sz w:val="28"/>
          <w:szCs w:val="28"/>
        </w:rPr>
        <w:t>-е</w:t>
      </w:r>
      <w:r w:rsidRPr="000E434B">
        <w:rPr>
          <w:sz w:val="28"/>
          <w:szCs w:val="28"/>
        </w:rPr>
        <w:t xml:space="preserve"> годы в странах, экономика которых в значительной степени зависит от экспорта минерального сырья.</w:t>
      </w:r>
    </w:p>
    <w:p w:rsidR="00EC2C2F" w:rsidRPr="000E434B" w:rsidRDefault="00EC2C2F" w:rsidP="00CE4321">
      <w:pPr>
        <w:spacing w:line="360" w:lineRule="auto"/>
        <w:ind w:firstLine="709"/>
        <w:jc w:val="both"/>
        <w:rPr>
          <w:rStyle w:val="editsection"/>
          <w:sz w:val="28"/>
          <w:szCs w:val="28"/>
        </w:rPr>
      </w:pPr>
    </w:p>
    <w:p w:rsidR="001A5E63" w:rsidRPr="000E434B" w:rsidRDefault="001A5E63" w:rsidP="00CE4321">
      <w:pPr>
        <w:pStyle w:val="1"/>
        <w:spacing w:before="0" w:beforeAutospacing="0" w:after="0" w:afterAutospacing="0" w:line="360" w:lineRule="auto"/>
        <w:ind w:firstLine="709"/>
        <w:jc w:val="both"/>
        <w:rPr>
          <w:rStyle w:val="editsection"/>
          <w:sz w:val="28"/>
          <w:szCs w:val="28"/>
        </w:rPr>
      </w:pPr>
      <w:bookmarkStart w:id="14" w:name="_Toc272765893"/>
    </w:p>
    <w:p w:rsidR="00087341" w:rsidRPr="00CE4321" w:rsidRDefault="001A5E63" w:rsidP="00CE4321">
      <w:pPr>
        <w:pStyle w:val="1"/>
        <w:spacing w:before="0" w:beforeAutospacing="0" w:after="0" w:afterAutospacing="0" w:line="360" w:lineRule="auto"/>
        <w:jc w:val="both"/>
        <w:rPr>
          <w:b w:val="0"/>
          <w:sz w:val="32"/>
        </w:rPr>
      </w:pPr>
      <w:r w:rsidRPr="000E434B">
        <w:rPr>
          <w:rStyle w:val="editsection"/>
          <w:sz w:val="28"/>
          <w:szCs w:val="28"/>
        </w:rPr>
        <w:br w:type="page"/>
      </w:r>
      <w:bookmarkStart w:id="15" w:name="_Toc295816788"/>
      <w:r w:rsidR="00087341" w:rsidRPr="00CE4321">
        <w:rPr>
          <w:b w:val="0"/>
          <w:sz w:val="32"/>
        </w:rPr>
        <w:t>3</w:t>
      </w:r>
      <w:r w:rsidR="00CE4321">
        <w:rPr>
          <w:b w:val="0"/>
          <w:sz w:val="32"/>
        </w:rPr>
        <w:t>. ПРОБЛЕМЫ И ПЕРСПЕКТИВЫ РАЗВИТИЯ РЕЗЕРВНОГО ФОНДА</w:t>
      </w:r>
      <w:bookmarkEnd w:id="14"/>
      <w:bookmarkEnd w:id="15"/>
    </w:p>
    <w:p w:rsidR="001A5E63" w:rsidRPr="000E434B" w:rsidRDefault="001A5E63" w:rsidP="00CE4321">
      <w:pPr>
        <w:pStyle w:val="1"/>
        <w:spacing w:before="0" w:beforeAutospacing="0" w:after="0" w:afterAutospacing="0" w:line="360" w:lineRule="auto"/>
        <w:ind w:firstLine="709"/>
        <w:jc w:val="both"/>
        <w:rPr>
          <w:rStyle w:val="editsection"/>
          <w:sz w:val="28"/>
          <w:szCs w:val="28"/>
        </w:rPr>
      </w:pPr>
      <w:bookmarkStart w:id="16" w:name="_Toc272765894"/>
    </w:p>
    <w:bookmarkEnd w:id="16"/>
    <w:p w:rsidR="00B37D7B" w:rsidRPr="000E434B" w:rsidRDefault="00B37D7B" w:rsidP="00CE4321">
      <w:pPr>
        <w:autoSpaceDE w:val="0"/>
        <w:autoSpaceDN w:val="0"/>
        <w:adjustRightInd w:val="0"/>
        <w:spacing w:line="360" w:lineRule="auto"/>
        <w:ind w:firstLine="709"/>
        <w:jc w:val="both"/>
        <w:rPr>
          <w:sz w:val="28"/>
          <w:szCs w:val="28"/>
        </w:rPr>
      </w:pPr>
      <w:r w:rsidRPr="000E434B">
        <w:rPr>
          <w:sz w:val="28"/>
          <w:szCs w:val="28"/>
        </w:rPr>
        <w:t>Причиной повышенного внимания экономистов, финансистов, юристов, социологов, политологов, наконец, широкой общественности не только к механизму управления Фондом, но даже к самой идее его создания являются существенные расхождения, наблюдаемые в теории и практике его функционирования. Несмотря на большой, накопленный в научном мире опыт дискуссий по вопросам существования Фонда, возможно еще рассмотрение некоторых проблем, которые, на наш взгляд, можно отнести к основным, связанным с реформированием Фонда. Наряду с положительным позиционированием Фонда, на формирование благоприятного имиджа отрицательно влияют несколько факторов, в частности: а) неэффективное правовое обеспечение; б) сомнительная экономическая целесообразность; в) организационные проблемы и г) высокий рост недовольства налогоплательщиков и психоэмоциональной напряженности в обществе.</w:t>
      </w:r>
    </w:p>
    <w:p w:rsidR="00087341" w:rsidRPr="000E434B" w:rsidRDefault="00087341" w:rsidP="00CE4321">
      <w:pPr>
        <w:spacing w:line="360" w:lineRule="auto"/>
        <w:ind w:firstLine="709"/>
        <w:jc w:val="both"/>
        <w:rPr>
          <w:sz w:val="28"/>
          <w:szCs w:val="28"/>
        </w:rPr>
      </w:pPr>
      <w:r w:rsidRPr="000E434B">
        <w:rPr>
          <w:sz w:val="28"/>
          <w:szCs w:val="28"/>
        </w:rPr>
        <w:t xml:space="preserve">Денежные потоки </w:t>
      </w:r>
      <w:r w:rsidR="00C839E4" w:rsidRPr="000E434B">
        <w:rPr>
          <w:sz w:val="28"/>
          <w:szCs w:val="28"/>
        </w:rPr>
        <w:t xml:space="preserve">– </w:t>
      </w:r>
      <w:r w:rsidRPr="000E434B">
        <w:rPr>
          <w:sz w:val="28"/>
          <w:szCs w:val="28"/>
        </w:rPr>
        <w:t xml:space="preserve">штука загадочная. Понять как, куда, а, главное, по чьему распоряжению движутся бюджетные средства, как оказалось, также является тайной за семью печатями. Особенно всех волнует ситуация со </w:t>
      </w:r>
      <w:r w:rsidR="000E434B" w:rsidRPr="000E434B">
        <w:rPr>
          <w:rStyle w:val="a5"/>
          <w:b w:val="0"/>
          <w:sz w:val="28"/>
          <w:szCs w:val="28"/>
        </w:rPr>
        <w:t xml:space="preserve">Резервным </w:t>
      </w:r>
      <w:r w:rsidRPr="000E434B">
        <w:rPr>
          <w:rStyle w:val="a5"/>
          <w:b w:val="0"/>
          <w:sz w:val="28"/>
          <w:szCs w:val="28"/>
        </w:rPr>
        <w:t xml:space="preserve"> фондом</w:t>
      </w:r>
      <w:r w:rsidRPr="000E434B">
        <w:rPr>
          <w:sz w:val="28"/>
          <w:szCs w:val="28"/>
        </w:rPr>
        <w:t>, куда стекаются сверхдоходы от экспорта нефти.</w:t>
      </w:r>
    </w:p>
    <w:p w:rsidR="00087341" w:rsidRPr="000E434B" w:rsidRDefault="00087341" w:rsidP="00CE4321">
      <w:pPr>
        <w:spacing w:line="360" w:lineRule="auto"/>
        <w:ind w:firstLine="709"/>
        <w:jc w:val="both"/>
        <w:rPr>
          <w:sz w:val="28"/>
          <w:szCs w:val="28"/>
        </w:rPr>
      </w:pPr>
      <w:r w:rsidRPr="000E434B">
        <w:rPr>
          <w:sz w:val="28"/>
          <w:szCs w:val="28"/>
        </w:rPr>
        <w:t xml:space="preserve">Точной информации о его состоянии практически нет. Слухи ходят разные – вплоть до того, что </w:t>
      </w:r>
      <w:r w:rsidR="002C6BAA" w:rsidRPr="000E434B">
        <w:rPr>
          <w:sz w:val="28"/>
          <w:szCs w:val="28"/>
        </w:rPr>
        <w:t>Фонд</w:t>
      </w:r>
      <w:r w:rsidRPr="000E434B">
        <w:rPr>
          <w:sz w:val="28"/>
          <w:szCs w:val="28"/>
        </w:rPr>
        <w:t xml:space="preserve"> «под шумок» давно разворовали. Такие сомнения гложут даже депутатов Государственной думы. Последние, правда, не стали гадать на кофейной гуще и решили разобраться в ситуации с бюджетными средствами.</w:t>
      </w:r>
    </w:p>
    <w:p w:rsidR="00087341" w:rsidRPr="000E434B" w:rsidRDefault="00087341" w:rsidP="00CE4321">
      <w:pPr>
        <w:spacing w:line="360" w:lineRule="auto"/>
        <w:ind w:firstLine="709"/>
        <w:jc w:val="both"/>
        <w:rPr>
          <w:sz w:val="28"/>
          <w:szCs w:val="28"/>
        </w:rPr>
      </w:pPr>
      <w:r w:rsidRPr="000E434B">
        <w:rPr>
          <w:sz w:val="28"/>
          <w:szCs w:val="28"/>
        </w:rPr>
        <w:t>На очередном заседании депутат Сергей Попов поднял вопрос о ситуа</w:t>
      </w:r>
      <w:r w:rsidR="000E434B" w:rsidRPr="000E434B">
        <w:rPr>
          <w:sz w:val="28"/>
          <w:szCs w:val="28"/>
        </w:rPr>
        <w:t xml:space="preserve">ции с Резервным </w:t>
      </w:r>
      <w:r w:rsidRPr="000E434B">
        <w:rPr>
          <w:sz w:val="28"/>
          <w:szCs w:val="28"/>
        </w:rPr>
        <w:t>фондом. Дело в том, что российский фонд, в который поступает часть доходов от нефтяного экспорта во время рыночной активности, был создан в начале 2004 года. В Бюджетный кодекс на этот счёт была внесена глава, регулирующая отношения, связанные с фондом.</w:t>
      </w:r>
    </w:p>
    <w:p w:rsidR="00087341" w:rsidRPr="000E434B" w:rsidRDefault="00087341" w:rsidP="00CE4321">
      <w:pPr>
        <w:spacing w:line="360" w:lineRule="auto"/>
        <w:ind w:firstLine="709"/>
        <w:jc w:val="both"/>
        <w:rPr>
          <w:sz w:val="28"/>
          <w:szCs w:val="28"/>
        </w:rPr>
      </w:pPr>
      <w:r w:rsidRPr="000E434B">
        <w:rPr>
          <w:sz w:val="28"/>
          <w:szCs w:val="28"/>
        </w:rPr>
        <w:t xml:space="preserve">В частности, в ней оговаривалось, что </w:t>
      </w:r>
      <w:r w:rsidR="005B1A53" w:rsidRPr="000E434B">
        <w:rPr>
          <w:sz w:val="28"/>
          <w:szCs w:val="28"/>
        </w:rPr>
        <w:t xml:space="preserve">управление </w:t>
      </w:r>
      <w:r w:rsidRPr="000E434B">
        <w:rPr>
          <w:sz w:val="28"/>
          <w:szCs w:val="28"/>
        </w:rPr>
        <w:t>осуществляется Министерством финансов в порядке, устанавливаемым Правительством Российской Федерации. Однако, как рассказал «ПРАВДЕ</w:t>
      </w:r>
      <w:r w:rsidR="00C839E4" w:rsidRPr="000E434B">
        <w:rPr>
          <w:sz w:val="28"/>
          <w:szCs w:val="28"/>
        </w:rPr>
        <w:t>. Ру</w:t>
      </w:r>
      <w:r w:rsidRPr="000E434B">
        <w:rPr>
          <w:sz w:val="28"/>
          <w:szCs w:val="28"/>
        </w:rPr>
        <w:t xml:space="preserve">» Сергей Попов, до сих пор этот порядок не определен. В Минфине могут рассуждать следующим образом: управлять средствами </w:t>
      </w:r>
      <w:r w:rsidR="002C6BAA" w:rsidRPr="000E434B">
        <w:rPr>
          <w:sz w:val="28"/>
          <w:szCs w:val="28"/>
        </w:rPr>
        <w:t>Фонд</w:t>
      </w:r>
      <w:r w:rsidRPr="000E434B">
        <w:rPr>
          <w:sz w:val="28"/>
          <w:szCs w:val="28"/>
        </w:rPr>
        <w:t>а на законных основаниях можно при условии соответствующего постановления Правительства, а раз его нет, то и управлять не надо.</w:t>
      </w:r>
    </w:p>
    <w:p w:rsidR="00087341" w:rsidRPr="000E434B" w:rsidRDefault="00087341" w:rsidP="00CE4321">
      <w:pPr>
        <w:spacing w:line="360" w:lineRule="auto"/>
        <w:ind w:firstLine="709"/>
        <w:jc w:val="both"/>
        <w:rPr>
          <w:sz w:val="28"/>
          <w:szCs w:val="28"/>
        </w:rPr>
      </w:pPr>
      <w:r w:rsidRPr="000E434B">
        <w:rPr>
          <w:sz w:val="28"/>
          <w:szCs w:val="28"/>
        </w:rPr>
        <w:t xml:space="preserve">В результате, депутаты Госдумы согласились с доводами своего коллеги и поручили комитету по бюджету и налогам запросить в </w:t>
      </w:r>
      <w:r w:rsidRPr="00AA04E4">
        <w:rPr>
          <w:sz w:val="28"/>
          <w:szCs w:val="28"/>
        </w:rPr>
        <w:t>Минфине</w:t>
      </w:r>
      <w:r w:rsidRPr="000E434B">
        <w:rPr>
          <w:sz w:val="28"/>
          <w:szCs w:val="28"/>
        </w:rPr>
        <w:t xml:space="preserve"> РФ информацию о том, на основании каких документов и в каком порядке министерство финансов осуществляет управление средствами </w:t>
      </w:r>
      <w:r w:rsidR="000E434B" w:rsidRPr="000E434B">
        <w:rPr>
          <w:sz w:val="28"/>
          <w:szCs w:val="28"/>
        </w:rPr>
        <w:t xml:space="preserve">резервного </w:t>
      </w:r>
      <w:r w:rsidRPr="000E434B">
        <w:rPr>
          <w:sz w:val="28"/>
          <w:szCs w:val="28"/>
        </w:rPr>
        <w:t xml:space="preserve"> фонда.</w:t>
      </w:r>
    </w:p>
    <w:p w:rsidR="00087341" w:rsidRPr="000E434B" w:rsidRDefault="00087341" w:rsidP="00CE4321">
      <w:pPr>
        <w:spacing w:line="360" w:lineRule="auto"/>
        <w:ind w:firstLine="709"/>
        <w:jc w:val="both"/>
        <w:rPr>
          <w:sz w:val="28"/>
          <w:szCs w:val="28"/>
        </w:rPr>
      </w:pPr>
      <w:r w:rsidRPr="000E434B">
        <w:rPr>
          <w:sz w:val="28"/>
          <w:szCs w:val="28"/>
        </w:rPr>
        <w:t xml:space="preserve">Кроме того, эта же комиссия отправит запрос в Правительство РФ, с требованием предоставить перечень иностранных государств, в долговые обязательства которых могут размещаться средства фонда, а также документ, которым утвержден этот перечень. По словам Сергея Попова, то, что деньги вкладываются в иностранные ценные бумаги, не является секретом. Хотя официально, по данным Минфина, </w:t>
      </w:r>
      <w:r w:rsidR="002C6BAA" w:rsidRPr="000E434B">
        <w:rPr>
          <w:sz w:val="28"/>
          <w:szCs w:val="28"/>
        </w:rPr>
        <w:t>Фонд</w:t>
      </w:r>
      <w:r w:rsidRPr="000E434B">
        <w:rPr>
          <w:sz w:val="28"/>
          <w:szCs w:val="28"/>
        </w:rPr>
        <w:t xml:space="preserve"> как лежал, так и лежит на рублевых счетах Центробанка.</w:t>
      </w:r>
    </w:p>
    <w:p w:rsidR="00087341" w:rsidRPr="000E434B" w:rsidRDefault="00087341" w:rsidP="00CE4321">
      <w:pPr>
        <w:spacing w:line="360" w:lineRule="auto"/>
        <w:ind w:firstLine="709"/>
        <w:jc w:val="both"/>
        <w:rPr>
          <w:sz w:val="28"/>
          <w:szCs w:val="28"/>
        </w:rPr>
      </w:pPr>
      <w:r w:rsidRPr="000E434B">
        <w:rPr>
          <w:sz w:val="28"/>
          <w:szCs w:val="28"/>
        </w:rPr>
        <w:t xml:space="preserve">Проблемы в данном случае возникают в следующем. Во-первых, лишь небольшая часть из </w:t>
      </w:r>
      <w:r w:rsidR="002C6BAA" w:rsidRPr="000E434B">
        <w:rPr>
          <w:sz w:val="28"/>
          <w:szCs w:val="28"/>
        </w:rPr>
        <w:t>Фонд</w:t>
      </w:r>
      <w:r w:rsidRPr="000E434B">
        <w:rPr>
          <w:sz w:val="28"/>
          <w:szCs w:val="28"/>
        </w:rPr>
        <w:t>а инвестируется в ценные бумаги. Следовательно, деньги реально обесцениваются. Во-вторых, совершенно непонятно, куда они вкладываются. Перечень государственных ценных бумаг, в которые вкладываются деньги, должен устанавливаться правительством, но, как можно заранее догадаться, такого перечня в природе не существует.</w:t>
      </w:r>
    </w:p>
    <w:p w:rsidR="00087341" w:rsidRPr="000E434B" w:rsidRDefault="00C839E4" w:rsidP="00CE4321">
      <w:pPr>
        <w:spacing w:line="360" w:lineRule="auto"/>
        <w:ind w:firstLine="709"/>
        <w:jc w:val="both"/>
        <w:rPr>
          <w:sz w:val="28"/>
          <w:szCs w:val="28"/>
        </w:rPr>
      </w:pPr>
      <w:r w:rsidRPr="000E434B">
        <w:rPr>
          <w:sz w:val="28"/>
          <w:szCs w:val="28"/>
        </w:rPr>
        <w:t>«Кроме того, складывается следующая ситуация, – разъясняет Попов, – мы вкладываем деньги в американские ценные бумаги, американцы за эти деньги покупают у нас нефть, и в конечном итоге у нас остаются бумаги, у них – нефть»,</w:t>
      </w:r>
      <w:r w:rsidR="00087341" w:rsidRPr="000E434B">
        <w:rPr>
          <w:sz w:val="28"/>
          <w:szCs w:val="28"/>
        </w:rPr>
        <w:t xml:space="preserve"> </w:t>
      </w:r>
      <w:r w:rsidRPr="000E434B">
        <w:rPr>
          <w:sz w:val="28"/>
          <w:szCs w:val="28"/>
        </w:rPr>
        <w:t xml:space="preserve">– </w:t>
      </w:r>
      <w:r w:rsidR="00087341" w:rsidRPr="000E434B">
        <w:rPr>
          <w:sz w:val="28"/>
          <w:szCs w:val="28"/>
        </w:rPr>
        <w:t>резюмирует депутат.</w:t>
      </w:r>
    </w:p>
    <w:p w:rsidR="00087341" w:rsidRPr="000E434B" w:rsidRDefault="00087341" w:rsidP="00CE4321">
      <w:pPr>
        <w:spacing w:line="360" w:lineRule="auto"/>
        <w:ind w:firstLine="709"/>
        <w:jc w:val="both"/>
        <w:rPr>
          <w:sz w:val="28"/>
          <w:szCs w:val="28"/>
        </w:rPr>
      </w:pPr>
      <w:r w:rsidRPr="000E434B">
        <w:rPr>
          <w:sz w:val="28"/>
          <w:szCs w:val="28"/>
        </w:rPr>
        <w:t>Есть и ещё один момент, который не был озвучен Сергеем Поповым на пленарном заседании, но который не менее важен. В законе сказано, что отдельные полномочия по</w:t>
      </w:r>
      <w:r w:rsidR="005B1A53" w:rsidRPr="000E434B">
        <w:rPr>
          <w:sz w:val="28"/>
          <w:szCs w:val="28"/>
        </w:rPr>
        <w:t xml:space="preserve"> управлению </w:t>
      </w:r>
      <w:r w:rsidRPr="000E434B">
        <w:rPr>
          <w:sz w:val="28"/>
          <w:szCs w:val="28"/>
        </w:rPr>
        <w:t xml:space="preserve">средствами </w:t>
      </w:r>
      <w:r w:rsidR="002C6BAA" w:rsidRPr="000E434B">
        <w:rPr>
          <w:sz w:val="28"/>
          <w:szCs w:val="28"/>
        </w:rPr>
        <w:t>Фонд</w:t>
      </w:r>
      <w:r w:rsidRPr="000E434B">
        <w:rPr>
          <w:sz w:val="28"/>
          <w:szCs w:val="28"/>
        </w:rPr>
        <w:t xml:space="preserve">а могут быть переданы Центральному банку в соответствии с договором между ним и Правительством РФ. О факте наличия или отсутствия такого договора депутату опять-таки не удалось ничего выяснить, в связи с чем он также намерен отправить письмо с соответствующим запросом в Центробанк. </w:t>
      </w:r>
      <w:r w:rsidR="00C839E4" w:rsidRPr="000E434B">
        <w:rPr>
          <w:sz w:val="28"/>
          <w:szCs w:val="28"/>
        </w:rPr>
        <w:t>«В</w:t>
      </w:r>
      <w:r w:rsidRPr="000E434B">
        <w:rPr>
          <w:sz w:val="28"/>
          <w:szCs w:val="28"/>
        </w:rPr>
        <w:t>друг у них договор есть, но они не управляют</w:t>
      </w:r>
      <w:r w:rsidR="00C839E4" w:rsidRPr="000E434B">
        <w:rPr>
          <w:sz w:val="28"/>
          <w:szCs w:val="28"/>
        </w:rPr>
        <w:t>»,</w:t>
      </w:r>
      <w:r w:rsidRPr="000E434B">
        <w:rPr>
          <w:sz w:val="28"/>
          <w:szCs w:val="28"/>
        </w:rPr>
        <w:t xml:space="preserve"> </w:t>
      </w:r>
      <w:r w:rsidR="00C839E4" w:rsidRPr="000E434B">
        <w:rPr>
          <w:sz w:val="28"/>
          <w:szCs w:val="28"/>
        </w:rPr>
        <w:t xml:space="preserve">– </w:t>
      </w:r>
      <w:r w:rsidRPr="000E434B">
        <w:rPr>
          <w:sz w:val="28"/>
          <w:szCs w:val="28"/>
        </w:rPr>
        <w:t>предположил Попов.</w:t>
      </w:r>
    </w:p>
    <w:p w:rsidR="00087341" w:rsidRPr="000E434B" w:rsidRDefault="00087341" w:rsidP="00CE4321">
      <w:pPr>
        <w:spacing w:line="360" w:lineRule="auto"/>
        <w:ind w:firstLine="709"/>
        <w:jc w:val="both"/>
        <w:rPr>
          <w:sz w:val="28"/>
          <w:szCs w:val="28"/>
        </w:rPr>
      </w:pPr>
      <w:r w:rsidRPr="000E434B">
        <w:rPr>
          <w:sz w:val="28"/>
          <w:szCs w:val="28"/>
        </w:rPr>
        <w:t xml:space="preserve">Вообще же, вопросы по стратегии </w:t>
      </w:r>
      <w:r w:rsidR="005B1A53" w:rsidRPr="000E434B">
        <w:rPr>
          <w:sz w:val="28"/>
          <w:szCs w:val="28"/>
        </w:rPr>
        <w:t xml:space="preserve">управления </w:t>
      </w:r>
      <w:r w:rsidRPr="000E434B">
        <w:rPr>
          <w:sz w:val="28"/>
          <w:szCs w:val="28"/>
        </w:rPr>
        <w:t xml:space="preserve">средствами фонда возникали уже не раз. С одной стороны, мало приятного, когда огромные деньги лежат без дела; с другой </w:t>
      </w:r>
      <w:r w:rsidR="00C839E4" w:rsidRPr="000E434B">
        <w:rPr>
          <w:sz w:val="28"/>
          <w:szCs w:val="28"/>
        </w:rPr>
        <w:t xml:space="preserve">– </w:t>
      </w:r>
      <w:r w:rsidRPr="000E434B">
        <w:rPr>
          <w:sz w:val="28"/>
          <w:szCs w:val="28"/>
        </w:rPr>
        <w:t xml:space="preserve">ещё никто не отменял известную долю риска, возникающую при инвестировании средств куда-либо; с третьей </w:t>
      </w:r>
      <w:r w:rsidR="00C839E4" w:rsidRPr="000E434B">
        <w:rPr>
          <w:sz w:val="28"/>
          <w:szCs w:val="28"/>
        </w:rPr>
        <w:t xml:space="preserve">– </w:t>
      </w:r>
      <w:r w:rsidRPr="000E434B">
        <w:rPr>
          <w:sz w:val="28"/>
          <w:szCs w:val="28"/>
        </w:rPr>
        <w:t xml:space="preserve">мало кому хочется брать на себя ответственность за управление </w:t>
      </w:r>
      <w:r w:rsidR="002C6BAA" w:rsidRPr="000E434B">
        <w:rPr>
          <w:sz w:val="28"/>
          <w:szCs w:val="28"/>
        </w:rPr>
        <w:t>Фонд</w:t>
      </w:r>
      <w:r w:rsidRPr="000E434B">
        <w:rPr>
          <w:sz w:val="28"/>
          <w:szCs w:val="28"/>
        </w:rPr>
        <w:t>ом и оказываться под огнём критики.</w:t>
      </w:r>
    </w:p>
    <w:p w:rsidR="00087341" w:rsidRPr="000E434B" w:rsidRDefault="00087341" w:rsidP="00CE4321">
      <w:pPr>
        <w:spacing w:line="360" w:lineRule="auto"/>
        <w:ind w:firstLine="709"/>
        <w:jc w:val="both"/>
        <w:rPr>
          <w:sz w:val="28"/>
          <w:szCs w:val="28"/>
        </w:rPr>
      </w:pPr>
      <w:r w:rsidRPr="000E434B">
        <w:rPr>
          <w:sz w:val="28"/>
          <w:szCs w:val="28"/>
        </w:rPr>
        <w:t xml:space="preserve">Возможно, что никаких причин для беспокойства нет и деньги находятся в целости сохранности. По крайней мере, Сергей Попов не выступает с позиции прокурора, обвиняя Минфин или Правительство в мошенничестве, а только лишь пытается установить факты. </w:t>
      </w:r>
      <w:r w:rsidR="00C839E4" w:rsidRPr="000E434B">
        <w:rPr>
          <w:sz w:val="28"/>
          <w:szCs w:val="28"/>
        </w:rPr>
        <w:t>«С</w:t>
      </w:r>
      <w:r w:rsidRPr="000E434B">
        <w:rPr>
          <w:sz w:val="28"/>
          <w:szCs w:val="28"/>
        </w:rPr>
        <w:t xml:space="preserve">ловами сказать можно что угодно, а меня интересуют документы </w:t>
      </w:r>
      <w:r w:rsidR="00C839E4" w:rsidRPr="000E434B">
        <w:rPr>
          <w:sz w:val="28"/>
          <w:szCs w:val="28"/>
        </w:rPr>
        <w:t xml:space="preserve">– </w:t>
      </w:r>
      <w:r w:rsidRPr="000E434B">
        <w:rPr>
          <w:sz w:val="28"/>
          <w:szCs w:val="28"/>
        </w:rPr>
        <w:t>потом будем разговаривать более предметно</w:t>
      </w:r>
      <w:r w:rsidR="00C839E4" w:rsidRPr="000E434B">
        <w:rPr>
          <w:sz w:val="28"/>
          <w:szCs w:val="28"/>
        </w:rPr>
        <w:t>»,</w:t>
      </w:r>
      <w:r w:rsidRPr="000E434B">
        <w:rPr>
          <w:sz w:val="28"/>
          <w:szCs w:val="28"/>
        </w:rPr>
        <w:t xml:space="preserve"> </w:t>
      </w:r>
      <w:r w:rsidR="00C839E4" w:rsidRPr="000E434B">
        <w:rPr>
          <w:sz w:val="28"/>
          <w:szCs w:val="28"/>
        </w:rPr>
        <w:t xml:space="preserve">– </w:t>
      </w:r>
      <w:r w:rsidRPr="000E434B">
        <w:rPr>
          <w:sz w:val="28"/>
          <w:szCs w:val="28"/>
        </w:rPr>
        <w:t>подчеркнул депутат.</w:t>
      </w:r>
    </w:p>
    <w:p w:rsidR="00255657" w:rsidRPr="000E434B" w:rsidRDefault="00255657" w:rsidP="00CE4321">
      <w:pPr>
        <w:autoSpaceDE w:val="0"/>
        <w:autoSpaceDN w:val="0"/>
        <w:adjustRightInd w:val="0"/>
        <w:spacing w:line="360" w:lineRule="auto"/>
        <w:ind w:firstLine="709"/>
        <w:jc w:val="both"/>
        <w:rPr>
          <w:sz w:val="28"/>
          <w:szCs w:val="28"/>
        </w:rPr>
      </w:pPr>
      <w:r w:rsidRPr="000E434B">
        <w:rPr>
          <w:sz w:val="28"/>
          <w:szCs w:val="28"/>
        </w:rPr>
        <w:t xml:space="preserve">Заслуживают внимания вопросы оппонентов Фонда о его экономической целесообразности ввиду несоблюдения разумной логики обращения финансов. В то время когда финансовые российские резервы размещены в кредитных учреждениях зарубежных стран, не вызывая там инфляции, а, напротив, работая на экономический рост и процветание этих стран, реальный сектор экономики России пребывает на голодном финансовом пайке, в жестких границах, очерченных денежными властями. Многие ведущие ученые напоминают, что при выработке стратегии и тактики Фонда не учитывается самый главный экономический закон, согласно которому деньги должны </w:t>
      </w:r>
      <w:r w:rsidR="00C839E4" w:rsidRPr="000E434B">
        <w:rPr>
          <w:sz w:val="28"/>
          <w:szCs w:val="28"/>
        </w:rPr>
        <w:t>«р</w:t>
      </w:r>
      <w:r w:rsidRPr="000E434B">
        <w:rPr>
          <w:sz w:val="28"/>
          <w:szCs w:val="28"/>
        </w:rPr>
        <w:t>аботать</w:t>
      </w:r>
      <w:r w:rsidR="00C839E4" w:rsidRPr="000E434B">
        <w:rPr>
          <w:sz w:val="28"/>
          <w:szCs w:val="28"/>
        </w:rPr>
        <w:t>».</w:t>
      </w:r>
      <w:r w:rsidRPr="000E434B">
        <w:rPr>
          <w:sz w:val="28"/>
          <w:szCs w:val="28"/>
        </w:rPr>
        <w:t xml:space="preserve"> По мнению </w:t>
      </w:r>
      <w:r w:rsidR="00C839E4" w:rsidRPr="000E434B">
        <w:rPr>
          <w:sz w:val="28"/>
          <w:szCs w:val="28"/>
        </w:rPr>
        <w:t>С.М. Глазьева</w:t>
      </w:r>
      <w:r w:rsidRPr="000E434B">
        <w:rPr>
          <w:sz w:val="28"/>
          <w:szCs w:val="28"/>
        </w:rPr>
        <w:t>, темпы экономического роста были бы почти вдвое выше, если бы правительство не замораживало 1/4 бюджетных доходов в фонде, средства которого размещаются за рубежом. Было бы ответственно и разумно, рассчитавшись с долгами, направить денежный поток Фонда на развитие приоритетных национальных проектов в образовании, науке, здравоохранении, социальной сфере.</w:t>
      </w:r>
    </w:p>
    <w:p w:rsidR="00255657" w:rsidRPr="000E434B" w:rsidRDefault="00255657" w:rsidP="00CE4321">
      <w:pPr>
        <w:autoSpaceDE w:val="0"/>
        <w:autoSpaceDN w:val="0"/>
        <w:adjustRightInd w:val="0"/>
        <w:spacing w:line="360" w:lineRule="auto"/>
        <w:ind w:firstLine="709"/>
        <w:jc w:val="both"/>
        <w:rPr>
          <w:sz w:val="28"/>
          <w:szCs w:val="28"/>
        </w:rPr>
      </w:pPr>
      <w:r w:rsidRPr="000E434B">
        <w:rPr>
          <w:sz w:val="28"/>
          <w:szCs w:val="28"/>
        </w:rPr>
        <w:t xml:space="preserve">Все предложения по оптимальному использованию средств </w:t>
      </w:r>
      <w:r w:rsidR="002C6BAA" w:rsidRPr="000E434B">
        <w:rPr>
          <w:sz w:val="28"/>
          <w:szCs w:val="28"/>
        </w:rPr>
        <w:t>Фонд</w:t>
      </w:r>
      <w:r w:rsidRPr="000E434B">
        <w:rPr>
          <w:sz w:val="28"/>
          <w:szCs w:val="28"/>
        </w:rPr>
        <w:t>а можно классифицировать по трем направлениям.</w:t>
      </w:r>
    </w:p>
    <w:p w:rsidR="00255657" w:rsidRPr="000E434B" w:rsidRDefault="00255657" w:rsidP="00CE4321">
      <w:pPr>
        <w:autoSpaceDE w:val="0"/>
        <w:autoSpaceDN w:val="0"/>
        <w:adjustRightInd w:val="0"/>
        <w:spacing w:line="360" w:lineRule="auto"/>
        <w:ind w:firstLine="709"/>
        <w:jc w:val="both"/>
        <w:rPr>
          <w:sz w:val="28"/>
          <w:szCs w:val="28"/>
        </w:rPr>
      </w:pPr>
      <w:r w:rsidRPr="000E434B">
        <w:rPr>
          <w:sz w:val="28"/>
          <w:szCs w:val="28"/>
        </w:rPr>
        <w:t>Во-первых, это продолжение практики досрочного погашения из его средств внешнего государственного долга с параллельным досрочным (до погашения) приобретением на рынке российских еврооблигаций. Это позволит стабилизировать рынок российских еврооблигаций в период резкого падения их котировок и сэкономить на выплате процентов по ним.</w:t>
      </w:r>
    </w:p>
    <w:p w:rsidR="00255657" w:rsidRPr="000E434B" w:rsidRDefault="00255657" w:rsidP="00CE4321">
      <w:pPr>
        <w:autoSpaceDE w:val="0"/>
        <w:autoSpaceDN w:val="0"/>
        <w:adjustRightInd w:val="0"/>
        <w:spacing w:line="360" w:lineRule="auto"/>
        <w:ind w:firstLine="709"/>
        <w:jc w:val="both"/>
        <w:rPr>
          <w:sz w:val="28"/>
          <w:szCs w:val="28"/>
        </w:rPr>
      </w:pPr>
      <w:r w:rsidRPr="000E434B">
        <w:rPr>
          <w:sz w:val="28"/>
          <w:szCs w:val="28"/>
        </w:rPr>
        <w:t xml:space="preserve">Во-вторых, финансирование за счет фонда обслуживания внешнего государственного долга, а также выплаты внешних государственных долгов, у которых наступил срок погашения. Это позволит резко снизить эмиссию госбумаг. Скорость развития рынка по пирамидальному образцу будет снижена, а замещение внешнего госдолга более дорогим внутренним госдолгом приостановлено. Высвободившиеся бюджетные средства можно будет расходовать на государственные инвестиционные программы, повышение социальных выплат </w:t>
      </w:r>
      <w:r w:rsidR="00C839E4" w:rsidRPr="000E434B">
        <w:rPr>
          <w:sz w:val="28"/>
          <w:szCs w:val="28"/>
        </w:rPr>
        <w:t>и т.п.</w:t>
      </w:r>
    </w:p>
    <w:p w:rsidR="00255657" w:rsidRPr="000E434B" w:rsidRDefault="00255657" w:rsidP="00CE4321">
      <w:pPr>
        <w:autoSpaceDE w:val="0"/>
        <w:autoSpaceDN w:val="0"/>
        <w:adjustRightInd w:val="0"/>
        <w:spacing w:line="360" w:lineRule="auto"/>
        <w:ind w:firstLine="709"/>
        <w:jc w:val="both"/>
        <w:rPr>
          <w:sz w:val="28"/>
          <w:szCs w:val="28"/>
        </w:rPr>
      </w:pPr>
      <w:r w:rsidRPr="000E434B">
        <w:rPr>
          <w:sz w:val="28"/>
          <w:szCs w:val="28"/>
        </w:rPr>
        <w:t>В-третьих, выдача из накоплений фонда валютных кредитов крупнейшим государственным корпорациям.</w:t>
      </w:r>
    </w:p>
    <w:p w:rsidR="00255657" w:rsidRPr="000E434B" w:rsidRDefault="00255657" w:rsidP="00CE4321">
      <w:pPr>
        <w:autoSpaceDE w:val="0"/>
        <w:autoSpaceDN w:val="0"/>
        <w:adjustRightInd w:val="0"/>
        <w:spacing w:line="360" w:lineRule="auto"/>
        <w:ind w:firstLine="709"/>
        <w:jc w:val="both"/>
        <w:rPr>
          <w:sz w:val="28"/>
          <w:szCs w:val="28"/>
        </w:rPr>
      </w:pPr>
      <w:r w:rsidRPr="000E434B">
        <w:rPr>
          <w:sz w:val="28"/>
          <w:szCs w:val="28"/>
        </w:rPr>
        <w:t>Наконец, в-четвертых, направление части средств фонда на приобретение акций российских предприятий.</w:t>
      </w:r>
    </w:p>
    <w:p w:rsidR="00255657" w:rsidRPr="000E434B" w:rsidRDefault="00255657" w:rsidP="00CE4321">
      <w:pPr>
        <w:autoSpaceDE w:val="0"/>
        <w:autoSpaceDN w:val="0"/>
        <w:adjustRightInd w:val="0"/>
        <w:spacing w:line="360" w:lineRule="auto"/>
        <w:ind w:firstLine="709"/>
        <w:jc w:val="both"/>
        <w:rPr>
          <w:sz w:val="28"/>
          <w:szCs w:val="28"/>
        </w:rPr>
      </w:pPr>
      <w:r w:rsidRPr="000E434B">
        <w:rPr>
          <w:sz w:val="28"/>
          <w:szCs w:val="28"/>
        </w:rPr>
        <w:t xml:space="preserve">Следует также отметить, что если основной задачей Программы социально-экономического развития Российской Федерации, направленной на среднесрочную перспективу, является повышение качества жизни населения, если в Российском государстве приняты стандарты развития общества социального благосостояния, нельзя оставлять без внимания общественное мнение и психологическое состояние налогоплательщиков. Для расчета реального уровня жизни населения социологи используют термин </w:t>
      </w:r>
      <w:r w:rsidR="00C839E4" w:rsidRPr="000E434B">
        <w:rPr>
          <w:sz w:val="28"/>
          <w:szCs w:val="28"/>
        </w:rPr>
        <w:t>«д</w:t>
      </w:r>
      <w:r w:rsidRPr="000E434B">
        <w:rPr>
          <w:sz w:val="28"/>
          <w:szCs w:val="28"/>
        </w:rPr>
        <w:t>ецильный</w:t>
      </w:r>
      <w:r w:rsidR="00C839E4" w:rsidRPr="000E434B">
        <w:rPr>
          <w:sz w:val="28"/>
          <w:szCs w:val="28"/>
        </w:rPr>
        <w:t xml:space="preserve">» </w:t>
      </w:r>
      <w:r w:rsidRPr="000E434B">
        <w:rPr>
          <w:sz w:val="28"/>
          <w:szCs w:val="28"/>
        </w:rPr>
        <w:t>коэффициент (</w:t>
      </w:r>
      <w:r w:rsidR="00C839E4" w:rsidRPr="000E434B">
        <w:rPr>
          <w:sz w:val="28"/>
          <w:szCs w:val="28"/>
        </w:rPr>
        <w:t>т.е.</w:t>
      </w:r>
      <w:r w:rsidRPr="000E434B">
        <w:rPr>
          <w:sz w:val="28"/>
          <w:szCs w:val="28"/>
        </w:rPr>
        <w:t xml:space="preserve"> берутся 1</w:t>
      </w:r>
      <w:r w:rsidR="00C839E4" w:rsidRPr="000E434B">
        <w:rPr>
          <w:sz w:val="28"/>
          <w:szCs w:val="28"/>
        </w:rPr>
        <w:t>0%</w:t>
      </w:r>
      <w:r w:rsidRPr="000E434B">
        <w:rPr>
          <w:sz w:val="28"/>
          <w:szCs w:val="28"/>
        </w:rPr>
        <w:t xml:space="preserve"> самых богатых людей в регионе, 1</w:t>
      </w:r>
      <w:r w:rsidR="00C839E4" w:rsidRPr="000E434B">
        <w:rPr>
          <w:sz w:val="28"/>
          <w:szCs w:val="28"/>
        </w:rPr>
        <w:t>0%</w:t>
      </w:r>
      <w:r w:rsidRPr="000E434B">
        <w:rPr>
          <w:sz w:val="28"/>
          <w:szCs w:val="28"/>
        </w:rPr>
        <w:t xml:space="preserve"> самых обездоленных и сравниваются по доходам). По данным московского отделения Росстата, показатель указанного коэффициента в столице равен 41. Для сравнения: в развитых европейских странах этот коэффициент колеблется в районе 6 </w:t>
      </w:r>
      <w:r w:rsidR="00C839E4" w:rsidRPr="000E434B">
        <w:rPr>
          <w:sz w:val="28"/>
          <w:szCs w:val="28"/>
        </w:rPr>
        <w:t xml:space="preserve">– </w:t>
      </w:r>
      <w:r w:rsidRPr="000E434B">
        <w:rPr>
          <w:sz w:val="28"/>
          <w:szCs w:val="28"/>
        </w:rPr>
        <w:t xml:space="preserve">9, в США </w:t>
      </w:r>
      <w:r w:rsidR="00C839E4" w:rsidRPr="000E434B">
        <w:rPr>
          <w:sz w:val="28"/>
          <w:szCs w:val="28"/>
        </w:rPr>
        <w:t xml:space="preserve">– </w:t>
      </w:r>
      <w:r w:rsidRPr="000E434B">
        <w:rPr>
          <w:sz w:val="28"/>
          <w:szCs w:val="28"/>
        </w:rPr>
        <w:t>10 – 12. В российских условиях увеличения разрыва в доходах населения в общественном сознании сложилось прочное негативное мнение, основанное на непонимании действий правительства по распоряжению Фондом.</w:t>
      </w:r>
    </w:p>
    <w:p w:rsidR="00255657" w:rsidRPr="000E434B" w:rsidRDefault="00255657" w:rsidP="00CE4321">
      <w:pPr>
        <w:autoSpaceDE w:val="0"/>
        <w:autoSpaceDN w:val="0"/>
        <w:adjustRightInd w:val="0"/>
        <w:spacing w:line="360" w:lineRule="auto"/>
        <w:ind w:firstLine="709"/>
        <w:jc w:val="both"/>
        <w:rPr>
          <w:sz w:val="28"/>
          <w:szCs w:val="28"/>
        </w:rPr>
      </w:pPr>
      <w:r w:rsidRPr="000E434B">
        <w:rPr>
          <w:sz w:val="28"/>
          <w:szCs w:val="28"/>
        </w:rPr>
        <w:t xml:space="preserve">Действительно, неактуальным и не соответствующим действительности является довод о предназначении Фонда как </w:t>
      </w:r>
      <w:r w:rsidR="00C839E4" w:rsidRPr="000E434B">
        <w:rPr>
          <w:sz w:val="28"/>
          <w:szCs w:val="28"/>
        </w:rPr>
        <w:t>«п</w:t>
      </w:r>
      <w:r w:rsidRPr="000E434B">
        <w:rPr>
          <w:sz w:val="28"/>
          <w:szCs w:val="28"/>
        </w:rPr>
        <w:t>одушки безопасности на черный день</w:t>
      </w:r>
      <w:r w:rsidR="00C839E4" w:rsidRPr="000E434B">
        <w:rPr>
          <w:sz w:val="28"/>
          <w:szCs w:val="28"/>
        </w:rPr>
        <w:t>».</w:t>
      </w:r>
      <w:r w:rsidRPr="000E434B">
        <w:rPr>
          <w:sz w:val="28"/>
          <w:szCs w:val="28"/>
        </w:rPr>
        <w:t xml:space="preserve"> В стране, где 40 млн. населения находятся за чертой бедности, где более 15 млн. пенсионеров получают пенсии ниже прожиточного уровня, где разрыв между обеспеченными и необеспеченными гражданами достиг колоссальных размеров, должна уже идти речь не о </w:t>
      </w:r>
      <w:r w:rsidR="00C839E4" w:rsidRPr="000E434B">
        <w:rPr>
          <w:sz w:val="28"/>
          <w:szCs w:val="28"/>
        </w:rPr>
        <w:t>«ч</w:t>
      </w:r>
      <w:r w:rsidRPr="000E434B">
        <w:rPr>
          <w:sz w:val="28"/>
          <w:szCs w:val="28"/>
        </w:rPr>
        <w:t>ерном дне</w:t>
      </w:r>
      <w:r w:rsidR="00C839E4" w:rsidRPr="000E434B">
        <w:rPr>
          <w:sz w:val="28"/>
          <w:szCs w:val="28"/>
        </w:rPr>
        <w:t xml:space="preserve">» </w:t>
      </w:r>
      <w:r w:rsidRPr="000E434B">
        <w:rPr>
          <w:sz w:val="28"/>
          <w:szCs w:val="28"/>
        </w:rPr>
        <w:t xml:space="preserve">от слова </w:t>
      </w:r>
      <w:r w:rsidR="00C839E4" w:rsidRPr="000E434B">
        <w:rPr>
          <w:sz w:val="28"/>
          <w:szCs w:val="28"/>
        </w:rPr>
        <w:t>«д</w:t>
      </w:r>
      <w:r w:rsidRPr="000E434B">
        <w:rPr>
          <w:sz w:val="28"/>
          <w:szCs w:val="28"/>
        </w:rPr>
        <w:t>ень</w:t>
      </w:r>
      <w:r w:rsidR="00C839E4" w:rsidRPr="000E434B">
        <w:rPr>
          <w:sz w:val="28"/>
          <w:szCs w:val="28"/>
        </w:rPr>
        <w:t>»,</w:t>
      </w:r>
      <w:r w:rsidRPr="000E434B">
        <w:rPr>
          <w:sz w:val="28"/>
          <w:szCs w:val="28"/>
        </w:rPr>
        <w:t xml:space="preserve"> а от слова </w:t>
      </w:r>
      <w:r w:rsidR="00C839E4" w:rsidRPr="000E434B">
        <w:rPr>
          <w:sz w:val="28"/>
          <w:szCs w:val="28"/>
        </w:rPr>
        <w:t>«д</w:t>
      </w:r>
      <w:r w:rsidRPr="000E434B">
        <w:rPr>
          <w:sz w:val="28"/>
          <w:szCs w:val="28"/>
        </w:rPr>
        <w:t>но</w:t>
      </w:r>
      <w:r w:rsidR="00C839E4" w:rsidRPr="000E434B">
        <w:rPr>
          <w:sz w:val="28"/>
          <w:szCs w:val="28"/>
        </w:rPr>
        <w:t>».</w:t>
      </w:r>
      <w:r w:rsidRPr="000E434B">
        <w:rPr>
          <w:sz w:val="28"/>
          <w:szCs w:val="28"/>
        </w:rPr>
        <w:t xml:space="preserve"> </w:t>
      </w:r>
      <w:r w:rsidR="00C839E4" w:rsidRPr="000E434B">
        <w:rPr>
          <w:sz w:val="28"/>
          <w:szCs w:val="28"/>
        </w:rPr>
        <w:t>«Ч</w:t>
      </w:r>
      <w:r w:rsidRPr="000E434B">
        <w:rPr>
          <w:sz w:val="28"/>
          <w:szCs w:val="28"/>
        </w:rPr>
        <w:t>ерный день</w:t>
      </w:r>
      <w:r w:rsidR="00C839E4" w:rsidRPr="000E434B">
        <w:rPr>
          <w:sz w:val="28"/>
          <w:szCs w:val="28"/>
        </w:rPr>
        <w:t xml:space="preserve">» – </w:t>
      </w:r>
      <w:r w:rsidRPr="000E434B">
        <w:rPr>
          <w:sz w:val="28"/>
          <w:szCs w:val="28"/>
        </w:rPr>
        <w:t xml:space="preserve">это пройденный этап, погружение на </w:t>
      </w:r>
      <w:r w:rsidR="00C839E4" w:rsidRPr="000E434B">
        <w:rPr>
          <w:sz w:val="28"/>
          <w:szCs w:val="28"/>
        </w:rPr>
        <w:t>«ч</w:t>
      </w:r>
      <w:r w:rsidRPr="000E434B">
        <w:rPr>
          <w:sz w:val="28"/>
          <w:szCs w:val="28"/>
        </w:rPr>
        <w:t>ерное дно</w:t>
      </w:r>
      <w:r w:rsidR="00C839E4" w:rsidRPr="000E434B">
        <w:rPr>
          <w:sz w:val="28"/>
          <w:szCs w:val="28"/>
        </w:rPr>
        <w:t xml:space="preserve">» – </w:t>
      </w:r>
      <w:r w:rsidRPr="000E434B">
        <w:rPr>
          <w:sz w:val="28"/>
          <w:szCs w:val="28"/>
        </w:rPr>
        <w:t>вот реальность для подавляющего большинства россиян.</w:t>
      </w:r>
    </w:p>
    <w:p w:rsidR="00255657" w:rsidRPr="000E434B" w:rsidRDefault="00255657" w:rsidP="00CE4321">
      <w:pPr>
        <w:autoSpaceDE w:val="0"/>
        <w:autoSpaceDN w:val="0"/>
        <w:adjustRightInd w:val="0"/>
        <w:spacing w:line="360" w:lineRule="auto"/>
        <w:ind w:firstLine="709"/>
        <w:jc w:val="both"/>
        <w:rPr>
          <w:sz w:val="28"/>
          <w:szCs w:val="28"/>
        </w:rPr>
      </w:pPr>
      <w:r w:rsidRPr="000E434B">
        <w:rPr>
          <w:sz w:val="28"/>
          <w:szCs w:val="28"/>
        </w:rPr>
        <w:t>Изменения, происходящие в нашем обществе, связанные с разрушением экономики, ее правового регулирования, краха финансов повлекли за собой падение духовности, нравственности, культуры в обществе, расширения охвата населения коррупцией, несоответствия нормативно-правовой базы фондов в рамках налогово-бюджетной политики.</w:t>
      </w:r>
    </w:p>
    <w:p w:rsidR="00C839E4" w:rsidRPr="000E434B" w:rsidRDefault="00255657" w:rsidP="00CE4321">
      <w:pPr>
        <w:autoSpaceDE w:val="0"/>
        <w:autoSpaceDN w:val="0"/>
        <w:adjustRightInd w:val="0"/>
        <w:spacing w:line="360" w:lineRule="auto"/>
        <w:ind w:firstLine="709"/>
        <w:jc w:val="both"/>
        <w:rPr>
          <w:sz w:val="28"/>
          <w:szCs w:val="28"/>
        </w:rPr>
      </w:pPr>
      <w:r w:rsidRPr="000E434B">
        <w:rPr>
          <w:sz w:val="28"/>
          <w:szCs w:val="28"/>
        </w:rPr>
        <w:t xml:space="preserve">Ввиду того, что </w:t>
      </w:r>
      <w:r w:rsidR="000E434B" w:rsidRPr="000E434B">
        <w:rPr>
          <w:sz w:val="28"/>
          <w:szCs w:val="28"/>
        </w:rPr>
        <w:t>резернвый</w:t>
      </w:r>
      <w:r w:rsidRPr="000E434B">
        <w:rPr>
          <w:sz w:val="28"/>
          <w:szCs w:val="28"/>
        </w:rPr>
        <w:t xml:space="preserve"> фонд и три </w:t>
      </w:r>
      <w:r w:rsidR="00C839E4" w:rsidRPr="000E434B">
        <w:rPr>
          <w:sz w:val="28"/>
          <w:szCs w:val="28"/>
        </w:rPr>
        <w:t>«н</w:t>
      </w:r>
      <w:r w:rsidRPr="000E434B">
        <w:rPr>
          <w:sz w:val="28"/>
          <w:szCs w:val="28"/>
        </w:rPr>
        <w:t>овых</w:t>
      </w:r>
      <w:r w:rsidR="00C839E4" w:rsidRPr="000E434B">
        <w:rPr>
          <w:sz w:val="28"/>
          <w:szCs w:val="28"/>
        </w:rPr>
        <w:t xml:space="preserve">» </w:t>
      </w:r>
      <w:r w:rsidRPr="000E434B">
        <w:rPr>
          <w:sz w:val="28"/>
          <w:szCs w:val="28"/>
        </w:rPr>
        <w:t>фонда представляют собой совокупность норм, они должны регулироваться нормами финансового права, в том числе нормами налогового, бюджетного и административного права.</w:t>
      </w:r>
    </w:p>
    <w:p w:rsidR="00C839E4" w:rsidRPr="000E434B" w:rsidRDefault="00255657" w:rsidP="00CE4321">
      <w:pPr>
        <w:autoSpaceDE w:val="0"/>
        <w:autoSpaceDN w:val="0"/>
        <w:adjustRightInd w:val="0"/>
        <w:spacing w:line="360" w:lineRule="auto"/>
        <w:ind w:firstLine="709"/>
        <w:jc w:val="both"/>
        <w:rPr>
          <w:sz w:val="28"/>
          <w:szCs w:val="28"/>
        </w:rPr>
      </w:pPr>
      <w:r w:rsidRPr="000E434B">
        <w:rPr>
          <w:sz w:val="28"/>
          <w:szCs w:val="28"/>
        </w:rPr>
        <w:t>Ввиду того, что деньги в фондах являются не только частью федерального бюджета, но и остаются частью средств каждого гражданина, эффективная реализация фондов в социально-экономической жизни государства немыслима без научно обоснованной государственной политики, понятной простым налогоплательщикам.</w:t>
      </w:r>
    </w:p>
    <w:p w:rsidR="00255657" w:rsidRPr="000E434B" w:rsidRDefault="00255657" w:rsidP="00CE4321">
      <w:pPr>
        <w:autoSpaceDE w:val="0"/>
        <w:autoSpaceDN w:val="0"/>
        <w:adjustRightInd w:val="0"/>
        <w:spacing w:line="360" w:lineRule="auto"/>
        <w:ind w:firstLine="709"/>
        <w:jc w:val="both"/>
        <w:rPr>
          <w:sz w:val="28"/>
          <w:szCs w:val="28"/>
        </w:rPr>
      </w:pPr>
      <w:r w:rsidRPr="000E434B">
        <w:rPr>
          <w:sz w:val="28"/>
          <w:szCs w:val="28"/>
        </w:rPr>
        <w:t xml:space="preserve">Для того чтобы один эксперимент с образованием фонда не явился элементарной заменой другим </w:t>
      </w:r>
      <w:r w:rsidR="00C839E4" w:rsidRPr="000E434B">
        <w:rPr>
          <w:sz w:val="28"/>
          <w:szCs w:val="28"/>
        </w:rPr>
        <w:t xml:space="preserve">– </w:t>
      </w:r>
      <w:r w:rsidRPr="000E434B">
        <w:rPr>
          <w:sz w:val="28"/>
          <w:szCs w:val="28"/>
        </w:rPr>
        <w:t xml:space="preserve">в форме образования </w:t>
      </w:r>
      <w:r w:rsidR="00C839E4" w:rsidRPr="000E434B">
        <w:rPr>
          <w:sz w:val="28"/>
          <w:szCs w:val="28"/>
        </w:rPr>
        <w:t>«н</w:t>
      </w:r>
      <w:r w:rsidRPr="000E434B">
        <w:rPr>
          <w:sz w:val="28"/>
          <w:szCs w:val="28"/>
        </w:rPr>
        <w:t>овых</w:t>
      </w:r>
      <w:r w:rsidR="00C839E4" w:rsidRPr="000E434B">
        <w:rPr>
          <w:sz w:val="28"/>
          <w:szCs w:val="28"/>
        </w:rPr>
        <w:t xml:space="preserve">» </w:t>
      </w:r>
      <w:r w:rsidRPr="000E434B">
        <w:rPr>
          <w:sz w:val="28"/>
          <w:szCs w:val="28"/>
        </w:rPr>
        <w:t>трех фондов, со сложным, запутанным, непонятным механизмом управления, необходима последовательная налогово-бюджетная политика федерального правительства, которая бы соответствовала как требованиям современного государства, так и интересам социально-экономического развития России.</w:t>
      </w:r>
    </w:p>
    <w:p w:rsidR="00C839E4" w:rsidRPr="000E434B" w:rsidRDefault="008E4DE7" w:rsidP="00CE4321">
      <w:pPr>
        <w:spacing w:line="360" w:lineRule="auto"/>
        <w:ind w:firstLine="709"/>
        <w:jc w:val="both"/>
        <w:rPr>
          <w:sz w:val="28"/>
          <w:szCs w:val="28"/>
        </w:rPr>
      </w:pPr>
      <w:r w:rsidRPr="000E434B">
        <w:rPr>
          <w:sz w:val="28"/>
          <w:szCs w:val="28"/>
        </w:rPr>
        <w:t>Логично было бы выдвинуть предложение по использованию сверхдоходов от нефтяного экспорта для инвестиций в инфраструктуру, в строительство новых нефте- и газопроводов для улучшения условий доставки российских углеводородов на рынки Европы, Азии и Америки</w:t>
      </w:r>
      <w:r w:rsidR="00235DCC" w:rsidRPr="000E434B">
        <w:rPr>
          <w:sz w:val="28"/>
          <w:szCs w:val="28"/>
        </w:rPr>
        <w:t>.</w:t>
      </w:r>
    </w:p>
    <w:p w:rsidR="00235DCC" w:rsidRPr="000E434B" w:rsidRDefault="008E4DE7" w:rsidP="00CE4321">
      <w:pPr>
        <w:spacing w:line="360" w:lineRule="auto"/>
        <w:ind w:firstLine="709"/>
        <w:jc w:val="both"/>
        <w:rPr>
          <w:sz w:val="28"/>
          <w:szCs w:val="28"/>
        </w:rPr>
      </w:pPr>
      <w:r w:rsidRPr="000E434B">
        <w:rPr>
          <w:sz w:val="28"/>
          <w:szCs w:val="28"/>
        </w:rPr>
        <w:t xml:space="preserve">Большой процент средств </w:t>
      </w:r>
      <w:r w:rsidR="002C6BAA" w:rsidRPr="000E434B">
        <w:rPr>
          <w:sz w:val="28"/>
          <w:szCs w:val="28"/>
        </w:rPr>
        <w:t>Фонд</w:t>
      </w:r>
      <w:r w:rsidRPr="000E434B">
        <w:rPr>
          <w:sz w:val="28"/>
          <w:szCs w:val="28"/>
        </w:rPr>
        <w:t>а состоит из нефтяных доходов, и у чиновников есть желание вывести эти средства из страны на время или навсегда, что способствовало бы увеличению объемов, повышению стабильности и предсказуемости поставок нефти и газа на мировой рынок.</w:t>
      </w:r>
    </w:p>
    <w:p w:rsidR="00235DCC" w:rsidRPr="000E434B" w:rsidRDefault="008E4DE7" w:rsidP="00CE4321">
      <w:pPr>
        <w:spacing w:line="360" w:lineRule="auto"/>
        <w:ind w:firstLine="709"/>
        <w:jc w:val="both"/>
        <w:rPr>
          <w:sz w:val="28"/>
          <w:szCs w:val="28"/>
        </w:rPr>
      </w:pPr>
      <w:r w:rsidRPr="000E434B">
        <w:rPr>
          <w:sz w:val="28"/>
          <w:szCs w:val="28"/>
        </w:rPr>
        <w:t xml:space="preserve">В этой связи можно вспомнить слова министра финансов РФ Алексея Кудрина, заявившего о том, что Минфин и Центральный Банк РФ завершают разработку механизма размещения средств </w:t>
      </w:r>
      <w:r w:rsidR="002C6BAA" w:rsidRPr="000E434B">
        <w:rPr>
          <w:sz w:val="28"/>
          <w:szCs w:val="28"/>
        </w:rPr>
        <w:t>Фонд</w:t>
      </w:r>
      <w:r w:rsidRPr="000E434B">
        <w:rPr>
          <w:sz w:val="28"/>
          <w:szCs w:val="28"/>
        </w:rPr>
        <w:t xml:space="preserve">а в иностранные государственные бумаги </w:t>
      </w:r>
      <w:r w:rsidR="00C839E4" w:rsidRPr="000E434B">
        <w:rPr>
          <w:sz w:val="28"/>
          <w:szCs w:val="28"/>
        </w:rPr>
        <w:t xml:space="preserve">– </w:t>
      </w:r>
      <w:r w:rsidRPr="000E434B">
        <w:rPr>
          <w:sz w:val="28"/>
          <w:szCs w:val="28"/>
        </w:rPr>
        <w:t>это, кстати, было предусмотрено изначально.</w:t>
      </w:r>
    </w:p>
    <w:p w:rsidR="00235DCC" w:rsidRPr="000E434B" w:rsidRDefault="008E4DE7" w:rsidP="00CE4321">
      <w:pPr>
        <w:spacing w:line="360" w:lineRule="auto"/>
        <w:ind w:firstLine="709"/>
        <w:jc w:val="both"/>
        <w:rPr>
          <w:sz w:val="28"/>
          <w:szCs w:val="28"/>
        </w:rPr>
      </w:pPr>
      <w:r w:rsidRPr="000E434B">
        <w:rPr>
          <w:sz w:val="28"/>
          <w:szCs w:val="28"/>
        </w:rPr>
        <w:t>Однако рассматривается и возможность размещения этих денег в другие категории ценных бумаг, в том числе и корпоративные.</w:t>
      </w:r>
    </w:p>
    <w:p w:rsidR="00235DCC" w:rsidRPr="000E434B" w:rsidRDefault="00235DCC" w:rsidP="00CE4321">
      <w:pPr>
        <w:spacing w:line="360" w:lineRule="auto"/>
        <w:ind w:firstLine="709"/>
        <w:jc w:val="both"/>
        <w:rPr>
          <w:sz w:val="28"/>
          <w:szCs w:val="28"/>
        </w:rPr>
      </w:pPr>
      <w:r w:rsidRPr="000E434B">
        <w:rPr>
          <w:sz w:val="28"/>
          <w:szCs w:val="28"/>
        </w:rPr>
        <w:t>Но с другой стороны, и</w:t>
      </w:r>
      <w:r w:rsidR="008E4DE7" w:rsidRPr="000E434B">
        <w:rPr>
          <w:sz w:val="28"/>
          <w:szCs w:val="28"/>
        </w:rPr>
        <w:t xml:space="preserve">дея размещать средства </w:t>
      </w:r>
      <w:r w:rsidR="002C6BAA" w:rsidRPr="000E434B">
        <w:rPr>
          <w:sz w:val="28"/>
          <w:szCs w:val="28"/>
        </w:rPr>
        <w:t>Фонд</w:t>
      </w:r>
      <w:r w:rsidR="008E4DE7" w:rsidRPr="000E434B">
        <w:rPr>
          <w:sz w:val="28"/>
          <w:szCs w:val="28"/>
        </w:rPr>
        <w:t xml:space="preserve">а в корпоративные иностранные бумаги не самая лучшая </w:t>
      </w:r>
      <w:r w:rsidR="00C839E4" w:rsidRPr="000E434B">
        <w:rPr>
          <w:sz w:val="28"/>
          <w:szCs w:val="28"/>
        </w:rPr>
        <w:t xml:space="preserve">– </w:t>
      </w:r>
      <w:r w:rsidR="008E4DE7" w:rsidRPr="000E434B">
        <w:rPr>
          <w:sz w:val="28"/>
          <w:szCs w:val="28"/>
        </w:rPr>
        <w:t>как с точки зрения высоких экономических рисков, так и из политических соображений. Ведь это означало бы, что наше государство будет инвестировать бюджетные средства в иностранные компании, вместо того чтобы использовать их на развитие собственной экономики.</w:t>
      </w:r>
    </w:p>
    <w:p w:rsidR="00235DCC" w:rsidRPr="000E434B" w:rsidRDefault="008E4DE7" w:rsidP="00CE4321">
      <w:pPr>
        <w:spacing w:line="360" w:lineRule="auto"/>
        <w:ind w:firstLine="709"/>
        <w:jc w:val="both"/>
        <w:rPr>
          <w:sz w:val="28"/>
          <w:szCs w:val="28"/>
        </w:rPr>
      </w:pPr>
      <w:r w:rsidRPr="000E434B">
        <w:rPr>
          <w:sz w:val="28"/>
          <w:szCs w:val="28"/>
        </w:rPr>
        <w:t xml:space="preserve">Другой вариант использования средств </w:t>
      </w:r>
      <w:r w:rsidR="002C6BAA" w:rsidRPr="000E434B">
        <w:rPr>
          <w:sz w:val="28"/>
          <w:szCs w:val="28"/>
        </w:rPr>
        <w:t>Фонд</w:t>
      </w:r>
      <w:r w:rsidRPr="000E434B">
        <w:rPr>
          <w:sz w:val="28"/>
          <w:szCs w:val="28"/>
        </w:rPr>
        <w:t xml:space="preserve">а </w:t>
      </w:r>
      <w:r w:rsidR="00C839E4" w:rsidRPr="000E434B">
        <w:rPr>
          <w:sz w:val="28"/>
          <w:szCs w:val="28"/>
        </w:rPr>
        <w:t xml:space="preserve">– </w:t>
      </w:r>
      <w:r w:rsidRPr="000E434B">
        <w:rPr>
          <w:sz w:val="28"/>
          <w:szCs w:val="28"/>
        </w:rPr>
        <w:t xml:space="preserve">и дальше направлять эти средства исключительно на погашение долгов, а остальное </w:t>
      </w:r>
      <w:r w:rsidR="00C839E4" w:rsidRPr="000E434B">
        <w:rPr>
          <w:sz w:val="28"/>
          <w:szCs w:val="28"/>
        </w:rPr>
        <w:t>– «</w:t>
      </w:r>
      <w:r w:rsidRPr="000E434B">
        <w:rPr>
          <w:sz w:val="28"/>
          <w:szCs w:val="28"/>
        </w:rPr>
        <w:t>спрятать и сохранить</w:t>
      </w:r>
      <w:r w:rsidR="00C839E4" w:rsidRPr="000E434B">
        <w:rPr>
          <w:sz w:val="28"/>
          <w:szCs w:val="28"/>
        </w:rPr>
        <w:t>»</w:t>
      </w:r>
      <w:r w:rsidRPr="000E434B">
        <w:rPr>
          <w:sz w:val="28"/>
          <w:szCs w:val="28"/>
        </w:rPr>
        <w:t xml:space="preserve">. Впрочем, есть еще один способ использования </w:t>
      </w:r>
      <w:r w:rsidR="002C6BAA" w:rsidRPr="000E434B">
        <w:rPr>
          <w:sz w:val="28"/>
          <w:szCs w:val="28"/>
        </w:rPr>
        <w:t>Фонд</w:t>
      </w:r>
      <w:r w:rsidRPr="000E434B">
        <w:rPr>
          <w:sz w:val="28"/>
          <w:szCs w:val="28"/>
        </w:rPr>
        <w:t>а, но он может стать эффективным только при улучшении инвестиционного климата.</w:t>
      </w:r>
    </w:p>
    <w:p w:rsidR="00235DCC" w:rsidRPr="000E434B" w:rsidRDefault="008E4DE7" w:rsidP="00CE4321">
      <w:pPr>
        <w:spacing w:line="360" w:lineRule="auto"/>
        <w:ind w:firstLine="709"/>
        <w:jc w:val="both"/>
        <w:rPr>
          <w:sz w:val="28"/>
          <w:szCs w:val="28"/>
        </w:rPr>
      </w:pPr>
      <w:r w:rsidRPr="000E434B">
        <w:rPr>
          <w:sz w:val="28"/>
          <w:szCs w:val="28"/>
        </w:rPr>
        <w:t xml:space="preserve">Речь идет о выкупе компаний у частных лиц. Например, </w:t>
      </w:r>
      <w:r w:rsidR="00C839E4" w:rsidRPr="000E434B">
        <w:rPr>
          <w:sz w:val="28"/>
          <w:szCs w:val="28"/>
        </w:rPr>
        <w:t>«</w:t>
      </w:r>
      <w:r w:rsidRPr="000E434B">
        <w:rPr>
          <w:sz w:val="28"/>
          <w:szCs w:val="28"/>
        </w:rPr>
        <w:t>Сибнефть</w:t>
      </w:r>
      <w:r w:rsidR="00C839E4" w:rsidRPr="000E434B">
        <w:rPr>
          <w:sz w:val="28"/>
          <w:szCs w:val="28"/>
        </w:rPr>
        <w:t>»</w:t>
      </w:r>
      <w:r w:rsidRPr="000E434B">
        <w:rPr>
          <w:sz w:val="28"/>
          <w:szCs w:val="28"/>
        </w:rPr>
        <w:t xml:space="preserve"> стоило бы выкупить на средства </w:t>
      </w:r>
      <w:r w:rsidR="002C6BAA" w:rsidRPr="000E434B">
        <w:rPr>
          <w:sz w:val="28"/>
          <w:szCs w:val="28"/>
        </w:rPr>
        <w:t>Фонд</w:t>
      </w:r>
      <w:r w:rsidRPr="000E434B">
        <w:rPr>
          <w:sz w:val="28"/>
          <w:szCs w:val="28"/>
        </w:rPr>
        <w:t>а. По сравнению с другими способами это было бы очень эффективное вложение.</w:t>
      </w:r>
    </w:p>
    <w:p w:rsidR="00235DCC" w:rsidRPr="000E434B" w:rsidRDefault="008E4DE7" w:rsidP="00CE4321">
      <w:pPr>
        <w:spacing w:line="360" w:lineRule="auto"/>
        <w:ind w:firstLine="709"/>
        <w:jc w:val="both"/>
        <w:rPr>
          <w:sz w:val="28"/>
          <w:szCs w:val="28"/>
        </w:rPr>
      </w:pPr>
      <w:r w:rsidRPr="000E434B">
        <w:rPr>
          <w:sz w:val="28"/>
          <w:szCs w:val="28"/>
        </w:rPr>
        <w:t>Так государство приобретет работающие, приносящие доходы активы, которые можно использовать как на решение бюджетных проблем, так и на другие нужды.</w:t>
      </w:r>
    </w:p>
    <w:p w:rsidR="00235DCC" w:rsidRPr="000E434B" w:rsidRDefault="008E4DE7" w:rsidP="00CE4321">
      <w:pPr>
        <w:spacing w:line="360" w:lineRule="auto"/>
        <w:ind w:firstLine="709"/>
        <w:jc w:val="both"/>
        <w:rPr>
          <w:sz w:val="28"/>
          <w:szCs w:val="28"/>
        </w:rPr>
      </w:pPr>
      <w:r w:rsidRPr="000E434B">
        <w:rPr>
          <w:sz w:val="28"/>
          <w:szCs w:val="28"/>
        </w:rPr>
        <w:t>Кроме того</w:t>
      </w:r>
      <w:r w:rsidR="00C839E4" w:rsidRPr="000E434B">
        <w:rPr>
          <w:sz w:val="28"/>
          <w:szCs w:val="28"/>
        </w:rPr>
        <w:t xml:space="preserve"> </w:t>
      </w:r>
      <w:r w:rsidRPr="000E434B">
        <w:rPr>
          <w:sz w:val="28"/>
          <w:szCs w:val="28"/>
        </w:rPr>
        <w:t xml:space="preserve">средства </w:t>
      </w:r>
      <w:r w:rsidR="002C6BAA" w:rsidRPr="000E434B">
        <w:rPr>
          <w:sz w:val="28"/>
          <w:szCs w:val="28"/>
        </w:rPr>
        <w:t>Фонд</w:t>
      </w:r>
      <w:r w:rsidRPr="000E434B">
        <w:rPr>
          <w:sz w:val="28"/>
          <w:szCs w:val="28"/>
        </w:rPr>
        <w:t>а необходимо направлять только на погашение внешнего долга, в том числе досрочное, и отказаться от создания инвестиционного фонда.</w:t>
      </w:r>
    </w:p>
    <w:p w:rsidR="00235DCC" w:rsidRPr="000E434B" w:rsidRDefault="008E4DE7" w:rsidP="00CE4321">
      <w:pPr>
        <w:spacing w:line="360" w:lineRule="auto"/>
        <w:ind w:firstLine="709"/>
        <w:jc w:val="both"/>
        <w:rPr>
          <w:sz w:val="28"/>
          <w:szCs w:val="28"/>
        </w:rPr>
      </w:pPr>
      <w:r w:rsidRPr="000E434B">
        <w:rPr>
          <w:sz w:val="28"/>
          <w:szCs w:val="28"/>
        </w:rPr>
        <w:t>Также следует завершить либерализацию капитальных операций, отменить механизм квотирования импорта мяса и государственные интервенции на зерновом рынке.</w:t>
      </w:r>
    </w:p>
    <w:p w:rsidR="00C839E4" w:rsidRPr="000E434B" w:rsidRDefault="00235DCC" w:rsidP="00CE4321">
      <w:pPr>
        <w:spacing w:line="360" w:lineRule="auto"/>
        <w:ind w:firstLine="709"/>
        <w:jc w:val="both"/>
        <w:rPr>
          <w:sz w:val="28"/>
          <w:szCs w:val="28"/>
        </w:rPr>
      </w:pPr>
      <w:r w:rsidRPr="000E434B">
        <w:rPr>
          <w:sz w:val="28"/>
          <w:szCs w:val="28"/>
        </w:rPr>
        <w:t xml:space="preserve">Но можно </w:t>
      </w:r>
      <w:r w:rsidR="008E4DE7" w:rsidRPr="000E434B">
        <w:rPr>
          <w:sz w:val="28"/>
          <w:szCs w:val="28"/>
        </w:rPr>
        <w:t>счита</w:t>
      </w:r>
      <w:r w:rsidRPr="000E434B">
        <w:rPr>
          <w:sz w:val="28"/>
          <w:szCs w:val="28"/>
        </w:rPr>
        <w:t>ть эт</w:t>
      </w:r>
      <w:r w:rsidR="008E4DE7" w:rsidRPr="000E434B">
        <w:rPr>
          <w:sz w:val="28"/>
          <w:szCs w:val="28"/>
        </w:rPr>
        <w:t>и предложения опасными для экономики.</w:t>
      </w:r>
    </w:p>
    <w:p w:rsidR="00235DCC" w:rsidRPr="000E434B" w:rsidRDefault="002C6BAA" w:rsidP="00CE4321">
      <w:pPr>
        <w:spacing w:line="360" w:lineRule="auto"/>
        <w:ind w:firstLine="709"/>
        <w:jc w:val="both"/>
        <w:rPr>
          <w:sz w:val="28"/>
          <w:szCs w:val="28"/>
        </w:rPr>
      </w:pPr>
      <w:r w:rsidRPr="000E434B">
        <w:rPr>
          <w:sz w:val="28"/>
          <w:szCs w:val="28"/>
        </w:rPr>
        <w:t>Фонд</w:t>
      </w:r>
      <w:r w:rsidR="008E4DE7" w:rsidRPr="000E434B">
        <w:rPr>
          <w:sz w:val="28"/>
          <w:szCs w:val="28"/>
        </w:rPr>
        <w:t xml:space="preserve"> стерилизует достаточно большой объем денег </w:t>
      </w:r>
      <w:r w:rsidR="00C839E4" w:rsidRPr="000E434B">
        <w:rPr>
          <w:sz w:val="28"/>
          <w:szCs w:val="28"/>
        </w:rPr>
        <w:t xml:space="preserve">– </w:t>
      </w:r>
      <w:r w:rsidR="008E4DE7" w:rsidRPr="000E434B">
        <w:rPr>
          <w:sz w:val="28"/>
          <w:szCs w:val="28"/>
        </w:rPr>
        <w:t>нефтедолларов, и если снизить цену отсечения,</w:t>
      </w:r>
      <w:r w:rsidR="00C839E4" w:rsidRPr="000E434B">
        <w:rPr>
          <w:sz w:val="28"/>
          <w:szCs w:val="28"/>
        </w:rPr>
        <w:t xml:space="preserve"> </w:t>
      </w:r>
      <w:r w:rsidR="008E4DE7" w:rsidRPr="000E434B">
        <w:rPr>
          <w:sz w:val="28"/>
          <w:szCs w:val="28"/>
        </w:rPr>
        <w:t>то это может вызвать проблемы с ликвидностью и спровоцировать банковский кризис, падение рубля и, наоборот, раскручивание маховика инфляции из-за девальвации рубля.</w:t>
      </w:r>
    </w:p>
    <w:p w:rsidR="00B54CAC" w:rsidRPr="000E434B" w:rsidRDefault="00B54CAC" w:rsidP="00CE4321">
      <w:pPr>
        <w:pStyle w:val="a4"/>
        <w:spacing w:before="0" w:beforeAutospacing="0" w:after="0" w:afterAutospacing="0" w:line="360" w:lineRule="auto"/>
        <w:ind w:firstLine="709"/>
        <w:jc w:val="both"/>
        <w:rPr>
          <w:sz w:val="28"/>
          <w:szCs w:val="28"/>
        </w:rPr>
      </w:pPr>
      <w:r w:rsidRPr="000E434B">
        <w:rPr>
          <w:sz w:val="28"/>
          <w:szCs w:val="28"/>
        </w:rPr>
        <w:t>Еще предложение – улучшение дорог.</w:t>
      </w:r>
    </w:p>
    <w:p w:rsidR="00B54CAC" w:rsidRPr="000E434B" w:rsidRDefault="00B54CAC" w:rsidP="00CE4321">
      <w:pPr>
        <w:pStyle w:val="a4"/>
        <w:spacing w:before="0" w:beforeAutospacing="0" w:after="0" w:afterAutospacing="0" w:line="360" w:lineRule="auto"/>
        <w:ind w:firstLine="709"/>
        <w:jc w:val="both"/>
        <w:rPr>
          <w:sz w:val="28"/>
          <w:szCs w:val="28"/>
        </w:rPr>
      </w:pPr>
      <w:r w:rsidRPr="000E434B">
        <w:rPr>
          <w:sz w:val="28"/>
          <w:szCs w:val="28"/>
        </w:rPr>
        <w:t>Не секрет, что строительство дорог или железнодорожных магистралей далеко не всегда может быстро окупиться, однако их отсутствие является мощнейшим инфраструктурным ограничением для дальнейшего роста экономики.</w:t>
      </w:r>
    </w:p>
    <w:p w:rsidR="00B54CAC" w:rsidRPr="000E434B" w:rsidRDefault="00B54CAC" w:rsidP="00CE4321">
      <w:pPr>
        <w:pStyle w:val="a4"/>
        <w:spacing w:before="0" w:beforeAutospacing="0" w:after="0" w:afterAutospacing="0" w:line="360" w:lineRule="auto"/>
        <w:ind w:firstLine="709"/>
        <w:jc w:val="both"/>
        <w:rPr>
          <w:sz w:val="28"/>
          <w:szCs w:val="28"/>
        </w:rPr>
      </w:pPr>
      <w:r w:rsidRPr="000E434B">
        <w:rPr>
          <w:sz w:val="28"/>
          <w:szCs w:val="28"/>
        </w:rPr>
        <w:t>Совершенно очевидно, что, не включая транспортные проекты в перечень возможных объектов, аппарат правительства считает излишним информировать Минтранс о ведущейся в этом направлении работе.</w:t>
      </w:r>
    </w:p>
    <w:p w:rsidR="00B54CAC" w:rsidRPr="000E434B" w:rsidRDefault="00B54CAC" w:rsidP="00CE4321">
      <w:pPr>
        <w:pStyle w:val="a4"/>
        <w:spacing w:before="0" w:beforeAutospacing="0" w:after="0" w:afterAutospacing="0" w:line="360" w:lineRule="auto"/>
        <w:ind w:firstLine="709"/>
        <w:jc w:val="both"/>
        <w:rPr>
          <w:sz w:val="28"/>
          <w:szCs w:val="28"/>
        </w:rPr>
      </w:pPr>
      <w:r w:rsidRPr="000E434B">
        <w:rPr>
          <w:sz w:val="28"/>
          <w:szCs w:val="28"/>
        </w:rPr>
        <w:t>Складывается мнение, что проблема развития транспорта возникает только тогда, когда необходимо срочно найти решение льготного проезда в результате монетизации, или когда транспортные пробки парализуют движение, или когда выстраиваются многокилометровые очереди перевозчиков на погранпереходах</w:t>
      </w:r>
      <w:r w:rsidRPr="000E434B">
        <w:rPr>
          <w:rStyle w:val="editsection"/>
          <w:sz w:val="28"/>
          <w:szCs w:val="28"/>
        </w:rPr>
        <w:t xml:space="preserve"> </w:t>
      </w:r>
      <w:r w:rsidRPr="000E434B">
        <w:rPr>
          <w:sz w:val="28"/>
          <w:szCs w:val="28"/>
        </w:rPr>
        <w:t xml:space="preserve">Закупку зарубежного оборудования для модернизации российских производственных мощностей на деньги </w:t>
      </w:r>
      <w:r w:rsidR="002C6BAA" w:rsidRPr="000E434B">
        <w:rPr>
          <w:sz w:val="28"/>
          <w:szCs w:val="28"/>
        </w:rPr>
        <w:t>Фонд</w:t>
      </w:r>
      <w:r w:rsidRPr="000E434B">
        <w:rPr>
          <w:sz w:val="28"/>
          <w:szCs w:val="28"/>
        </w:rPr>
        <w:t>а Кудрин тоже считает неправильным шагом.</w:t>
      </w:r>
    </w:p>
    <w:p w:rsidR="00B54CAC" w:rsidRPr="000E434B" w:rsidRDefault="00B54CAC" w:rsidP="00CE4321">
      <w:pPr>
        <w:pStyle w:val="a4"/>
        <w:spacing w:before="0" w:beforeAutospacing="0" w:after="0" w:afterAutospacing="0" w:line="360" w:lineRule="auto"/>
        <w:ind w:firstLine="709"/>
        <w:jc w:val="both"/>
        <w:rPr>
          <w:sz w:val="28"/>
          <w:szCs w:val="28"/>
        </w:rPr>
      </w:pPr>
      <w:r w:rsidRPr="000E434B">
        <w:rPr>
          <w:sz w:val="28"/>
          <w:szCs w:val="28"/>
        </w:rPr>
        <w:t>По его мнению, такая политика гипотетически может привести к ущемлению российских производителей. Спорное утверждение: ведь речь шла о закупке оборудования, аналогов которым российская промышленность не выпускает.</w:t>
      </w:r>
    </w:p>
    <w:p w:rsidR="00B54CAC" w:rsidRPr="000E434B" w:rsidRDefault="00B54CAC" w:rsidP="00CE4321">
      <w:pPr>
        <w:pStyle w:val="a4"/>
        <w:spacing w:before="0" w:beforeAutospacing="0" w:after="0" w:afterAutospacing="0" w:line="360" w:lineRule="auto"/>
        <w:ind w:firstLine="709"/>
        <w:jc w:val="both"/>
        <w:rPr>
          <w:sz w:val="28"/>
          <w:szCs w:val="28"/>
        </w:rPr>
      </w:pPr>
      <w:r w:rsidRPr="000E434B">
        <w:rPr>
          <w:sz w:val="28"/>
          <w:szCs w:val="28"/>
        </w:rPr>
        <w:t xml:space="preserve">Приверженность этой идее продемонстрировало само правительство при решении вопросов о закупках в рамках национального проекта </w:t>
      </w:r>
      <w:r w:rsidR="00C839E4" w:rsidRPr="000E434B">
        <w:rPr>
          <w:sz w:val="28"/>
          <w:szCs w:val="28"/>
        </w:rPr>
        <w:t>«З</w:t>
      </w:r>
      <w:r w:rsidRPr="000E434B">
        <w:rPr>
          <w:sz w:val="28"/>
          <w:szCs w:val="28"/>
        </w:rPr>
        <w:t>дравоохранение</w:t>
      </w:r>
      <w:r w:rsidR="00C839E4" w:rsidRPr="000E434B">
        <w:rPr>
          <w:sz w:val="28"/>
          <w:szCs w:val="28"/>
        </w:rPr>
        <w:t>»,</w:t>
      </w:r>
      <w:r w:rsidRPr="000E434B">
        <w:rPr>
          <w:sz w:val="28"/>
          <w:szCs w:val="28"/>
        </w:rPr>
        <w:t xml:space="preserve"> в рамках которого предпочтение было отдано отечественному производителю.</w:t>
      </w:r>
    </w:p>
    <w:p w:rsidR="001A5E63" w:rsidRPr="000E434B" w:rsidRDefault="001A5E63" w:rsidP="00CE4321">
      <w:pPr>
        <w:pStyle w:val="1"/>
        <w:spacing w:before="0" w:beforeAutospacing="0" w:after="0" w:afterAutospacing="0" w:line="360" w:lineRule="auto"/>
        <w:ind w:firstLine="709"/>
        <w:jc w:val="both"/>
        <w:rPr>
          <w:rStyle w:val="editsection"/>
          <w:sz w:val="28"/>
          <w:szCs w:val="28"/>
        </w:rPr>
      </w:pPr>
      <w:bookmarkStart w:id="17" w:name="_Toc272332143"/>
      <w:bookmarkStart w:id="18" w:name="_Toc272765897"/>
    </w:p>
    <w:p w:rsidR="001A5E63" w:rsidRPr="000E434B" w:rsidRDefault="001A5E63" w:rsidP="00CE4321">
      <w:pPr>
        <w:pStyle w:val="1"/>
        <w:spacing w:before="0" w:beforeAutospacing="0" w:after="0" w:afterAutospacing="0" w:line="360" w:lineRule="auto"/>
        <w:ind w:firstLine="709"/>
        <w:jc w:val="both"/>
        <w:rPr>
          <w:rStyle w:val="editsection"/>
          <w:sz w:val="28"/>
          <w:szCs w:val="28"/>
        </w:rPr>
      </w:pPr>
    </w:p>
    <w:p w:rsidR="007B1270" w:rsidRPr="00CE4321" w:rsidRDefault="001A5E63" w:rsidP="00CE4321">
      <w:pPr>
        <w:pStyle w:val="1"/>
        <w:spacing w:before="0" w:beforeAutospacing="0" w:after="0" w:afterAutospacing="0" w:line="360" w:lineRule="auto"/>
        <w:jc w:val="both"/>
        <w:rPr>
          <w:b w:val="0"/>
          <w:sz w:val="32"/>
        </w:rPr>
      </w:pPr>
      <w:r w:rsidRPr="000E434B">
        <w:rPr>
          <w:rStyle w:val="editsection"/>
          <w:sz w:val="28"/>
          <w:szCs w:val="28"/>
        </w:rPr>
        <w:br w:type="page"/>
      </w:r>
      <w:bookmarkStart w:id="19" w:name="_Toc295816789"/>
      <w:r w:rsidR="007B1270" w:rsidRPr="00CE4321">
        <w:rPr>
          <w:b w:val="0"/>
          <w:sz w:val="32"/>
        </w:rPr>
        <w:t>З</w:t>
      </w:r>
      <w:bookmarkEnd w:id="17"/>
      <w:bookmarkEnd w:id="18"/>
      <w:bookmarkEnd w:id="19"/>
      <w:r w:rsidR="00CE4321">
        <w:rPr>
          <w:b w:val="0"/>
          <w:sz w:val="32"/>
        </w:rPr>
        <w:t>АКЛЮЧЕНИЕ</w:t>
      </w:r>
    </w:p>
    <w:p w:rsidR="007B1270" w:rsidRPr="000E434B" w:rsidRDefault="007B1270" w:rsidP="00CE4321">
      <w:pPr>
        <w:pStyle w:val="1"/>
        <w:spacing w:before="0" w:beforeAutospacing="0" w:after="0" w:afterAutospacing="0" w:line="360" w:lineRule="auto"/>
        <w:ind w:firstLine="709"/>
        <w:jc w:val="both"/>
        <w:rPr>
          <w:rStyle w:val="editsection"/>
          <w:sz w:val="28"/>
          <w:szCs w:val="28"/>
        </w:rPr>
      </w:pPr>
    </w:p>
    <w:p w:rsidR="007B1270" w:rsidRPr="000E434B" w:rsidRDefault="007B1270" w:rsidP="00CE4321">
      <w:pPr>
        <w:spacing w:line="360" w:lineRule="auto"/>
        <w:ind w:firstLine="709"/>
        <w:jc w:val="both"/>
        <w:rPr>
          <w:bCs/>
          <w:sz w:val="28"/>
          <w:szCs w:val="28"/>
        </w:rPr>
      </w:pPr>
      <w:r w:rsidRPr="000E434B">
        <w:rPr>
          <w:bCs/>
          <w:sz w:val="28"/>
          <w:szCs w:val="28"/>
        </w:rPr>
        <w:t xml:space="preserve">Стабилизационный фонд </w:t>
      </w:r>
      <w:r w:rsidR="00C839E4" w:rsidRPr="000E434B">
        <w:rPr>
          <w:bCs/>
          <w:sz w:val="28"/>
          <w:szCs w:val="28"/>
        </w:rPr>
        <w:t xml:space="preserve">– </w:t>
      </w:r>
      <w:r w:rsidRPr="000E434B">
        <w:rPr>
          <w:bCs/>
          <w:sz w:val="28"/>
          <w:szCs w:val="28"/>
        </w:rPr>
        <w:t>это целевой бюджетный фонд с законодательно установленными источниками его образования. Средства фонда предназначались для покрытия дефицита бюджета, образуемого при сокращении объема поступлений от экспортных пошлин на нефть и налога на добычу полезных ископаемых (нефти), могли временно размещаться в долговые обязательства иностранных государств по выбору правительства (предоставление займов иностранным государствам), а также направлялись на покрытие текущих и капитальных расходов бюджета.</w:t>
      </w:r>
    </w:p>
    <w:p w:rsidR="000E434B" w:rsidRPr="002C6BAA" w:rsidRDefault="000E434B" w:rsidP="00CE4321">
      <w:pPr>
        <w:spacing w:line="360" w:lineRule="auto"/>
        <w:ind w:firstLine="709"/>
        <w:jc w:val="both"/>
        <w:rPr>
          <w:bCs/>
          <w:sz w:val="28"/>
          <w:szCs w:val="28"/>
        </w:rPr>
      </w:pPr>
      <w:r w:rsidRPr="002C6BAA">
        <w:rPr>
          <w:bCs/>
          <w:sz w:val="28"/>
          <w:szCs w:val="28"/>
        </w:rPr>
        <w:t>Резервный фонд является частью средств федерального бюджета. Фонд призван обеспечивать выполнение государством своих расходных обязательств в случае снижения поступлений нефтегазовых доходов в федеральный бюджет.</w:t>
      </w:r>
    </w:p>
    <w:p w:rsidR="000E434B" w:rsidRPr="002C6BAA" w:rsidRDefault="000E434B" w:rsidP="00CE4321">
      <w:pPr>
        <w:spacing w:line="360" w:lineRule="auto"/>
        <w:ind w:firstLine="709"/>
        <w:jc w:val="both"/>
        <w:rPr>
          <w:bCs/>
          <w:sz w:val="28"/>
          <w:szCs w:val="28"/>
        </w:rPr>
      </w:pPr>
      <w:r w:rsidRPr="002C6BAA">
        <w:rPr>
          <w:bCs/>
          <w:sz w:val="28"/>
          <w:szCs w:val="28"/>
        </w:rPr>
        <w:t>Резервный фонд способствует стабильности экономического развития страны, уменьшая инфляционное давление и снижая зависимость национальной экономики от колебаний поступлений от экспорта невозобновляемых природных ресурсов.</w:t>
      </w:r>
    </w:p>
    <w:p w:rsidR="007B1270" w:rsidRPr="000E434B" w:rsidRDefault="007B1270" w:rsidP="00CE4321">
      <w:pPr>
        <w:spacing w:line="360" w:lineRule="auto"/>
        <w:ind w:firstLine="709"/>
        <w:jc w:val="both"/>
        <w:rPr>
          <w:bCs/>
          <w:sz w:val="28"/>
          <w:szCs w:val="28"/>
        </w:rPr>
      </w:pPr>
      <w:r w:rsidRPr="000E434B">
        <w:rPr>
          <w:bCs/>
          <w:sz w:val="28"/>
          <w:szCs w:val="28"/>
        </w:rPr>
        <w:t xml:space="preserve">Идея была поддержана практически всеми (государственными органами и обществом) </w:t>
      </w:r>
      <w:r w:rsidR="00C839E4" w:rsidRPr="000E434B">
        <w:rPr>
          <w:bCs/>
          <w:sz w:val="28"/>
          <w:szCs w:val="28"/>
        </w:rPr>
        <w:t xml:space="preserve">– </w:t>
      </w:r>
      <w:r w:rsidRPr="000E434B">
        <w:rPr>
          <w:bCs/>
          <w:sz w:val="28"/>
          <w:szCs w:val="28"/>
        </w:rPr>
        <w:t xml:space="preserve">успешная практика функционирования таких фондов во множестве государств мира, от Норвегии до Катара, говорила сама за себя. Федеральный бюджет РФ на протяжении ряда лет формировался с профицитом, исходя из определенного уровня цен на нефть, а весь </w:t>
      </w:r>
      <w:r w:rsidR="00C839E4" w:rsidRPr="000E434B">
        <w:rPr>
          <w:bCs/>
          <w:sz w:val="28"/>
          <w:szCs w:val="28"/>
        </w:rPr>
        <w:t>«с</w:t>
      </w:r>
      <w:r w:rsidRPr="000E434B">
        <w:rPr>
          <w:bCs/>
          <w:sz w:val="28"/>
          <w:szCs w:val="28"/>
        </w:rPr>
        <w:t>верхпрофицит</w:t>
      </w:r>
      <w:r w:rsidR="00C839E4" w:rsidRPr="000E434B">
        <w:rPr>
          <w:bCs/>
          <w:sz w:val="28"/>
          <w:szCs w:val="28"/>
        </w:rPr>
        <w:t>»,</w:t>
      </w:r>
      <w:r w:rsidRPr="000E434B">
        <w:rPr>
          <w:bCs/>
          <w:sz w:val="28"/>
          <w:szCs w:val="28"/>
        </w:rPr>
        <w:t xml:space="preserve"> который появлялся из-за того, что реальная цена была постоянно выше прогнозной, направлялся в </w:t>
      </w:r>
      <w:r w:rsidR="002C6BAA" w:rsidRPr="000E434B">
        <w:rPr>
          <w:bCs/>
          <w:sz w:val="28"/>
          <w:szCs w:val="28"/>
        </w:rPr>
        <w:t>Фонд</w:t>
      </w:r>
      <w:r w:rsidRPr="000E434B">
        <w:rPr>
          <w:bCs/>
          <w:sz w:val="28"/>
          <w:szCs w:val="28"/>
        </w:rPr>
        <w:t>.</w:t>
      </w:r>
    </w:p>
    <w:p w:rsidR="007B1270" w:rsidRPr="000E434B" w:rsidRDefault="007B1270" w:rsidP="00CE4321">
      <w:pPr>
        <w:pStyle w:val="1"/>
        <w:spacing w:before="0" w:beforeAutospacing="0" w:after="0" w:afterAutospacing="0" w:line="360" w:lineRule="auto"/>
        <w:ind w:firstLine="709"/>
        <w:jc w:val="both"/>
        <w:rPr>
          <w:rStyle w:val="editsection"/>
          <w:sz w:val="28"/>
          <w:szCs w:val="28"/>
        </w:rPr>
      </w:pPr>
    </w:p>
    <w:p w:rsidR="007B1270" w:rsidRPr="000E434B" w:rsidRDefault="007B1270" w:rsidP="00CE4321">
      <w:pPr>
        <w:pStyle w:val="1"/>
        <w:spacing w:before="0" w:beforeAutospacing="0" w:after="0" w:afterAutospacing="0" w:line="360" w:lineRule="auto"/>
        <w:ind w:firstLine="709"/>
        <w:jc w:val="both"/>
        <w:rPr>
          <w:rStyle w:val="editsection"/>
          <w:sz w:val="28"/>
          <w:szCs w:val="28"/>
        </w:rPr>
      </w:pPr>
    </w:p>
    <w:p w:rsidR="003C5998" w:rsidRPr="00CE4321" w:rsidRDefault="004B2954" w:rsidP="00CE4321">
      <w:pPr>
        <w:pStyle w:val="1"/>
        <w:spacing w:before="0" w:beforeAutospacing="0" w:after="0" w:afterAutospacing="0" w:line="360" w:lineRule="auto"/>
        <w:jc w:val="both"/>
        <w:rPr>
          <w:b w:val="0"/>
          <w:sz w:val="32"/>
        </w:rPr>
      </w:pPr>
      <w:r w:rsidRPr="000E434B">
        <w:rPr>
          <w:rStyle w:val="editsection"/>
          <w:sz w:val="28"/>
          <w:szCs w:val="28"/>
        </w:rPr>
        <w:br w:type="page"/>
      </w:r>
      <w:bookmarkStart w:id="20" w:name="_Toc272765898"/>
      <w:bookmarkStart w:id="21" w:name="_Toc295816790"/>
      <w:r w:rsidR="003C5998" w:rsidRPr="00CE4321">
        <w:rPr>
          <w:b w:val="0"/>
          <w:sz w:val="32"/>
        </w:rPr>
        <w:t>С</w:t>
      </w:r>
      <w:bookmarkEnd w:id="20"/>
      <w:bookmarkEnd w:id="21"/>
      <w:r w:rsidR="00CE4321">
        <w:rPr>
          <w:b w:val="0"/>
          <w:sz w:val="32"/>
        </w:rPr>
        <w:t>ПИСОК ИСПОЛЬЗОВАННОЙ ЛИТЕРАТУРЫ</w:t>
      </w:r>
    </w:p>
    <w:p w:rsidR="003C5998" w:rsidRPr="000E434B" w:rsidRDefault="003C5998" w:rsidP="00CE4321">
      <w:pPr>
        <w:spacing w:line="360" w:lineRule="auto"/>
        <w:ind w:firstLine="709"/>
        <w:jc w:val="both"/>
        <w:rPr>
          <w:rStyle w:val="editsection"/>
          <w:sz w:val="28"/>
          <w:szCs w:val="28"/>
        </w:rPr>
      </w:pPr>
    </w:p>
    <w:p w:rsidR="003C5998" w:rsidRPr="000E434B" w:rsidRDefault="00146C21" w:rsidP="00CE4321">
      <w:pPr>
        <w:numPr>
          <w:ilvl w:val="0"/>
          <w:numId w:val="15"/>
        </w:numPr>
        <w:tabs>
          <w:tab w:val="clear" w:pos="720"/>
          <w:tab w:val="num" w:pos="360"/>
          <w:tab w:val="left" w:pos="1134"/>
        </w:tabs>
        <w:spacing w:line="360" w:lineRule="auto"/>
        <w:ind w:left="426" w:hanging="426"/>
        <w:jc w:val="both"/>
        <w:rPr>
          <w:rStyle w:val="editsection"/>
          <w:sz w:val="28"/>
          <w:szCs w:val="28"/>
        </w:rPr>
      </w:pPr>
      <w:r w:rsidRPr="000E434B">
        <w:rPr>
          <w:sz w:val="28"/>
          <w:szCs w:val="28"/>
        </w:rPr>
        <w:t>Бюджетный кодекс Российской Федерации, глава 13.1, статья 96.1, 96.2</w:t>
      </w:r>
    </w:p>
    <w:p w:rsidR="003C5998" w:rsidRPr="000E434B" w:rsidRDefault="00146C21" w:rsidP="00CE4321">
      <w:pPr>
        <w:numPr>
          <w:ilvl w:val="0"/>
          <w:numId w:val="15"/>
        </w:numPr>
        <w:tabs>
          <w:tab w:val="clear" w:pos="720"/>
          <w:tab w:val="num" w:pos="360"/>
          <w:tab w:val="left" w:pos="1134"/>
        </w:tabs>
        <w:spacing w:line="360" w:lineRule="auto"/>
        <w:ind w:left="426" w:hanging="426"/>
        <w:jc w:val="both"/>
        <w:rPr>
          <w:sz w:val="28"/>
          <w:szCs w:val="28"/>
        </w:rPr>
      </w:pPr>
      <w:r w:rsidRPr="000E434B">
        <w:rPr>
          <w:sz w:val="28"/>
          <w:szCs w:val="28"/>
        </w:rPr>
        <w:t>Постановление Правительства Российской Федерации от 21 апреля 2006</w:t>
      </w:r>
      <w:r w:rsidR="00C839E4" w:rsidRPr="000E434B">
        <w:rPr>
          <w:sz w:val="28"/>
          <w:szCs w:val="28"/>
        </w:rPr>
        <w:t> г</w:t>
      </w:r>
      <w:r w:rsidRPr="000E434B">
        <w:rPr>
          <w:sz w:val="28"/>
          <w:szCs w:val="28"/>
        </w:rPr>
        <w:t xml:space="preserve">. </w:t>
      </w:r>
      <w:r w:rsidR="00C839E4" w:rsidRPr="000E434B">
        <w:rPr>
          <w:sz w:val="28"/>
          <w:szCs w:val="28"/>
        </w:rPr>
        <w:t>№2</w:t>
      </w:r>
      <w:r w:rsidRPr="000E434B">
        <w:rPr>
          <w:sz w:val="28"/>
          <w:szCs w:val="28"/>
        </w:rPr>
        <w:t>29 «О порядке управления средствами Стабилизационного фонда Российской Федерации»</w:t>
      </w:r>
    </w:p>
    <w:p w:rsidR="00E54E30" w:rsidRPr="000E434B" w:rsidRDefault="00E54E30" w:rsidP="00CE4321">
      <w:pPr>
        <w:numPr>
          <w:ilvl w:val="0"/>
          <w:numId w:val="15"/>
        </w:numPr>
        <w:tabs>
          <w:tab w:val="clear" w:pos="720"/>
          <w:tab w:val="num" w:pos="360"/>
          <w:tab w:val="left" w:pos="1134"/>
        </w:tabs>
        <w:spacing w:line="360" w:lineRule="auto"/>
        <w:ind w:left="426" w:hanging="426"/>
        <w:jc w:val="both"/>
        <w:rPr>
          <w:bCs/>
          <w:sz w:val="28"/>
          <w:szCs w:val="28"/>
        </w:rPr>
      </w:pPr>
      <w:r w:rsidRPr="000E434B">
        <w:rPr>
          <w:bCs/>
          <w:sz w:val="28"/>
          <w:szCs w:val="28"/>
        </w:rPr>
        <w:t>Быля А.</w:t>
      </w:r>
      <w:r w:rsidR="00C839E4" w:rsidRPr="000E434B">
        <w:rPr>
          <w:bCs/>
          <w:sz w:val="28"/>
          <w:szCs w:val="28"/>
        </w:rPr>
        <w:t xml:space="preserve">Б. Роль </w:t>
      </w:r>
      <w:r w:rsidR="002C6BAA" w:rsidRPr="000E434B">
        <w:rPr>
          <w:bCs/>
          <w:sz w:val="28"/>
          <w:szCs w:val="28"/>
        </w:rPr>
        <w:t>Фонд</w:t>
      </w:r>
      <w:r w:rsidRPr="000E434B">
        <w:rPr>
          <w:bCs/>
          <w:sz w:val="28"/>
          <w:szCs w:val="28"/>
        </w:rPr>
        <w:t>ов в системе стран.</w:t>
      </w:r>
      <w:r w:rsidR="00C839E4" w:rsidRPr="000E434B">
        <w:rPr>
          <w:bCs/>
          <w:sz w:val="28"/>
          <w:szCs w:val="28"/>
        </w:rPr>
        <w:t> //</w:t>
      </w:r>
      <w:r w:rsidRPr="000E434B">
        <w:rPr>
          <w:bCs/>
          <w:sz w:val="28"/>
          <w:szCs w:val="28"/>
        </w:rPr>
        <w:t xml:space="preserve"> Финансовое право, </w:t>
      </w:r>
      <w:r w:rsidR="000E434B" w:rsidRPr="000E434B">
        <w:rPr>
          <w:bCs/>
          <w:sz w:val="28"/>
          <w:szCs w:val="28"/>
        </w:rPr>
        <w:t>2009</w:t>
      </w:r>
      <w:r w:rsidRPr="000E434B">
        <w:rPr>
          <w:bCs/>
          <w:sz w:val="28"/>
          <w:szCs w:val="28"/>
        </w:rPr>
        <w:t xml:space="preserve">, </w:t>
      </w:r>
      <w:r w:rsidR="00C839E4" w:rsidRPr="000E434B">
        <w:rPr>
          <w:bCs/>
          <w:sz w:val="28"/>
          <w:szCs w:val="28"/>
        </w:rPr>
        <w:t>№7</w:t>
      </w:r>
    </w:p>
    <w:p w:rsidR="00E54E30" w:rsidRPr="000E434B" w:rsidRDefault="00E54E30" w:rsidP="00CE4321">
      <w:pPr>
        <w:numPr>
          <w:ilvl w:val="0"/>
          <w:numId w:val="15"/>
        </w:numPr>
        <w:tabs>
          <w:tab w:val="clear" w:pos="720"/>
          <w:tab w:val="num" w:pos="360"/>
          <w:tab w:val="left" w:pos="1134"/>
        </w:tabs>
        <w:spacing w:line="360" w:lineRule="auto"/>
        <w:ind w:left="426" w:hanging="426"/>
        <w:jc w:val="both"/>
        <w:rPr>
          <w:sz w:val="28"/>
          <w:szCs w:val="28"/>
        </w:rPr>
      </w:pPr>
      <w:r w:rsidRPr="000E434B">
        <w:rPr>
          <w:sz w:val="28"/>
          <w:szCs w:val="28"/>
        </w:rPr>
        <w:t>Варнавский В. Стабилизационный фонд как инструмент экономической политики государства</w:t>
      </w:r>
      <w:r w:rsidR="00C839E4" w:rsidRPr="000E434B">
        <w:rPr>
          <w:sz w:val="28"/>
          <w:szCs w:val="28"/>
        </w:rPr>
        <w:t> //</w:t>
      </w:r>
      <w:r w:rsidRPr="000E434B">
        <w:rPr>
          <w:sz w:val="28"/>
          <w:szCs w:val="28"/>
        </w:rPr>
        <w:t xml:space="preserve"> Мировая экономика и международные отношения. </w:t>
      </w:r>
      <w:r w:rsidR="000E434B" w:rsidRPr="000E434B">
        <w:rPr>
          <w:sz w:val="28"/>
          <w:szCs w:val="28"/>
        </w:rPr>
        <w:t>2010</w:t>
      </w:r>
      <w:r w:rsidRPr="000E434B">
        <w:rPr>
          <w:sz w:val="28"/>
          <w:szCs w:val="28"/>
        </w:rPr>
        <w:t>,</w:t>
      </w:r>
      <w:r w:rsidR="00C839E4" w:rsidRPr="000E434B">
        <w:rPr>
          <w:sz w:val="28"/>
          <w:szCs w:val="28"/>
        </w:rPr>
        <w:t xml:space="preserve"> №5</w:t>
      </w:r>
      <w:r w:rsidRPr="000E434B">
        <w:rPr>
          <w:sz w:val="28"/>
          <w:szCs w:val="28"/>
        </w:rPr>
        <w:t>.</w:t>
      </w:r>
    </w:p>
    <w:p w:rsidR="00E54E30" w:rsidRPr="000E434B" w:rsidRDefault="00E54E30" w:rsidP="00CE4321">
      <w:pPr>
        <w:numPr>
          <w:ilvl w:val="0"/>
          <w:numId w:val="15"/>
        </w:numPr>
        <w:tabs>
          <w:tab w:val="clear" w:pos="720"/>
          <w:tab w:val="num" w:pos="360"/>
          <w:tab w:val="left" w:pos="1134"/>
        </w:tabs>
        <w:spacing w:line="360" w:lineRule="auto"/>
        <w:ind w:left="426" w:hanging="426"/>
        <w:jc w:val="both"/>
        <w:rPr>
          <w:sz w:val="28"/>
          <w:szCs w:val="28"/>
        </w:rPr>
      </w:pPr>
      <w:r w:rsidRPr="000E434B">
        <w:rPr>
          <w:sz w:val="28"/>
          <w:szCs w:val="28"/>
        </w:rPr>
        <w:t>Глазьев С.М. О стратегии экономического развития России</w:t>
      </w:r>
      <w:r w:rsidR="00C839E4" w:rsidRPr="000E434B">
        <w:rPr>
          <w:sz w:val="28"/>
          <w:szCs w:val="28"/>
        </w:rPr>
        <w:t> //</w:t>
      </w:r>
      <w:r w:rsidRPr="000E434B">
        <w:rPr>
          <w:sz w:val="28"/>
          <w:szCs w:val="28"/>
        </w:rPr>
        <w:t xml:space="preserve"> Вопросы экономики,</w:t>
      </w:r>
      <w:r w:rsidR="00C839E4" w:rsidRPr="000E434B">
        <w:rPr>
          <w:sz w:val="28"/>
          <w:szCs w:val="28"/>
        </w:rPr>
        <w:t xml:space="preserve"> </w:t>
      </w:r>
      <w:r w:rsidR="000E434B" w:rsidRPr="000E434B">
        <w:rPr>
          <w:sz w:val="28"/>
          <w:szCs w:val="28"/>
        </w:rPr>
        <w:t>2010</w:t>
      </w:r>
      <w:r w:rsidRPr="000E434B">
        <w:rPr>
          <w:sz w:val="28"/>
          <w:szCs w:val="28"/>
        </w:rPr>
        <w:t>,</w:t>
      </w:r>
      <w:r w:rsidR="00C839E4" w:rsidRPr="000E434B">
        <w:rPr>
          <w:sz w:val="28"/>
          <w:szCs w:val="28"/>
        </w:rPr>
        <w:t xml:space="preserve"> №5</w:t>
      </w:r>
      <w:r w:rsidRPr="000E434B">
        <w:rPr>
          <w:sz w:val="28"/>
          <w:szCs w:val="28"/>
        </w:rPr>
        <w:t>.</w:t>
      </w:r>
    </w:p>
    <w:p w:rsidR="00E54E30" w:rsidRPr="000E434B" w:rsidRDefault="00E54E30" w:rsidP="00CE4321">
      <w:pPr>
        <w:numPr>
          <w:ilvl w:val="0"/>
          <w:numId w:val="15"/>
        </w:numPr>
        <w:tabs>
          <w:tab w:val="clear" w:pos="720"/>
          <w:tab w:val="num" w:pos="360"/>
          <w:tab w:val="left" w:pos="1134"/>
        </w:tabs>
        <w:spacing w:line="360" w:lineRule="auto"/>
        <w:ind w:left="426" w:hanging="426"/>
        <w:jc w:val="both"/>
        <w:rPr>
          <w:sz w:val="28"/>
          <w:szCs w:val="28"/>
        </w:rPr>
      </w:pPr>
      <w:r w:rsidRPr="000E434B">
        <w:rPr>
          <w:sz w:val="28"/>
          <w:szCs w:val="28"/>
        </w:rPr>
        <w:t>Забелина О. Российская специфика &lt;голландской болезни&gt;.</w:t>
      </w:r>
      <w:r w:rsidR="00C839E4" w:rsidRPr="000E434B">
        <w:rPr>
          <w:sz w:val="28"/>
          <w:szCs w:val="28"/>
        </w:rPr>
        <w:t> //</w:t>
      </w:r>
      <w:r w:rsidRPr="000E434B">
        <w:rPr>
          <w:sz w:val="28"/>
          <w:szCs w:val="28"/>
        </w:rPr>
        <w:t xml:space="preserve"> Вопросы экономики, </w:t>
      </w:r>
      <w:r w:rsidR="000E434B" w:rsidRPr="000E434B">
        <w:rPr>
          <w:sz w:val="28"/>
          <w:szCs w:val="28"/>
        </w:rPr>
        <w:t>2010</w:t>
      </w:r>
      <w:r w:rsidRPr="000E434B">
        <w:rPr>
          <w:sz w:val="28"/>
          <w:szCs w:val="28"/>
        </w:rPr>
        <w:t xml:space="preserve">, </w:t>
      </w:r>
      <w:r w:rsidR="00C839E4" w:rsidRPr="000E434B">
        <w:rPr>
          <w:sz w:val="28"/>
          <w:szCs w:val="28"/>
        </w:rPr>
        <w:t>№1</w:t>
      </w:r>
      <w:r w:rsidRPr="000E434B">
        <w:rPr>
          <w:sz w:val="28"/>
          <w:szCs w:val="28"/>
        </w:rPr>
        <w:t>1.</w:t>
      </w:r>
    </w:p>
    <w:p w:rsidR="00E54E30" w:rsidRPr="000E434B" w:rsidRDefault="00E54E30" w:rsidP="00CE4321">
      <w:pPr>
        <w:numPr>
          <w:ilvl w:val="0"/>
          <w:numId w:val="15"/>
        </w:numPr>
        <w:tabs>
          <w:tab w:val="clear" w:pos="720"/>
          <w:tab w:val="num" w:pos="360"/>
          <w:tab w:val="left" w:pos="1134"/>
        </w:tabs>
        <w:spacing w:line="360" w:lineRule="auto"/>
        <w:ind w:left="426" w:hanging="426"/>
        <w:jc w:val="both"/>
        <w:rPr>
          <w:sz w:val="28"/>
          <w:szCs w:val="28"/>
        </w:rPr>
      </w:pPr>
      <w:r w:rsidRPr="000E434B">
        <w:rPr>
          <w:sz w:val="28"/>
          <w:szCs w:val="28"/>
        </w:rPr>
        <w:t>Кимельман С., Андрюшин С. Стабилизационный фонд и экономический рост.</w:t>
      </w:r>
      <w:r w:rsidR="00C839E4" w:rsidRPr="000E434B">
        <w:rPr>
          <w:sz w:val="28"/>
          <w:szCs w:val="28"/>
        </w:rPr>
        <w:t> //</w:t>
      </w:r>
      <w:r w:rsidRPr="000E434B">
        <w:rPr>
          <w:sz w:val="28"/>
          <w:szCs w:val="28"/>
        </w:rPr>
        <w:t xml:space="preserve"> Вопросы экономики, </w:t>
      </w:r>
      <w:r w:rsidR="000E434B" w:rsidRPr="000E434B">
        <w:rPr>
          <w:sz w:val="28"/>
          <w:szCs w:val="28"/>
        </w:rPr>
        <w:t>2009</w:t>
      </w:r>
      <w:r w:rsidRPr="000E434B">
        <w:rPr>
          <w:sz w:val="28"/>
          <w:szCs w:val="28"/>
        </w:rPr>
        <w:t xml:space="preserve">, </w:t>
      </w:r>
      <w:r w:rsidR="00C839E4" w:rsidRPr="000E434B">
        <w:rPr>
          <w:sz w:val="28"/>
          <w:szCs w:val="28"/>
        </w:rPr>
        <w:t>№1</w:t>
      </w:r>
      <w:r w:rsidRPr="000E434B">
        <w:rPr>
          <w:sz w:val="28"/>
          <w:szCs w:val="28"/>
        </w:rPr>
        <w:t>1.</w:t>
      </w:r>
    </w:p>
    <w:p w:rsidR="00E54E30" w:rsidRPr="000E434B" w:rsidRDefault="00E54E30" w:rsidP="00CE4321">
      <w:pPr>
        <w:numPr>
          <w:ilvl w:val="0"/>
          <w:numId w:val="15"/>
        </w:numPr>
        <w:tabs>
          <w:tab w:val="clear" w:pos="720"/>
          <w:tab w:val="num" w:pos="360"/>
          <w:tab w:val="left" w:pos="1134"/>
        </w:tabs>
        <w:spacing w:line="360" w:lineRule="auto"/>
        <w:ind w:left="426" w:hanging="426"/>
        <w:jc w:val="both"/>
        <w:rPr>
          <w:sz w:val="28"/>
          <w:szCs w:val="28"/>
        </w:rPr>
      </w:pPr>
      <w:r w:rsidRPr="000E434B">
        <w:rPr>
          <w:sz w:val="28"/>
          <w:szCs w:val="28"/>
        </w:rPr>
        <w:t>Кудрин А</w:t>
      </w:r>
      <w:r w:rsidR="00C839E4" w:rsidRPr="000E434B">
        <w:rPr>
          <w:sz w:val="28"/>
          <w:szCs w:val="28"/>
        </w:rPr>
        <w:t>. Ст</w:t>
      </w:r>
      <w:r w:rsidRPr="000E434B">
        <w:rPr>
          <w:sz w:val="28"/>
          <w:szCs w:val="28"/>
        </w:rPr>
        <w:t>абилизационный фонд: зарубежный и российский опыт.</w:t>
      </w:r>
      <w:r w:rsidR="00C839E4" w:rsidRPr="000E434B">
        <w:rPr>
          <w:sz w:val="28"/>
          <w:szCs w:val="28"/>
        </w:rPr>
        <w:t> //</w:t>
      </w:r>
      <w:r w:rsidRPr="000E434B">
        <w:rPr>
          <w:sz w:val="28"/>
          <w:szCs w:val="28"/>
        </w:rPr>
        <w:t xml:space="preserve"> Вопросы экономики, </w:t>
      </w:r>
      <w:r w:rsidR="000E434B" w:rsidRPr="000E434B">
        <w:rPr>
          <w:sz w:val="28"/>
          <w:szCs w:val="28"/>
        </w:rPr>
        <w:t>2010</w:t>
      </w:r>
      <w:r w:rsidRPr="000E434B">
        <w:rPr>
          <w:sz w:val="28"/>
          <w:szCs w:val="28"/>
        </w:rPr>
        <w:t xml:space="preserve">, </w:t>
      </w:r>
      <w:r w:rsidR="00C839E4" w:rsidRPr="000E434B">
        <w:rPr>
          <w:sz w:val="28"/>
          <w:szCs w:val="28"/>
        </w:rPr>
        <w:t>№2</w:t>
      </w:r>
      <w:r w:rsidRPr="000E434B">
        <w:rPr>
          <w:sz w:val="28"/>
          <w:szCs w:val="28"/>
        </w:rPr>
        <w:t>.</w:t>
      </w:r>
    </w:p>
    <w:p w:rsidR="00E54E30" w:rsidRPr="000E434B" w:rsidRDefault="00E54E30" w:rsidP="00CE4321">
      <w:pPr>
        <w:numPr>
          <w:ilvl w:val="0"/>
          <w:numId w:val="15"/>
        </w:numPr>
        <w:tabs>
          <w:tab w:val="clear" w:pos="720"/>
          <w:tab w:val="num" w:pos="360"/>
          <w:tab w:val="left" w:pos="1134"/>
        </w:tabs>
        <w:spacing w:line="360" w:lineRule="auto"/>
        <w:ind w:left="426" w:hanging="426"/>
        <w:jc w:val="both"/>
        <w:rPr>
          <w:sz w:val="28"/>
          <w:szCs w:val="28"/>
        </w:rPr>
      </w:pPr>
      <w:r w:rsidRPr="00AA04E4">
        <w:rPr>
          <w:sz w:val="28"/>
          <w:szCs w:val="28"/>
        </w:rPr>
        <w:t>Минфин России</w:t>
      </w:r>
      <w:r w:rsidR="00C839E4" w:rsidRPr="00AA04E4">
        <w:rPr>
          <w:sz w:val="28"/>
          <w:szCs w:val="28"/>
        </w:rPr>
        <w:t>:</w:t>
      </w:r>
      <w:r w:rsidRPr="00AA04E4">
        <w:rPr>
          <w:sz w:val="28"/>
          <w:szCs w:val="28"/>
        </w:rPr>
        <w:t xml:space="preserve"> Стабилизационный фонд</w:t>
      </w:r>
      <w:r w:rsidRPr="000E434B">
        <w:rPr>
          <w:sz w:val="28"/>
          <w:szCs w:val="28"/>
        </w:rPr>
        <w:t>.</w:t>
      </w:r>
      <w:r w:rsidR="00C839E4" w:rsidRPr="000E434B">
        <w:rPr>
          <w:sz w:val="28"/>
          <w:szCs w:val="28"/>
        </w:rPr>
        <w:t> //</w:t>
      </w:r>
      <w:r w:rsidRPr="000E434B">
        <w:rPr>
          <w:sz w:val="28"/>
          <w:szCs w:val="28"/>
        </w:rPr>
        <w:t xml:space="preserve"> http://www.minfin.ru/ru/stabfund/about/</w:t>
      </w:r>
    </w:p>
    <w:p w:rsidR="00E54E30" w:rsidRPr="000E434B" w:rsidRDefault="00E54E30" w:rsidP="00CE4321">
      <w:pPr>
        <w:numPr>
          <w:ilvl w:val="0"/>
          <w:numId w:val="15"/>
        </w:numPr>
        <w:tabs>
          <w:tab w:val="clear" w:pos="720"/>
          <w:tab w:val="num" w:pos="360"/>
          <w:tab w:val="left" w:pos="1134"/>
        </w:tabs>
        <w:spacing w:line="360" w:lineRule="auto"/>
        <w:ind w:left="426" w:hanging="426"/>
        <w:jc w:val="both"/>
        <w:rPr>
          <w:sz w:val="28"/>
          <w:szCs w:val="28"/>
        </w:rPr>
      </w:pPr>
      <w:r w:rsidRPr="00AA04E4">
        <w:rPr>
          <w:bCs/>
          <w:sz w:val="28"/>
          <w:szCs w:val="28"/>
        </w:rPr>
        <w:t>Михаил Копейкин, доктор экономических наук</w:t>
      </w:r>
      <w:r w:rsidRPr="000E434B">
        <w:rPr>
          <w:sz w:val="28"/>
          <w:szCs w:val="28"/>
        </w:rPr>
        <w:t xml:space="preserve"> Стабилизационный фонд: деньги должны работать.</w:t>
      </w:r>
      <w:r w:rsidR="00C839E4" w:rsidRPr="000E434B">
        <w:rPr>
          <w:sz w:val="28"/>
          <w:szCs w:val="28"/>
        </w:rPr>
        <w:t> //</w:t>
      </w:r>
      <w:r w:rsidRPr="000E434B">
        <w:rPr>
          <w:sz w:val="28"/>
          <w:szCs w:val="28"/>
        </w:rPr>
        <w:t xml:space="preserve"> </w:t>
      </w:r>
      <w:r w:rsidRPr="00AA04E4">
        <w:rPr>
          <w:sz w:val="28"/>
          <w:szCs w:val="28"/>
        </w:rPr>
        <w:t>http://www.izvestia.ru</w:t>
      </w:r>
    </w:p>
    <w:p w:rsidR="00E54E30" w:rsidRPr="000E434B" w:rsidRDefault="00E54E30" w:rsidP="00CE4321">
      <w:pPr>
        <w:numPr>
          <w:ilvl w:val="0"/>
          <w:numId w:val="15"/>
        </w:numPr>
        <w:tabs>
          <w:tab w:val="clear" w:pos="720"/>
          <w:tab w:val="num" w:pos="360"/>
          <w:tab w:val="left" w:pos="1134"/>
        </w:tabs>
        <w:spacing w:line="360" w:lineRule="auto"/>
        <w:ind w:left="426" w:hanging="426"/>
        <w:jc w:val="both"/>
        <w:rPr>
          <w:sz w:val="28"/>
          <w:szCs w:val="28"/>
        </w:rPr>
      </w:pPr>
      <w:r w:rsidRPr="000E434B">
        <w:rPr>
          <w:sz w:val="28"/>
          <w:szCs w:val="28"/>
        </w:rPr>
        <w:t>Мст</w:t>
      </w:r>
      <w:r w:rsidR="00C839E4" w:rsidRPr="000E434B">
        <w:rPr>
          <w:sz w:val="28"/>
          <w:szCs w:val="28"/>
        </w:rPr>
        <w:t>. Аф</w:t>
      </w:r>
      <w:r w:rsidRPr="000E434B">
        <w:rPr>
          <w:sz w:val="28"/>
          <w:szCs w:val="28"/>
        </w:rPr>
        <w:t>анасьев. Инструментарий стабилизационного фонда: опыт и перспективы.</w:t>
      </w:r>
      <w:r w:rsidR="00C839E4" w:rsidRPr="000E434B">
        <w:rPr>
          <w:sz w:val="28"/>
          <w:szCs w:val="28"/>
        </w:rPr>
        <w:t> //</w:t>
      </w:r>
      <w:r w:rsidRPr="000E434B">
        <w:rPr>
          <w:sz w:val="28"/>
          <w:szCs w:val="28"/>
        </w:rPr>
        <w:t xml:space="preserve"> Вопросы экономики, </w:t>
      </w:r>
      <w:r w:rsidR="000E434B" w:rsidRPr="000E434B">
        <w:rPr>
          <w:sz w:val="28"/>
          <w:szCs w:val="28"/>
        </w:rPr>
        <w:t>2010</w:t>
      </w:r>
      <w:r w:rsidRPr="000E434B">
        <w:rPr>
          <w:sz w:val="28"/>
          <w:szCs w:val="28"/>
        </w:rPr>
        <w:t>,</w:t>
      </w:r>
      <w:r w:rsidR="00C839E4" w:rsidRPr="000E434B">
        <w:rPr>
          <w:sz w:val="28"/>
          <w:szCs w:val="28"/>
        </w:rPr>
        <w:t xml:space="preserve"> №3</w:t>
      </w:r>
      <w:r w:rsidRPr="000E434B">
        <w:rPr>
          <w:sz w:val="28"/>
          <w:szCs w:val="28"/>
        </w:rPr>
        <w:t>.</w:t>
      </w:r>
    </w:p>
    <w:p w:rsidR="00E54E30" w:rsidRPr="000E434B" w:rsidRDefault="00E54E30" w:rsidP="00CE4321">
      <w:pPr>
        <w:numPr>
          <w:ilvl w:val="0"/>
          <w:numId w:val="15"/>
        </w:numPr>
        <w:tabs>
          <w:tab w:val="clear" w:pos="720"/>
          <w:tab w:val="num" w:pos="360"/>
          <w:tab w:val="left" w:pos="1134"/>
        </w:tabs>
        <w:spacing w:line="360" w:lineRule="auto"/>
        <w:ind w:left="426" w:hanging="426"/>
        <w:jc w:val="both"/>
        <w:rPr>
          <w:sz w:val="28"/>
          <w:szCs w:val="28"/>
        </w:rPr>
      </w:pPr>
      <w:r w:rsidRPr="000E434B">
        <w:rPr>
          <w:iCs/>
          <w:sz w:val="28"/>
          <w:szCs w:val="28"/>
        </w:rPr>
        <w:t>Ольга Кувшинова, Надежда Иваницкая</w:t>
      </w:r>
      <w:r w:rsidRPr="000E434B">
        <w:rPr>
          <w:sz w:val="28"/>
          <w:szCs w:val="28"/>
        </w:rPr>
        <w:t xml:space="preserve">. Неравные части </w:t>
      </w:r>
      <w:r w:rsidR="002C6BAA" w:rsidRPr="000E434B">
        <w:rPr>
          <w:sz w:val="28"/>
          <w:szCs w:val="28"/>
        </w:rPr>
        <w:t>фонд</w:t>
      </w:r>
      <w:r w:rsidRPr="000E434B">
        <w:rPr>
          <w:sz w:val="28"/>
          <w:szCs w:val="28"/>
        </w:rPr>
        <w:t>а</w:t>
      </w:r>
      <w:r w:rsidR="00C839E4" w:rsidRPr="000E434B">
        <w:rPr>
          <w:sz w:val="28"/>
          <w:szCs w:val="28"/>
        </w:rPr>
        <w:t> //</w:t>
      </w:r>
      <w:r w:rsidRPr="000E434B">
        <w:rPr>
          <w:sz w:val="28"/>
          <w:szCs w:val="28"/>
        </w:rPr>
        <w:t xml:space="preserve"> Ведомости, </w:t>
      </w:r>
      <w:r w:rsidR="00C839E4" w:rsidRPr="000E434B">
        <w:rPr>
          <w:sz w:val="28"/>
          <w:szCs w:val="28"/>
        </w:rPr>
        <w:t>№</w:t>
      </w:r>
      <w:r w:rsidRPr="000E434B">
        <w:rPr>
          <w:sz w:val="28"/>
          <w:szCs w:val="28"/>
        </w:rPr>
        <w:t xml:space="preserve">241 (2015), 20 декабря </w:t>
      </w:r>
      <w:r w:rsidR="000E434B" w:rsidRPr="000E434B">
        <w:rPr>
          <w:sz w:val="28"/>
          <w:szCs w:val="28"/>
        </w:rPr>
        <w:t>2010</w:t>
      </w:r>
    </w:p>
    <w:p w:rsidR="00E54E30" w:rsidRPr="000E434B" w:rsidRDefault="00E54E30" w:rsidP="00CE4321">
      <w:pPr>
        <w:numPr>
          <w:ilvl w:val="0"/>
          <w:numId w:val="15"/>
        </w:numPr>
        <w:tabs>
          <w:tab w:val="clear" w:pos="720"/>
          <w:tab w:val="num" w:pos="360"/>
          <w:tab w:val="left" w:pos="1134"/>
        </w:tabs>
        <w:spacing w:line="360" w:lineRule="auto"/>
        <w:ind w:left="426" w:hanging="426"/>
        <w:jc w:val="both"/>
        <w:rPr>
          <w:sz w:val="28"/>
          <w:szCs w:val="28"/>
        </w:rPr>
      </w:pPr>
      <w:r w:rsidRPr="000E434B">
        <w:rPr>
          <w:iCs/>
          <w:sz w:val="28"/>
          <w:szCs w:val="28"/>
        </w:rPr>
        <w:t>Ольга Кувшинова</w:t>
      </w:r>
      <w:r w:rsidRPr="000E434B">
        <w:rPr>
          <w:sz w:val="28"/>
          <w:szCs w:val="28"/>
        </w:rPr>
        <w:t>. Хорошо сохранился</w:t>
      </w:r>
      <w:r w:rsidR="00C839E4" w:rsidRPr="000E434B">
        <w:rPr>
          <w:sz w:val="28"/>
          <w:szCs w:val="28"/>
        </w:rPr>
        <w:t> //</w:t>
      </w:r>
      <w:r w:rsidRPr="000E434B">
        <w:rPr>
          <w:sz w:val="28"/>
          <w:szCs w:val="28"/>
        </w:rPr>
        <w:t xml:space="preserve"> Ведомости, </w:t>
      </w:r>
      <w:r w:rsidR="00C839E4" w:rsidRPr="000E434B">
        <w:rPr>
          <w:sz w:val="28"/>
          <w:szCs w:val="28"/>
        </w:rPr>
        <w:t>№</w:t>
      </w:r>
      <w:r w:rsidRPr="000E434B">
        <w:rPr>
          <w:sz w:val="28"/>
          <w:szCs w:val="28"/>
        </w:rPr>
        <w:t xml:space="preserve">239 (2013), 18 декабря </w:t>
      </w:r>
      <w:r w:rsidR="000E434B" w:rsidRPr="000E434B">
        <w:rPr>
          <w:sz w:val="28"/>
          <w:szCs w:val="28"/>
        </w:rPr>
        <w:t>2010</w:t>
      </w:r>
    </w:p>
    <w:p w:rsidR="00E54E30" w:rsidRPr="000E434B" w:rsidRDefault="00E54E30" w:rsidP="00CE4321">
      <w:pPr>
        <w:numPr>
          <w:ilvl w:val="0"/>
          <w:numId w:val="15"/>
        </w:numPr>
        <w:tabs>
          <w:tab w:val="clear" w:pos="720"/>
          <w:tab w:val="num" w:pos="360"/>
          <w:tab w:val="left" w:pos="1134"/>
        </w:tabs>
        <w:spacing w:line="360" w:lineRule="auto"/>
        <w:ind w:left="426" w:hanging="426"/>
        <w:jc w:val="both"/>
        <w:rPr>
          <w:sz w:val="28"/>
          <w:szCs w:val="28"/>
        </w:rPr>
      </w:pPr>
      <w:r w:rsidRPr="00AA04E4">
        <w:rPr>
          <w:sz w:val="28"/>
          <w:szCs w:val="28"/>
        </w:rPr>
        <w:t>Правила инвестирования средств Стабилизационного Фонда писали не в России?</w:t>
      </w:r>
      <w:r w:rsidRPr="000E434B">
        <w:rPr>
          <w:sz w:val="28"/>
          <w:szCs w:val="28"/>
        </w:rPr>
        <w:t xml:space="preserve"> // http://kprf.ru/rus_soc/67525.html</w:t>
      </w:r>
      <w:r w:rsidR="00C839E4" w:rsidRPr="000E434B">
        <w:rPr>
          <w:sz w:val="28"/>
          <w:szCs w:val="28"/>
        </w:rPr>
        <w:t>? p</w:t>
      </w:r>
      <w:r w:rsidRPr="000E434B">
        <w:rPr>
          <w:sz w:val="28"/>
          <w:szCs w:val="28"/>
        </w:rPr>
        <w:t>rint</w:t>
      </w:r>
    </w:p>
    <w:p w:rsidR="00E54E30" w:rsidRPr="000E434B" w:rsidRDefault="00E54E30" w:rsidP="00CE4321">
      <w:pPr>
        <w:numPr>
          <w:ilvl w:val="0"/>
          <w:numId w:val="15"/>
        </w:numPr>
        <w:tabs>
          <w:tab w:val="clear" w:pos="720"/>
          <w:tab w:val="num" w:pos="360"/>
          <w:tab w:val="left" w:pos="1134"/>
        </w:tabs>
        <w:spacing w:line="360" w:lineRule="auto"/>
        <w:ind w:left="426" w:hanging="426"/>
        <w:jc w:val="both"/>
        <w:rPr>
          <w:sz w:val="28"/>
          <w:szCs w:val="28"/>
        </w:rPr>
      </w:pPr>
      <w:r w:rsidRPr="000E434B">
        <w:rPr>
          <w:sz w:val="28"/>
          <w:szCs w:val="28"/>
        </w:rPr>
        <w:t>Соловьева С.</w:t>
      </w:r>
      <w:r w:rsidR="00C839E4" w:rsidRPr="000E434B">
        <w:rPr>
          <w:sz w:val="28"/>
          <w:szCs w:val="28"/>
        </w:rPr>
        <w:t>В. Денежно</w:t>
      </w:r>
      <w:r w:rsidRPr="000E434B">
        <w:rPr>
          <w:sz w:val="28"/>
          <w:szCs w:val="28"/>
        </w:rPr>
        <w:t>-кредитная политика России на современном этапе</w:t>
      </w:r>
      <w:r w:rsidR="00C839E4" w:rsidRPr="000E434B">
        <w:rPr>
          <w:sz w:val="28"/>
          <w:szCs w:val="28"/>
        </w:rPr>
        <w:t> //</w:t>
      </w:r>
      <w:r w:rsidRPr="000E434B">
        <w:rPr>
          <w:sz w:val="28"/>
          <w:szCs w:val="28"/>
        </w:rPr>
        <w:t xml:space="preserve"> Вопросы экономических наук,</w:t>
      </w:r>
      <w:r w:rsidR="00C839E4" w:rsidRPr="000E434B">
        <w:rPr>
          <w:sz w:val="28"/>
          <w:szCs w:val="28"/>
        </w:rPr>
        <w:t xml:space="preserve"> </w:t>
      </w:r>
      <w:r w:rsidR="000E434B" w:rsidRPr="000E434B">
        <w:rPr>
          <w:sz w:val="28"/>
          <w:szCs w:val="28"/>
        </w:rPr>
        <w:t>2010</w:t>
      </w:r>
      <w:r w:rsidRPr="000E434B">
        <w:rPr>
          <w:sz w:val="28"/>
          <w:szCs w:val="28"/>
        </w:rPr>
        <w:t xml:space="preserve">, </w:t>
      </w:r>
      <w:r w:rsidR="00C839E4" w:rsidRPr="000E434B">
        <w:rPr>
          <w:sz w:val="28"/>
          <w:szCs w:val="28"/>
        </w:rPr>
        <w:t>№3</w:t>
      </w:r>
      <w:r w:rsidRPr="000E434B">
        <w:rPr>
          <w:sz w:val="28"/>
          <w:szCs w:val="28"/>
        </w:rPr>
        <w:t>.</w:t>
      </w:r>
    </w:p>
    <w:p w:rsidR="00E54E30" w:rsidRPr="000E434B" w:rsidRDefault="00E54E30" w:rsidP="00CE4321">
      <w:pPr>
        <w:numPr>
          <w:ilvl w:val="0"/>
          <w:numId w:val="15"/>
        </w:numPr>
        <w:tabs>
          <w:tab w:val="clear" w:pos="720"/>
          <w:tab w:val="num" w:pos="360"/>
          <w:tab w:val="left" w:pos="1134"/>
        </w:tabs>
        <w:spacing w:line="360" w:lineRule="auto"/>
        <w:ind w:left="426" w:hanging="426"/>
        <w:jc w:val="both"/>
        <w:rPr>
          <w:sz w:val="28"/>
          <w:szCs w:val="28"/>
        </w:rPr>
      </w:pPr>
      <w:r w:rsidRPr="00AA04E4">
        <w:rPr>
          <w:sz w:val="28"/>
          <w:szCs w:val="28"/>
        </w:rPr>
        <w:t>www.gks.ru</w:t>
      </w:r>
      <w:r w:rsidRPr="000E434B">
        <w:rPr>
          <w:sz w:val="28"/>
          <w:szCs w:val="28"/>
        </w:rPr>
        <w:t xml:space="preserve"> </w:t>
      </w:r>
      <w:r w:rsidR="00C839E4" w:rsidRPr="000E434B">
        <w:rPr>
          <w:sz w:val="28"/>
          <w:szCs w:val="28"/>
        </w:rPr>
        <w:t xml:space="preserve">– </w:t>
      </w:r>
      <w:r w:rsidRPr="000E434B">
        <w:rPr>
          <w:sz w:val="28"/>
          <w:szCs w:val="28"/>
        </w:rPr>
        <w:t>официальный сайт Российской статистики.</w:t>
      </w:r>
      <w:bookmarkStart w:id="22" w:name="_GoBack"/>
      <w:bookmarkEnd w:id="22"/>
    </w:p>
    <w:sectPr w:rsidR="00E54E30" w:rsidRPr="000E434B" w:rsidSect="00CE4321">
      <w:headerReference w:type="default" r:id="rId8"/>
      <w:footerReference w:type="even" r:id="rId9"/>
      <w:footerReference w:type="default" r:id="rId10"/>
      <w:headerReference w:type="first" r:id="rId11"/>
      <w:pgSz w:w="11906" w:h="16838"/>
      <w:pgMar w:top="1134" w:right="567"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268" w:rsidRDefault="00791268">
      <w:r>
        <w:separator/>
      </w:r>
    </w:p>
  </w:endnote>
  <w:endnote w:type="continuationSeparator" w:id="0">
    <w:p w:rsidR="00791268" w:rsidRDefault="0079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CAC" w:rsidRDefault="00B54CAC" w:rsidP="0079528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54CAC" w:rsidRDefault="00B54CAC" w:rsidP="00062A0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CAC" w:rsidRDefault="00B54CAC" w:rsidP="00062A0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268" w:rsidRDefault="00791268">
      <w:r>
        <w:separator/>
      </w:r>
    </w:p>
  </w:footnote>
  <w:footnote w:type="continuationSeparator" w:id="0">
    <w:p w:rsidR="00791268" w:rsidRDefault="00791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34B" w:rsidRDefault="000E434B" w:rsidP="000E434B">
    <w:pPr>
      <w:pStyle w:val="ac"/>
      <w:jc w:val="right"/>
    </w:pPr>
    <w:r>
      <w:fldChar w:fldCharType="begin"/>
    </w:r>
    <w:r>
      <w:instrText>PAGE   \* MERGEFORMAT</w:instrText>
    </w:r>
    <w:r>
      <w:fldChar w:fldCharType="separate"/>
    </w:r>
    <w:r w:rsidR="006C62DE">
      <w:rPr>
        <w:noProof/>
      </w:rPr>
      <w:t>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34B" w:rsidRDefault="000E434B" w:rsidP="000E434B">
    <w:pPr>
      <w:pStyle w:val="ac"/>
      <w:jc w:val="right"/>
    </w:pPr>
    <w:r>
      <w:fldChar w:fldCharType="begin"/>
    </w:r>
    <w:r>
      <w:instrText>PAGE   \* MERGEFORMAT</w:instrText>
    </w:r>
    <w:r>
      <w:fldChar w:fldCharType="separate"/>
    </w:r>
    <w:r w:rsidR="006C62DE">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A7653"/>
    <w:multiLevelType w:val="multilevel"/>
    <w:tmpl w:val="494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582B97"/>
    <w:multiLevelType w:val="hybridMultilevel"/>
    <w:tmpl w:val="F27E5242"/>
    <w:lvl w:ilvl="0" w:tplc="264CA5B0">
      <w:start w:val="2"/>
      <w:numFmt w:val="decimal"/>
      <w:lvlText w:val="%1."/>
      <w:lvlJc w:val="left"/>
      <w:pPr>
        <w:tabs>
          <w:tab w:val="num" w:pos="1815"/>
        </w:tabs>
        <w:ind w:left="1815" w:hanging="181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185B12D4"/>
    <w:multiLevelType w:val="hybridMultilevel"/>
    <w:tmpl w:val="FCFE36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0300CF7"/>
    <w:multiLevelType w:val="multilevel"/>
    <w:tmpl w:val="42C02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360463"/>
    <w:multiLevelType w:val="multilevel"/>
    <w:tmpl w:val="D0CC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7469C8"/>
    <w:multiLevelType w:val="multilevel"/>
    <w:tmpl w:val="B32A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257B57"/>
    <w:multiLevelType w:val="multilevel"/>
    <w:tmpl w:val="2A8E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491F12"/>
    <w:multiLevelType w:val="hybridMultilevel"/>
    <w:tmpl w:val="CBB4615C"/>
    <w:lvl w:ilvl="0" w:tplc="264CA5B0">
      <w:start w:val="2"/>
      <w:numFmt w:val="decimal"/>
      <w:lvlText w:val="%1."/>
      <w:lvlJc w:val="left"/>
      <w:pPr>
        <w:tabs>
          <w:tab w:val="num" w:pos="2175"/>
        </w:tabs>
        <w:ind w:left="2175" w:hanging="181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9537341"/>
    <w:multiLevelType w:val="multilevel"/>
    <w:tmpl w:val="A486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AD4492"/>
    <w:multiLevelType w:val="hybridMultilevel"/>
    <w:tmpl w:val="A3B01F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D1C1B42"/>
    <w:multiLevelType w:val="hybridMultilevel"/>
    <w:tmpl w:val="B8729B6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E532FBB"/>
    <w:multiLevelType w:val="hybridMultilevel"/>
    <w:tmpl w:val="C3FC44D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592658CF"/>
    <w:multiLevelType w:val="multilevel"/>
    <w:tmpl w:val="80BC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9B3607F"/>
    <w:multiLevelType w:val="hybridMultilevel"/>
    <w:tmpl w:val="61A463D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69E42A8B"/>
    <w:multiLevelType w:val="multilevel"/>
    <w:tmpl w:val="ADC8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443476"/>
    <w:multiLevelType w:val="hybridMultilevel"/>
    <w:tmpl w:val="83F49C9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75423D1E"/>
    <w:multiLevelType w:val="multilevel"/>
    <w:tmpl w:val="FA42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F462DF"/>
    <w:multiLevelType w:val="multilevel"/>
    <w:tmpl w:val="841ED1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7D031E83"/>
    <w:multiLevelType w:val="hybridMultilevel"/>
    <w:tmpl w:val="6B8408E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6"/>
  </w:num>
  <w:num w:numId="2">
    <w:abstractNumId w:val="8"/>
  </w:num>
  <w:num w:numId="3">
    <w:abstractNumId w:val="3"/>
  </w:num>
  <w:num w:numId="4">
    <w:abstractNumId w:val="6"/>
  </w:num>
  <w:num w:numId="5">
    <w:abstractNumId w:val="14"/>
  </w:num>
  <w:num w:numId="6">
    <w:abstractNumId w:val="17"/>
  </w:num>
  <w:num w:numId="7">
    <w:abstractNumId w:val="5"/>
  </w:num>
  <w:num w:numId="8">
    <w:abstractNumId w:val="4"/>
  </w:num>
  <w:num w:numId="9">
    <w:abstractNumId w:val="0"/>
  </w:num>
  <w:num w:numId="10">
    <w:abstractNumId w:val="13"/>
  </w:num>
  <w:num w:numId="11">
    <w:abstractNumId w:val="11"/>
  </w:num>
  <w:num w:numId="12">
    <w:abstractNumId w:val="18"/>
  </w:num>
  <w:num w:numId="13">
    <w:abstractNumId w:val="10"/>
  </w:num>
  <w:num w:numId="14">
    <w:abstractNumId w:val="15"/>
  </w:num>
  <w:num w:numId="15">
    <w:abstractNumId w:val="9"/>
  </w:num>
  <w:num w:numId="16">
    <w:abstractNumId w:val="7"/>
  </w:num>
  <w:num w:numId="17">
    <w:abstractNumId w:val="1"/>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538"/>
    <w:rsid w:val="00062A01"/>
    <w:rsid w:val="00087341"/>
    <w:rsid w:val="000E434B"/>
    <w:rsid w:val="00146C21"/>
    <w:rsid w:val="00157EA9"/>
    <w:rsid w:val="001A5E63"/>
    <w:rsid w:val="00235DCC"/>
    <w:rsid w:val="00255657"/>
    <w:rsid w:val="002A18C2"/>
    <w:rsid w:val="002C6BAA"/>
    <w:rsid w:val="002D45BD"/>
    <w:rsid w:val="00316842"/>
    <w:rsid w:val="003417B0"/>
    <w:rsid w:val="003C5998"/>
    <w:rsid w:val="0044256C"/>
    <w:rsid w:val="0046287A"/>
    <w:rsid w:val="00463CE5"/>
    <w:rsid w:val="004B2954"/>
    <w:rsid w:val="005058A5"/>
    <w:rsid w:val="00587AD7"/>
    <w:rsid w:val="005B1A53"/>
    <w:rsid w:val="005E4423"/>
    <w:rsid w:val="0069729A"/>
    <w:rsid w:val="006C62DE"/>
    <w:rsid w:val="007023CB"/>
    <w:rsid w:val="00714BC8"/>
    <w:rsid w:val="00791268"/>
    <w:rsid w:val="0079528B"/>
    <w:rsid w:val="007B1270"/>
    <w:rsid w:val="007B2322"/>
    <w:rsid w:val="007C1C1C"/>
    <w:rsid w:val="008B16C5"/>
    <w:rsid w:val="008B2538"/>
    <w:rsid w:val="008E4DE7"/>
    <w:rsid w:val="008F2890"/>
    <w:rsid w:val="00A15BBC"/>
    <w:rsid w:val="00A4014B"/>
    <w:rsid w:val="00AA04E4"/>
    <w:rsid w:val="00AA42CB"/>
    <w:rsid w:val="00AB5BE5"/>
    <w:rsid w:val="00AC26A8"/>
    <w:rsid w:val="00AC41B4"/>
    <w:rsid w:val="00B37D7B"/>
    <w:rsid w:val="00B54CAC"/>
    <w:rsid w:val="00C839E4"/>
    <w:rsid w:val="00CC1E2F"/>
    <w:rsid w:val="00CE4321"/>
    <w:rsid w:val="00D1760F"/>
    <w:rsid w:val="00D85DAC"/>
    <w:rsid w:val="00D9666F"/>
    <w:rsid w:val="00E54E30"/>
    <w:rsid w:val="00E62525"/>
    <w:rsid w:val="00EA26D2"/>
    <w:rsid w:val="00EC2C2F"/>
    <w:rsid w:val="00EF17B8"/>
    <w:rsid w:val="00F03085"/>
    <w:rsid w:val="00F32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F20F43-749D-4B93-B240-221802B0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8B2538"/>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8B2538"/>
    <w:pPr>
      <w:spacing w:before="100" w:beforeAutospacing="1" w:after="100" w:afterAutospacing="1"/>
      <w:outlineLvl w:val="1"/>
    </w:pPr>
    <w:rPr>
      <w:b/>
      <w:bCs/>
      <w:sz w:val="36"/>
      <w:szCs w:val="36"/>
    </w:rPr>
  </w:style>
  <w:style w:type="paragraph" w:styleId="3">
    <w:name w:val="heading 3"/>
    <w:basedOn w:val="a"/>
    <w:next w:val="a"/>
    <w:link w:val="30"/>
    <w:uiPriority w:val="99"/>
    <w:qFormat/>
    <w:rsid w:val="00EA26D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8B2538"/>
    <w:rPr>
      <w:rFonts w:cs="Times New Roman"/>
      <w:color w:val="0000FF"/>
      <w:u w:val="single"/>
    </w:rPr>
  </w:style>
  <w:style w:type="paragraph" w:styleId="a4">
    <w:name w:val="Normal (Web)"/>
    <w:basedOn w:val="a"/>
    <w:uiPriority w:val="99"/>
    <w:rsid w:val="008B2538"/>
    <w:pPr>
      <w:spacing w:before="100" w:beforeAutospacing="1" w:after="100" w:afterAutospacing="1"/>
    </w:pPr>
  </w:style>
  <w:style w:type="character" w:customStyle="1" w:styleId="editsection">
    <w:name w:val="editsection"/>
    <w:uiPriority w:val="99"/>
    <w:rsid w:val="008B2538"/>
    <w:rPr>
      <w:rFonts w:cs="Times New Roman"/>
    </w:rPr>
  </w:style>
  <w:style w:type="character" w:customStyle="1" w:styleId="toctoggle">
    <w:name w:val="toctoggle"/>
    <w:uiPriority w:val="99"/>
    <w:rsid w:val="008B2538"/>
    <w:rPr>
      <w:rFonts w:cs="Times New Roman"/>
    </w:rPr>
  </w:style>
  <w:style w:type="character" w:customStyle="1" w:styleId="tocnumber">
    <w:name w:val="tocnumber"/>
    <w:uiPriority w:val="99"/>
    <w:rsid w:val="008B2538"/>
    <w:rPr>
      <w:rFonts w:cs="Times New Roman"/>
    </w:rPr>
  </w:style>
  <w:style w:type="character" w:customStyle="1" w:styleId="toctext">
    <w:name w:val="toctext"/>
    <w:uiPriority w:val="99"/>
    <w:rsid w:val="008B2538"/>
    <w:rPr>
      <w:rFonts w:cs="Times New Roman"/>
    </w:rPr>
  </w:style>
  <w:style w:type="character" w:customStyle="1" w:styleId="mw-headline">
    <w:name w:val="mw-headline"/>
    <w:uiPriority w:val="99"/>
    <w:rsid w:val="008B2538"/>
    <w:rPr>
      <w:rFonts w:cs="Times New Roman"/>
    </w:rPr>
  </w:style>
  <w:style w:type="character" w:styleId="a5">
    <w:name w:val="Strong"/>
    <w:uiPriority w:val="99"/>
    <w:qFormat/>
    <w:rsid w:val="00A4014B"/>
    <w:rPr>
      <w:rFonts w:cs="Times New Roman"/>
      <w:b/>
      <w:bCs/>
    </w:rPr>
  </w:style>
  <w:style w:type="paragraph" w:styleId="a6">
    <w:name w:val="footnote text"/>
    <w:basedOn w:val="a"/>
    <w:link w:val="a7"/>
    <w:uiPriority w:val="99"/>
    <w:semiHidden/>
    <w:rsid w:val="00A4014B"/>
    <w:rPr>
      <w:sz w:val="20"/>
      <w:szCs w:val="20"/>
    </w:rPr>
  </w:style>
  <w:style w:type="character" w:customStyle="1" w:styleId="a7">
    <w:name w:val="Текст виноски Знак"/>
    <w:link w:val="a6"/>
    <w:uiPriority w:val="99"/>
    <w:semiHidden/>
    <w:rPr>
      <w:sz w:val="20"/>
      <w:szCs w:val="20"/>
    </w:rPr>
  </w:style>
  <w:style w:type="character" w:styleId="a8">
    <w:name w:val="footnote reference"/>
    <w:uiPriority w:val="99"/>
    <w:semiHidden/>
    <w:rsid w:val="00A4014B"/>
    <w:rPr>
      <w:rFonts w:cs="Times New Roman"/>
      <w:vertAlign w:val="superscript"/>
    </w:rPr>
  </w:style>
  <w:style w:type="paragraph" w:customStyle="1" w:styleId="ConsPlusNonformat">
    <w:name w:val="ConsPlusNonformat"/>
    <w:uiPriority w:val="99"/>
    <w:rsid w:val="00255657"/>
    <w:pPr>
      <w:autoSpaceDE w:val="0"/>
      <w:autoSpaceDN w:val="0"/>
      <w:adjustRightInd w:val="0"/>
    </w:pPr>
    <w:rPr>
      <w:rFonts w:ascii="Courier New" w:hAnsi="Courier New" w:cs="Courier New"/>
    </w:rPr>
  </w:style>
  <w:style w:type="paragraph" w:customStyle="1" w:styleId="ConsPlusTitle">
    <w:name w:val="ConsPlusTitle"/>
    <w:uiPriority w:val="99"/>
    <w:rsid w:val="00255657"/>
    <w:pPr>
      <w:autoSpaceDE w:val="0"/>
      <w:autoSpaceDN w:val="0"/>
      <w:adjustRightInd w:val="0"/>
    </w:pPr>
    <w:rPr>
      <w:b/>
      <w:bCs/>
      <w:sz w:val="28"/>
      <w:szCs w:val="28"/>
    </w:rPr>
  </w:style>
  <w:style w:type="paragraph" w:styleId="a9">
    <w:name w:val="footer"/>
    <w:basedOn w:val="a"/>
    <w:link w:val="aa"/>
    <w:uiPriority w:val="99"/>
    <w:rsid w:val="00062A01"/>
    <w:pPr>
      <w:tabs>
        <w:tab w:val="center" w:pos="4677"/>
        <w:tab w:val="right" w:pos="9355"/>
      </w:tabs>
    </w:pPr>
  </w:style>
  <w:style w:type="character" w:customStyle="1" w:styleId="aa">
    <w:name w:val="Нижній колонтитул Знак"/>
    <w:link w:val="a9"/>
    <w:uiPriority w:val="99"/>
    <w:semiHidden/>
    <w:rPr>
      <w:sz w:val="24"/>
      <w:szCs w:val="24"/>
    </w:rPr>
  </w:style>
  <w:style w:type="character" w:styleId="ab">
    <w:name w:val="page number"/>
    <w:uiPriority w:val="99"/>
    <w:rsid w:val="00062A01"/>
    <w:rPr>
      <w:rFonts w:cs="Times New Roman"/>
    </w:rPr>
  </w:style>
  <w:style w:type="paragraph" w:styleId="11">
    <w:name w:val="toc 1"/>
    <w:basedOn w:val="a"/>
    <w:next w:val="a"/>
    <w:autoRedefine/>
    <w:uiPriority w:val="39"/>
    <w:rsid w:val="00D9666F"/>
  </w:style>
  <w:style w:type="character" w:styleId="HTML">
    <w:name w:val="HTML Typewriter"/>
    <w:uiPriority w:val="99"/>
    <w:rsid w:val="00AC41B4"/>
    <w:rPr>
      <w:rFonts w:ascii="Courier New" w:eastAsia="Times New Roman" w:hAnsi="Courier New" w:cs="Courier New"/>
      <w:sz w:val="20"/>
      <w:szCs w:val="20"/>
    </w:rPr>
  </w:style>
  <w:style w:type="table" w:styleId="12">
    <w:name w:val="Table Grid 1"/>
    <w:basedOn w:val="a1"/>
    <w:uiPriority w:val="99"/>
    <w:rsid w:val="00C839E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c">
    <w:name w:val="header"/>
    <w:basedOn w:val="a"/>
    <w:link w:val="ad"/>
    <w:uiPriority w:val="99"/>
    <w:unhideWhenUsed/>
    <w:rsid w:val="000E434B"/>
    <w:pPr>
      <w:tabs>
        <w:tab w:val="center" w:pos="4677"/>
        <w:tab w:val="right" w:pos="9355"/>
      </w:tabs>
    </w:pPr>
  </w:style>
  <w:style w:type="character" w:customStyle="1" w:styleId="ad">
    <w:name w:val="Верхній колонтитул Знак"/>
    <w:link w:val="ac"/>
    <w:uiPriority w:val="99"/>
    <w:rsid w:val="000E43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710131">
      <w:bodyDiv w:val="1"/>
      <w:marLeft w:val="0"/>
      <w:marRight w:val="0"/>
      <w:marTop w:val="0"/>
      <w:marBottom w:val="0"/>
      <w:divBdr>
        <w:top w:val="none" w:sz="0" w:space="0" w:color="auto"/>
        <w:left w:val="none" w:sz="0" w:space="0" w:color="auto"/>
        <w:bottom w:val="none" w:sz="0" w:space="0" w:color="auto"/>
        <w:right w:val="none" w:sz="0" w:space="0" w:color="auto"/>
      </w:divBdr>
      <w:divsChild>
        <w:div w:id="1895846751">
          <w:marLeft w:val="0"/>
          <w:marRight w:val="0"/>
          <w:marTop w:val="0"/>
          <w:marBottom w:val="0"/>
          <w:divBdr>
            <w:top w:val="none" w:sz="0" w:space="0" w:color="auto"/>
            <w:left w:val="none" w:sz="0" w:space="0" w:color="auto"/>
            <w:bottom w:val="none" w:sz="0" w:space="0" w:color="auto"/>
            <w:right w:val="none" w:sz="0" w:space="0" w:color="auto"/>
          </w:divBdr>
        </w:div>
      </w:divsChild>
    </w:div>
    <w:div w:id="819345211">
      <w:bodyDiv w:val="1"/>
      <w:marLeft w:val="0"/>
      <w:marRight w:val="0"/>
      <w:marTop w:val="0"/>
      <w:marBottom w:val="0"/>
      <w:divBdr>
        <w:top w:val="none" w:sz="0" w:space="0" w:color="auto"/>
        <w:left w:val="none" w:sz="0" w:space="0" w:color="auto"/>
        <w:bottom w:val="none" w:sz="0" w:space="0" w:color="auto"/>
        <w:right w:val="none" w:sz="0" w:space="0" w:color="auto"/>
      </w:divBdr>
      <w:divsChild>
        <w:div w:id="499349532">
          <w:marLeft w:val="0"/>
          <w:marRight w:val="0"/>
          <w:marTop w:val="0"/>
          <w:marBottom w:val="0"/>
          <w:divBdr>
            <w:top w:val="none" w:sz="0" w:space="0" w:color="auto"/>
            <w:left w:val="none" w:sz="0" w:space="0" w:color="auto"/>
            <w:bottom w:val="none" w:sz="0" w:space="0" w:color="auto"/>
            <w:right w:val="none" w:sz="0" w:space="0" w:color="auto"/>
          </w:divBdr>
        </w:div>
      </w:divsChild>
    </w:div>
    <w:div w:id="1365903875">
      <w:bodyDiv w:val="1"/>
      <w:marLeft w:val="0"/>
      <w:marRight w:val="0"/>
      <w:marTop w:val="0"/>
      <w:marBottom w:val="0"/>
      <w:divBdr>
        <w:top w:val="none" w:sz="0" w:space="0" w:color="auto"/>
        <w:left w:val="none" w:sz="0" w:space="0" w:color="auto"/>
        <w:bottom w:val="none" w:sz="0" w:space="0" w:color="auto"/>
        <w:right w:val="none" w:sz="0" w:space="0" w:color="auto"/>
      </w:divBdr>
      <w:divsChild>
        <w:div w:id="1725718558">
          <w:marLeft w:val="0"/>
          <w:marRight w:val="0"/>
          <w:marTop w:val="0"/>
          <w:marBottom w:val="0"/>
          <w:divBdr>
            <w:top w:val="none" w:sz="0" w:space="0" w:color="auto"/>
            <w:left w:val="none" w:sz="0" w:space="0" w:color="auto"/>
            <w:bottom w:val="none" w:sz="0" w:space="0" w:color="auto"/>
            <w:right w:val="none" w:sz="0" w:space="0" w:color="auto"/>
          </w:divBdr>
        </w:div>
      </w:divsChild>
    </w:div>
    <w:div w:id="1645811592">
      <w:marLeft w:val="0"/>
      <w:marRight w:val="0"/>
      <w:marTop w:val="0"/>
      <w:marBottom w:val="0"/>
      <w:divBdr>
        <w:top w:val="none" w:sz="0" w:space="0" w:color="auto"/>
        <w:left w:val="none" w:sz="0" w:space="0" w:color="auto"/>
        <w:bottom w:val="none" w:sz="0" w:space="0" w:color="auto"/>
        <w:right w:val="none" w:sz="0" w:space="0" w:color="auto"/>
      </w:divBdr>
      <w:divsChild>
        <w:div w:id="1645811618">
          <w:marLeft w:val="0"/>
          <w:marRight w:val="0"/>
          <w:marTop w:val="0"/>
          <w:marBottom w:val="0"/>
          <w:divBdr>
            <w:top w:val="none" w:sz="0" w:space="0" w:color="auto"/>
            <w:left w:val="none" w:sz="0" w:space="0" w:color="auto"/>
            <w:bottom w:val="none" w:sz="0" w:space="0" w:color="auto"/>
            <w:right w:val="none" w:sz="0" w:space="0" w:color="auto"/>
          </w:divBdr>
          <w:divsChild>
            <w:div w:id="1645811595">
              <w:marLeft w:val="0"/>
              <w:marRight w:val="0"/>
              <w:marTop w:val="0"/>
              <w:marBottom w:val="0"/>
              <w:divBdr>
                <w:top w:val="none" w:sz="0" w:space="0" w:color="auto"/>
                <w:left w:val="none" w:sz="0" w:space="0" w:color="auto"/>
                <w:bottom w:val="none" w:sz="0" w:space="0" w:color="auto"/>
                <w:right w:val="none" w:sz="0" w:space="0" w:color="auto"/>
              </w:divBdr>
              <w:divsChild>
                <w:div w:id="1645811589">
                  <w:marLeft w:val="0"/>
                  <w:marRight w:val="0"/>
                  <w:marTop w:val="0"/>
                  <w:marBottom w:val="0"/>
                  <w:divBdr>
                    <w:top w:val="none" w:sz="0" w:space="0" w:color="auto"/>
                    <w:left w:val="none" w:sz="0" w:space="0" w:color="auto"/>
                    <w:bottom w:val="none" w:sz="0" w:space="0" w:color="auto"/>
                    <w:right w:val="none" w:sz="0" w:space="0" w:color="auto"/>
                  </w:divBdr>
                  <w:divsChild>
                    <w:div w:id="1645811617">
                      <w:marLeft w:val="200"/>
                      <w:marRight w:val="0"/>
                      <w:marTop w:val="0"/>
                      <w:marBottom w:val="0"/>
                      <w:divBdr>
                        <w:top w:val="none" w:sz="0" w:space="0" w:color="auto"/>
                        <w:left w:val="none" w:sz="0" w:space="0" w:color="auto"/>
                        <w:bottom w:val="none" w:sz="0" w:space="0" w:color="auto"/>
                        <w:right w:val="none" w:sz="0" w:space="0" w:color="auto"/>
                      </w:divBdr>
                      <w:divsChild>
                        <w:div w:id="164581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811597">
      <w:marLeft w:val="0"/>
      <w:marRight w:val="0"/>
      <w:marTop w:val="0"/>
      <w:marBottom w:val="0"/>
      <w:divBdr>
        <w:top w:val="none" w:sz="0" w:space="0" w:color="auto"/>
        <w:left w:val="none" w:sz="0" w:space="0" w:color="auto"/>
        <w:bottom w:val="none" w:sz="0" w:space="0" w:color="auto"/>
        <w:right w:val="none" w:sz="0" w:space="0" w:color="auto"/>
      </w:divBdr>
      <w:divsChild>
        <w:div w:id="1645811626">
          <w:marLeft w:val="0"/>
          <w:marRight w:val="0"/>
          <w:marTop w:val="0"/>
          <w:marBottom w:val="0"/>
          <w:divBdr>
            <w:top w:val="none" w:sz="0" w:space="0" w:color="auto"/>
            <w:left w:val="none" w:sz="0" w:space="0" w:color="auto"/>
            <w:bottom w:val="none" w:sz="0" w:space="0" w:color="auto"/>
            <w:right w:val="none" w:sz="0" w:space="0" w:color="auto"/>
          </w:divBdr>
          <w:divsChild>
            <w:div w:id="1645811588">
              <w:marLeft w:val="0"/>
              <w:marRight w:val="0"/>
              <w:marTop w:val="0"/>
              <w:marBottom w:val="0"/>
              <w:divBdr>
                <w:top w:val="none" w:sz="0" w:space="0" w:color="auto"/>
                <w:left w:val="none" w:sz="0" w:space="0" w:color="auto"/>
                <w:bottom w:val="none" w:sz="0" w:space="0" w:color="auto"/>
                <w:right w:val="none" w:sz="0" w:space="0" w:color="auto"/>
              </w:divBdr>
              <w:divsChild>
                <w:div w:id="1645811608">
                  <w:marLeft w:val="0"/>
                  <w:marRight w:val="0"/>
                  <w:marTop w:val="0"/>
                  <w:marBottom w:val="0"/>
                  <w:divBdr>
                    <w:top w:val="none" w:sz="0" w:space="0" w:color="auto"/>
                    <w:left w:val="none" w:sz="0" w:space="0" w:color="auto"/>
                    <w:bottom w:val="none" w:sz="0" w:space="0" w:color="auto"/>
                    <w:right w:val="none" w:sz="0" w:space="0" w:color="auto"/>
                  </w:divBdr>
                  <w:divsChild>
                    <w:div w:id="1645811621">
                      <w:marLeft w:val="0"/>
                      <w:marRight w:val="0"/>
                      <w:marTop w:val="0"/>
                      <w:marBottom w:val="0"/>
                      <w:divBdr>
                        <w:top w:val="none" w:sz="0" w:space="0" w:color="auto"/>
                        <w:left w:val="none" w:sz="0" w:space="0" w:color="auto"/>
                        <w:bottom w:val="none" w:sz="0" w:space="0" w:color="auto"/>
                        <w:right w:val="none" w:sz="0" w:space="0" w:color="auto"/>
                      </w:divBdr>
                      <w:divsChild>
                        <w:div w:id="1645811590">
                          <w:marLeft w:val="0"/>
                          <w:marRight w:val="0"/>
                          <w:marTop w:val="0"/>
                          <w:marBottom w:val="0"/>
                          <w:divBdr>
                            <w:top w:val="none" w:sz="0" w:space="0" w:color="auto"/>
                            <w:left w:val="none" w:sz="0" w:space="0" w:color="auto"/>
                            <w:bottom w:val="none" w:sz="0" w:space="0" w:color="auto"/>
                            <w:right w:val="none" w:sz="0" w:space="0" w:color="auto"/>
                          </w:divBdr>
                          <w:divsChild>
                            <w:div w:id="1645811613">
                              <w:marLeft w:val="0"/>
                              <w:marRight w:val="0"/>
                              <w:marTop w:val="0"/>
                              <w:marBottom w:val="0"/>
                              <w:divBdr>
                                <w:top w:val="none" w:sz="0" w:space="0" w:color="auto"/>
                                <w:left w:val="none" w:sz="0" w:space="0" w:color="auto"/>
                                <w:bottom w:val="none" w:sz="0" w:space="0" w:color="auto"/>
                                <w:right w:val="none" w:sz="0" w:space="0" w:color="auto"/>
                              </w:divBdr>
                              <w:divsChild>
                                <w:div w:id="1645811615">
                                  <w:marLeft w:val="0"/>
                                  <w:marRight w:val="0"/>
                                  <w:marTop w:val="0"/>
                                  <w:marBottom w:val="0"/>
                                  <w:divBdr>
                                    <w:top w:val="none" w:sz="0" w:space="0" w:color="auto"/>
                                    <w:left w:val="none" w:sz="0" w:space="0" w:color="auto"/>
                                    <w:bottom w:val="none" w:sz="0" w:space="0" w:color="auto"/>
                                    <w:right w:val="none" w:sz="0" w:space="0" w:color="auto"/>
                                  </w:divBdr>
                                  <w:divsChild>
                                    <w:div w:id="1645811601">
                                      <w:marLeft w:val="0"/>
                                      <w:marRight w:val="0"/>
                                      <w:marTop w:val="0"/>
                                      <w:marBottom w:val="0"/>
                                      <w:divBdr>
                                        <w:top w:val="none" w:sz="0" w:space="0" w:color="auto"/>
                                        <w:left w:val="none" w:sz="0" w:space="0" w:color="auto"/>
                                        <w:bottom w:val="none" w:sz="0" w:space="0" w:color="auto"/>
                                        <w:right w:val="none" w:sz="0" w:space="0" w:color="auto"/>
                                      </w:divBdr>
                                      <w:divsChild>
                                        <w:div w:id="164581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5811598">
      <w:marLeft w:val="0"/>
      <w:marRight w:val="0"/>
      <w:marTop w:val="0"/>
      <w:marBottom w:val="0"/>
      <w:divBdr>
        <w:top w:val="none" w:sz="0" w:space="0" w:color="auto"/>
        <w:left w:val="none" w:sz="0" w:space="0" w:color="auto"/>
        <w:bottom w:val="none" w:sz="0" w:space="0" w:color="auto"/>
        <w:right w:val="none" w:sz="0" w:space="0" w:color="auto"/>
      </w:divBdr>
      <w:divsChild>
        <w:div w:id="1645811606">
          <w:marLeft w:val="0"/>
          <w:marRight w:val="0"/>
          <w:marTop w:val="0"/>
          <w:marBottom w:val="0"/>
          <w:divBdr>
            <w:top w:val="none" w:sz="0" w:space="0" w:color="auto"/>
            <w:left w:val="none" w:sz="0" w:space="0" w:color="auto"/>
            <w:bottom w:val="none" w:sz="0" w:space="0" w:color="auto"/>
            <w:right w:val="none" w:sz="0" w:space="0" w:color="auto"/>
          </w:divBdr>
          <w:divsChild>
            <w:div w:id="1645811627">
              <w:marLeft w:val="0"/>
              <w:marRight w:val="0"/>
              <w:marTop w:val="0"/>
              <w:marBottom w:val="0"/>
              <w:divBdr>
                <w:top w:val="none" w:sz="0" w:space="0" w:color="auto"/>
                <w:left w:val="none" w:sz="0" w:space="0" w:color="auto"/>
                <w:bottom w:val="none" w:sz="0" w:space="0" w:color="auto"/>
                <w:right w:val="none" w:sz="0" w:space="0" w:color="auto"/>
              </w:divBdr>
              <w:divsChild>
                <w:div w:id="1645811591">
                  <w:marLeft w:val="0"/>
                  <w:marRight w:val="0"/>
                  <w:marTop w:val="0"/>
                  <w:marBottom w:val="0"/>
                  <w:divBdr>
                    <w:top w:val="none" w:sz="0" w:space="0" w:color="auto"/>
                    <w:left w:val="none" w:sz="0" w:space="0" w:color="auto"/>
                    <w:bottom w:val="none" w:sz="0" w:space="0" w:color="auto"/>
                    <w:right w:val="none" w:sz="0" w:space="0" w:color="auto"/>
                  </w:divBdr>
                </w:div>
                <w:div w:id="1645811603">
                  <w:marLeft w:val="0"/>
                  <w:marRight w:val="0"/>
                  <w:marTop w:val="0"/>
                  <w:marBottom w:val="0"/>
                  <w:divBdr>
                    <w:top w:val="none" w:sz="0" w:space="0" w:color="auto"/>
                    <w:left w:val="none" w:sz="0" w:space="0" w:color="auto"/>
                    <w:bottom w:val="none" w:sz="0" w:space="0" w:color="auto"/>
                    <w:right w:val="none" w:sz="0" w:space="0" w:color="auto"/>
                  </w:divBdr>
                </w:div>
                <w:div w:id="1645811611">
                  <w:marLeft w:val="0"/>
                  <w:marRight w:val="0"/>
                  <w:marTop w:val="0"/>
                  <w:marBottom w:val="0"/>
                  <w:divBdr>
                    <w:top w:val="none" w:sz="0" w:space="0" w:color="auto"/>
                    <w:left w:val="none" w:sz="0" w:space="0" w:color="auto"/>
                    <w:bottom w:val="none" w:sz="0" w:space="0" w:color="auto"/>
                    <w:right w:val="none" w:sz="0" w:space="0" w:color="auto"/>
                  </w:divBdr>
                </w:div>
                <w:div w:id="1645811612">
                  <w:marLeft w:val="5"/>
                  <w:marRight w:val="0"/>
                  <w:marTop w:val="168"/>
                  <w:marBottom w:val="168"/>
                  <w:divBdr>
                    <w:top w:val="none" w:sz="0" w:space="0" w:color="auto"/>
                    <w:left w:val="none" w:sz="0" w:space="0" w:color="auto"/>
                    <w:bottom w:val="none" w:sz="0" w:space="0" w:color="auto"/>
                    <w:right w:val="none" w:sz="0" w:space="0" w:color="auto"/>
                  </w:divBdr>
                </w:div>
                <w:div w:id="1645811620">
                  <w:marLeft w:val="5"/>
                  <w:marRight w:val="0"/>
                  <w:marTop w:val="168"/>
                  <w:marBottom w:val="168"/>
                  <w:divBdr>
                    <w:top w:val="none" w:sz="0" w:space="0" w:color="auto"/>
                    <w:left w:val="none" w:sz="0" w:space="0" w:color="auto"/>
                    <w:bottom w:val="none" w:sz="0" w:space="0" w:color="auto"/>
                    <w:right w:val="none" w:sz="0" w:space="0" w:color="auto"/>
                  </w:divBdr>
                </w:div>
                <w:div w:id="1645811622">
                  <w:marLeft w:val="0"/>
                  <w:marRight w:val="0"/>
                  <w:marTop w:val="0"/>
                  <w:marBottom w:val="0"/>
                  <w:divBdr>
                    <w:top w:val="none" w:sz="0" w:space="0" w:color="auto"/>
                    <w:left w:val="none" w:sz="0" w:space="0" w:color="auto"/>
                    <w:bottom w:val="none" w:sz="0" w:space="0" w:color="auto"/>
                    <w:right w:val="none" w:sz="0" w:space="0" w:color="auto"/>
                  </w:divBdr>
                </w:div>
                <w:div w:id="1645811623">
                  <w:marLeft w:val="0"/>
                  <w:marRight w:val="0"/>
                  <w:marTop w:val="0"/>
                  <w:marBottom w:val="0"/>
                  <w:divBdr>
                    <w:top w:val="none" w:sz="0" w:space="0" w:color="auto"/>
                    <w:left w:val="none" w:sz="0" w:space="0" w:color="auto"/>
                    <w:bottom w:val="none" w:sz="0" w:space="0" w:color="auto"/>
                    <w:right w:val="none" w:sz="0" w:space="0" w:color="auto"/>
                  </w:divBdr>
                  <w:divsChild>
                    <w:div w:id="1645811610">
                      <w:marLeft w:val="0"/>
                      <w:marRight w:val="0"/>
                      <w:marTop w:val="0"/>
                      <w:marBottom w:val="0"/>
                      <w:divBdr>
                        <w:top w:val="none" w:sz="0" w:space="0" w:color="auto"/>
                        <w:left w:val="none" w:sz="0" w:space="0" w:color="auto"/>
                        <w:bottom w:val="none" w:sz="0" w:space="0" w:color="auto"/>
                        <w:right w:val="none" w:sz="0" w:space="0" w:color="auto"/>
                      </w:divBdr>
                      <w:divsChild>
                        <w:div w:id="1645811593">
                          <w:marLeft w:val="0"/>
                          <w:marRight w:val="0"/>
                          <w:marTop w:val="0"/>
                          <w:marBottom w:val="0"/>
                          <w:divBdr>
                            <w:top w:val="none" w:sz="0" w:space="0" w:color="auto"/>
                            <w:left w:val="none" w:sz="0" w:space="0" w:color="auto"/>
                            <w:bottom w:val="none" w:sz="0" w:space="0" w:color="auto"/>
                            <w:right w:val="none" w:sz="0" w:space="0" w:color="auto"/>
                          </w:divBdr>
                          <w:divsChild>
                            <w:div w:id="164581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11625">
                  <w:marLeft w:val="0"/>
                  <w:marRight w:val="0"/>
                  <w:marTop w:val="0"/>
                  <w:marBottom w:val="0"/>
                  <w:divBdr>
                    <w:top w:val="none" w:sz="0" w:space="0" w:color="auto"/>
                    <w:left w:val="none" w:sz="0" w:space="0" w:color="auto"/>
                    <w:bottom w:val="none" w:sz="0" w:space="0" w:color="auto"/>
                    <w:right w:val="none" w:sz="0" w:space="0" w:color="auto"/>
                  </w:divBdr>
                </w:div>
                <w:div w:id="1645811629">
                  <w:marLeft w:val="0"/>
                  <w:marRight w:val="0"/>
                  <w:marTop w:val="0"/>
                  <w:marBottom w:val="0"/>
                  <w:divBdr>
                    <w:top w:val="none" w:sz="0" w:space="0" w:color="auto"/>
                    <w:left w:val="none" w:sz="0" w:space="0" w:color="auto"/>
                    <w:bottom w:val="none" w:sz="0" w:space="0" w:color="auto"/>
                    <w:right w:val="none" w:sz="0" w:space="0" w:color="auto"/>
                  </w:divBdr>
                  <w:divsChild>
                    <w:div w:id="1645811609">
                      <w:marLeft w:val="0"/>
                      <w:marRight w:val="0"/>
                      <w:marTop w:val="0"/>
                      <w:marBottom w:val="0"/>
                      <w:divBdr>
                        <w:top w:val="none" w:sz="0" w:space="0" w:color="auto"/>
                        <w:left w:val="none" w:sz="0" w:space="0" w:color="auto"/>
                        <w:bottom w:val="none" w:sz="0" w:space="0" w:color="auto"/>
                        <w:right w:val="none" w:sz="0" w:space="0" w:color="auto"/>
                      </w:divBdr>
                      <w:divsChild>
                        <w:div w:id="1645811616">
                          <w:marLeft w:val="0"/>
                          <w:marRight w:val="0"/>
                          <w:marTop w:val="0"/>
                          <w:marBottom w:val="0"/>
                          <w:divBdr>
                            <w:top w:val="none" w:sz="0" w:space="0" w:color="auto"/>
                            <w:left w:val="none" w:sz="0" w:space="0" w:color="auto"/>
                            <w:bottom w:val="none" w:sz="0" w:space="0" w:color="auto"/>
                            <w:right w:val="none" w:sz="0" w:space="0" w:color="auto"/>
                          </w:divBdr>
                          <w:divsChild>
                            <w:div w:id="16458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811599">
      <w:marLeft w:val="0"/>
      <w:marRight w:val="0"/>
      <w:marTop w:val="0"/>
      <w:marBottom w:val="0"/>
      <w:divBdr>
        <w:top w:val="none" w:sz="0" w:space="0" w:color="auto"/>
        <w:left w:val="none" w:sz="0" w:space="0" w:color="auto"/>
        <w:bottom w:val="none" w:sz="0" w:space="0" w:color="auto"/>
        <w:right w:val="none" w:sz="0" w:space="0" w:color="auto"/>
      </w:divBdr>
      <w:divsChild>
        <w:div w:id="1645811607">
          <w:marLeft w:val="60"/>
          <w:marRight w:val="60"/>
          <w:marTop w:val="300"/>
          <w:marBottom w:val="0"/>
          <w:divBdr>
            <w:top w:val="none" w:sz="0" w:space="0" w:color="auto"/>
            <w:left w:val="none" w:sz="0" w:space="0" w:color="auto"/>
            <w:bottom w:val="none" w:sz="0" w:space="0" w:color="auto"/>
            <w:right w:val="none" w:sz="0" w:space="0" w:color="auto"/>
          </w:divBdr>
          <w:divsChild>
            <w:div w:id="164581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1602">
      <w:marLeft w:val="0"/>
      <w:marRight w:val="0"/>
      <w:marTop w:val="0"/>
      <w:marBottom w:val="0"/>
      <w:divBdr>
        <w:top w:val="none" w:sz="0" w:space="0" w:color="auto"/>
        <w:left w:val="none" w:sz="0" w:space="0" w:color="auto"/>
        <w:bottom w:val="none" w:sz="0" w:space="0" w:color="auto"/>
        <w:right w:val="none" w:sz="0" w:space="0" w:color="auto"/>
      </w:divBdr>
      <w:divsChild>
        <w:div w:id="1645811600">
          <w:marLeft w:val="0"/>
          <w:marRight w:val="0"/>
          <w:marTop w:val="0"/>
          <w:marBottom w:val="0"/>
          <w:divBdr>
            <w:top w:val="none" w:sz="0" w:space="0" w:color="auto"/>
            <w:left w:val="none" w:sz="0" w:space="0" w:color="auto"/>
            <w:bottom w:val="none" w:sz="0" w:space="0" w:color="auto"/>
            <w:right w:val="none" w:sz="0" w:space="0" w:color="auto"/>
          </w:divBdr>
          <w:divsChild>
            <w:div w:id="1645811619">
              <w:marLeft w:val="0"/>
              <w:marRight w:val="0"/>
              <w:marTop w:val="0"/>
              <w:marBottom w:val="0"/>
              <w:divBdr>
                <w:top w:val="none" w:sz="0" w:space="0" w:color="auto"/>
                <w:left w:val="none" w:sz="0" w:space="0" w:color="auto"/>
                <w:bottom w:val="none" w:sz="0" w:space="0" w:color="auto"/>
                <w:right w:val="none" w:sz="0" w:space="0" w:color="auto"/>
              </w:divBdr>
            </w:div>
            <w:div w:id="16458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1604">
      <w:marLeft w:val="0"/>
      <w:marRight w:val="0"/>
      <w:marTop w:val="0"/>
      <w:marBottom w:val="0"/>
      <w:divBdr>
        <w:top w:val="none" w:sz="0" w:space="0" w:color="auto"/>
        <w:left w:val="none" w:sz="0" w:space="0" w:color="auto"/>
        <w:bottom w:val="none" w:sz="0" w:space="0" w:color="auto"/>
        <w:right w:val="none" w:sz="0" w:space="0" w:color="auto"/>
      </w:divBdr>
    </w:div>
    <w:div w:id="1645811630">
      <w:marLeft w:val="0"/>
      <w:marRight w:val="0"/>
      <w:marTop w:val="0"/>
      <w:marBottom w:val="0"/>
      <w:divBdr>
        <w:top w:val="none" w:sz="0" w:space="0" w:color="auto"/>
        <w:left w:val="none" w:sz="0" w:space="0" w:color="auto"/>
        <w:bottom w:val="none" w:sz="0" w:space="0" w:color="auto"/>
        <w:right w:val="none" w:sz="0" w:space="0" w:color="auto"/>
      </w:divBdr>
    </w:div>
    <w:div w:id="1723288010">
      <w:bodyDiv w:val="1"/>
      <w:marLeft w:val="0"/>
      <w:marRight w:val="0"/>
      <w:marTop w:val="0"/>
      <w:marBottom w:val="0"/>
      <w:divBdr>
        <w:top w:val="none" w:sz="0" w:space="0" w:color="auto"/>
        <w:left w:val="none" w:sz="0" w:space="0" w:color="auto"/>
        <w:bottom w:val="none" w:sz="0" w:space="0" w:color="auto"/>
        <w:right w:val="none" w:sz="0" w:space="0" w:color="auto"/>
      </w:divBdr>
      <w:divsChild>
        <w:div w:id="840044835">
          <w:marLeft w:val="0"/>
          <w:marRight w:val="0"/>
          <w:marTop w:val="0"/>
          <w:marBottom w:val="0"/>
          <w:divBdr>
            <w:top w:val="none" w:sz="0" w:space="0" w:color="auto"/>
            <w:left w:val="none" w:sz="0" w:space="0" w:color="auto"/>
            <w:bottom w:val="none" w:sz="0" w:space="0" w:color="auto"/>
            <w:right w:val="none" w:sz="0" w:space="0" w:color="auto"/>
          </w:divBdr>
        </w:div>
      </w:divsChild>
    </w:div>
    <w:div w:id="1874420604">
      <w:bodyDiv w:val="1"/>
      <w:marLeft w:val="0"/>
      <w:marRight w:val="0"/>
      <w:marTop w:val="0"/>
      <w:marBottom w:val="0"/>
      <w:divBdr>
        <w:top w:val="none" w:sz="0" w:space="0" w:color="auto"/>
        <w:left w:val="none" w:sz="0" w:space="0" w:color="auto"/>
        <w:bottom w:val="none" w:sz="0" w:space="0" w:color="auto"/>
        <w:right w:val="none" w:sz="0" w:space="0" w:color="auto"/>
      </w:divBdr>
      <w:divsChild>
        <w:div w:id="253630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EEEAA-20BE-438D-AEA3-695076AD8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7973</Words>
  <Characters>45451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53318</CharactersWithSpaces>
  <SharedDoc>false</SharedDoc>
  <HLinks>
    <vt:vector size="264" baseType="variant">
      <vt:variant>
        <vt:i4>4980830</vt:i4>
      </vt:variant>
      <vt:variant>
        <vt:i4>150</vt:i4>
      </vt:variant>
      <vt:variant>
        <vt:i4>0</vt:i4>
      </vt:variant>
      <vt:variant>
        <vt:i4>5</vt:i4>
      </vt:variant>
      <vt:variant>
        <vt:lpwstr>http://lib.socio.msu.ru/l/library?e=d-000-00---0lomon--00-0-0-0prompt-10---4------0-1l--1-ru-50---20-help---00031-001-1-0windowsZz-1251-10&amp;a=extlink&amp;rl=0&amp;href=http:%2f%2fwww.gks.ru</vt:lpwstr>
      </vt:variant>
      <vt:variant>
        <vt:lpwstr/>
      </vt:variant>
      <vt:variant>
        <vt:i4>6815746</vt:i4>
      </vt:variant>
      <vt:variant>
        <vt:i4>147</vt:i4>
      </vt:variant>
      <vt:variant>
        <vt:i4>0</vt:i4>
      </vt:variant>
      <vt:variant>
        <vt:i4>5</vt:i4>
      </vt:variant>
      <vt:variant>
        <vt:lpwstr>http://kprf.ru/rus_soc/67525.html?print</vt:lpwstr>
      </vt:variant>
      <vt:variant>
        <vt:lpwstr/>
      </vt:variant>
      <vt:variant>
        <vt:i4>7667752</vt:i4>
      </vt:variant>
      <vt:variant>
        <vt:i4>144</vt:i4>
      </vt:variant>
      <vt:variant>
        <vt:i4>0</vt:i4>
      </vt:variant>
      <vt:variant>
        <vt:i4>5</vt:i4>
      </vt:variant>
      <vt:variant>
        <vt:lpwstr>http://www.izvestia.ru/</vt:lpwstr>
      </vt:variant>
      <vt:variant>
        <vt:lpwstr/>
      </vt:variant>
      <vt:variant>
        <vt:i4>7864425</vt:i4>
      </vt:variant>
      <vt:variant>
        <vt:i4>141</vt:i4>
      </vt:variant>
      <vt:variant>
        <vt:i4>0</vt:i4>
      </vt:variant>
      <vt:variant>
        <vt:i4>5</vt:i4>
      </vt:variant>
      <vt:variant>
        <vt:lpwstr>http://www.izvestia.ru/search.html?query=%CC%E8%F5%E0%E8%EB%20%CA%EE%EF%E5%E9%EA%E8%ED%2C%20%E4%EE%EA%F2%EE%F0%20%FD%EA%EE%ED%EE%EC%E8%F7%E5%F1%EA%E8%F5%20%ED%E0%F3%EA</vt:lpwstr>
      </vt:variant>
      <vt:variant>
        <vt:lpwstr/>
      </vt:variant>
      <vt:variant>
        <vt:i4>4194307</vt:i4>
      </vt:variant>
      <vt:variant>
        <vt:i4>138</vt:i4>
      </vt:variant>
      <vt:variant>
        <vt:i4>0</vt:i4>
      </vt:variant>
      <vt:variant>
        <vt:i4>5</vt:i4>
      </vt:variant>
      <vt:variant>
        <vt:lpwstr>http://www.minfin.ru/ru/stabfund</vt:lpwstr>
      </vt:variant>
      <vt:variant>
        <vt:lpwstr/>
      </vt:variant>
      <vt:variant>
        <vt:i4>4653141</vt:i4>
      </vt:variant>
      <vt:variant>
        <vt:i4>135</vt:i4>
      </vt:variant>
      <vt:variant>
        <vt:i4>0</vt:i4>
      </vt:variant>
      <vt:variant>
        <vt:i4>5</vt:i4>
      </vt:variant>
      <vt:variant>
        <vt:lpwstr>http://www.bigness.ru/filing/Minfin/t</vt:lpwstr>
      </vt:variant>
      <vt:variant>
        <vt:lpwstr/>
      </vt:variant>
      <vt:variant>
        <vt:i4>3080219</vt:i4>
      </vt:variant>
      <vt:variant>
        <vt:i4>132</vt:i4>
      </vt:variant>
      <vt:variant>
        <vt:i4>0</vt:i4>
      </vt:variant>
      <vt:variant>
        <vt:i4>5</vt:i4>
      </vt:variant>
      <vt:variant>
        <vt:lpwstr>http://www.bigness.ru/filing/stabilizacionnyj_fond/t</vt:lpwstr>
      </vt:variant>
      <vt:variant>
        <vt:lpwstr/>
      </vt:variant>
      <vt:variant>
        <vt:i4>4259878</vt:i4>
      </vt:variant>
      <vt:variant>
        <vt:i4>129</vt:i4>
      </vt:variant>
      <vt:variant>
        <vt:i4>0</vt:i4>
      </vt:variant>
      <vt:variant>
        <vt:i4>5</vt:i4>
      </vt:variant>
      <vt:variant>
        <vt:lpwstr>http://www1.minfin.ru/ru/reservefund/expenditure/</vt:lpwstr>
      </vt:variant>
      <vt:variant>
        <vt:lpwstr>_ftn2</vt:lpwstr>
      </vt:variant>
      <vt:variant>
        <vt:i4>4259878</vt:i4>
      </vt:variant>
      <vt:variant>
        <vt:i4>126</vt:i4>
      </vt:variant>
      <vt:variant>
        <vt:i4>0</vt:i4>
      </vt:variant>
      <vt:variant>
        <vt:i4>5</vt:i4>
      </vt:variant>
      <vt:variant>
        <vt:lpwstr>http://www1.minfin.ru/ru/reservefund/expenditure/</vt:lpwstr>
      </vt:variant>
      <vt:variant>
        <vt:lpwstr>_ftn1</vt:lpwstr>
      </vt:variant>
      <vt:variant>
        <vt:i4>2097205</vt:i4>
      </vt:variant>
      <vt:variant>
        <vt:i4>123</vt:i4>
      </vt:variant>
      <vt:variant>
        <vt:i4>0</vt:i4>
      </vt:variant>
      <vt:variant>
        <vt:i4>5</vt:i4>
      </vt:variant>
      <vt:variant>
        <vt:lpwstr>http://www1.minfin.ru/ru/reservefund/management/</vt:lpwstr>
      </vt:variant>
      <vt:variant>
        <vt:lpwstr>_ftn3#_ftn3</vt:lpwstr>
      </vt:variant>
      <vt:variant>
        <vt:i4>2097205</vt:i4>
      </vt:variant>
      <vt:variant>
        <vt:i4>120</vt:i4>
      </vt:variant>
      <vt:variant>
        <vt:i4>0</vt:i4>
      </vt:variant>
      <vt:variant>
        <vt:i4>5</vt:i4>
      </vt:variant>
      <vt:variant>
        <vt:lpwstr>http://www1.minfin.ru/ru/reservefund/management/</vt:lpwstr>
      </vt:variant>
      <vt:variant>
        <vt:lpwstr>_ftn3#_ftn3</vt:lpwstr>
      </vt:variant>
      <vt:variant>
        <vt:i4>2097200</vt:i4>
      </vt:variant>
      <vt:variant>
        <vt:i4>117</vt:i4>
      </vt:variant>
      <vt:variant>
        <vt:i4>0</vt:i4>
      </vt:variant>
      <vt:variant>
        <vt:i4>5</vt:i4>
      </vt:variant>
      <vt:variant>
        <vt:lpwstr>http://www1.minfin.ru/ru/reservefund/management/</vt:lpwstr>
      </vt:variant>
      <vt:variant>
        <vt:lpwstr>_ftn6#_ftn6</vt:lpwstr>
      </vt:variant>
      <vt:variant>
        <vt:i4>2097203</vt:i4>
      </vt:variant>
      <vt:variant>
        <vt:i4>114</vt:i4>
      </vt:variant>
      <vt:variant>
        <vt:i4>0</vt:i4>
      </vt:variant>
      <vt:variant>
        <vt:i4>5</vt:i4>
      </vt:variant>
      <vt:variant>
        <vt:lpwstr>http://www1.minfin.ru/ru/reservefund/management/</vt:lpwstr>
      </vt:variant>
      <vt:variant>
        <vt:lpwstr>_ftn5#_ftn5</vt:lpwstr>
      </vt:variant>
      <vt:variant>
        <vt:i4>2097202</vt:i4>
      </vt:variant>
      <vt:variant>
        <vt:i4>111</vt:i4>
      </vt:variant>
      <vt:variant>
        <vt:i4>0</vt:i4>
      </vt:variant>
      <vt:variant>
        <vt:i4>5</vt:i4>
      </vt:variant>
      <vt:variant>
        <vt:lpwstr>http://www1.minfin.ru/ru/reservefund/management/</vt:lpwstr>
      </vt:variant>
      <vt:variant>
        <vt:lpwstr>_ftn4#_ftn4</vt:lpwstr>
      </vt:variant>
      <vt:variant>
        <vt:i4>720941</vt:i4>
      </vt:variant>
      <vt:variant>
        <vt:i4>108</vt:i4>
      </vt:variant>
      <vt:variant>
        <vt:i4>0</vt:i4>
      </vt:variant>
      <vt:variant>
        <vt:i4>5</vt:i4>
      </vt:variant>
      <vt:variant>
        <vt:lpwstr>http://www1.minfin.ru/ru/reservefund/management/</vt:lpwstr>
      </vt:variant>
      <vt:variant>
        <vt:lpwstr>_ftn3</vt:lpwstr>
      </vt:variant>
      <vt:variant>
        <vt:i4>720941</vt:i4>
      </vt:variant>
      <vt:variant>
        <vt:i4>105</vt:i4>
      </vt:variant>
      <vt:variant>
        <vt:i4>0</vt:i4>
      </vt:variant>
      <vt:variant>
        <vt:i4>5</vt:i4>
      </vt:variant>
      <vt:variant>
        <vt:lpwstr>http://www1.minfin.ru/ru/reservefund/management/</vt:lpwstr>
      </vt:variant>
      <vt:variant>
        <vt:lpwstr>_ftn2</vt:lpwstr>
      </vt:variant>
      <vt:variant>
        <vt:i4>720941</vt:i4>
      </vt:variant>
      <vt:variant>
        <vt:i4>102</vt:i4>
      </vt:variant>
      <vt:variant>
        <vt:i4>0</vt:i4>
      </vt:variant>
      <vt:variant>
        <vt:i4>5</vt:i4>
      </vt:variant>
      <vt:variant>
        <vt:lpwstr>http://www1.minfin.ru/ru/reservefund/management/</vt:lpwstr>
      </vt:variant>
      <vt:variant>
        <vt:lpwstr>_ftn1</vt:lpwstr>
      </vt:variant>
      <vt:variant>
        <vt:i4>7602268</vt:i4>
      </vt:variant>
      <vt:variant>
        <vt:i4>99</vt:i4>
      </vt:variant>
      <vt:variant>
        <vt:i4>0</vt:i4>
      </vt:variant>
      <vt:variant>
        <vt:i4>5</vt:i4>
      </vt:variant>
      <vt:variant>
        <vt:lpwstr>http://www1.minfin.ru/ru/reservefund/accumulation/</vt:lpwstr>
      </vt:variant>
      <vt:variant>
        <vt:lpwstr>_ftn4</vt:lpwstr>
      </vt:variant>
      <vt:variant>
        <vt:i4>7602268</vt:i4>
      </vt:variant>
      <vt:variant>
        <vt:i4>96</vt:i4>
      </vt:variant>
      <vt:variant>
        <vt:i4>0</vt:i4>
      </vt:variant>
      <vt:variant>
        <vt:i4>5</vt:i4>
      </vt:variant>
      <vt:variant>
        <vt:lpwstr>http://www1.minfin.ru/ru/reservefund/accumulation/</vt:lpwstr>
      </vt:variant>
      <vt:variant>
        <vt:lpwstr>_ftn3</vt:lpwstr>
      </vt:variant>
      <vt:variant>
        <vt:i4>7602268</vt:i4>
      </vt:variant>
      <vt:variant>
        <vt:i4>93</vt:i4>
      </vt:variant>
      <vt:variant>
        <vt:i4>0</vt:i4>
      </vt:variant>
      <vt:variant>
        <vt:i4>5</vt:i4>
      </vt:variant>
      <vt:variant>
        <vt:lpwstr>http://www1.minfin.ru/ru/reservefund/accumulation/</vt:lpwstr>
      </vt:variant>
      <vt:variant>
        <vt:lpwstr>_ftn2</vt:lpwstr>
      </vt:variant>
      <vt:variant>
        <vt:i4>7602268</vt:i4>
      </vt:variant>
      <vt:variant>
        <vt:i4>90</vt:i4>
      </vt:variant>
      <vt:variant>
        <vt:i4>0</vt:i4>
      </vt:variant>
      <vt:variant>
        <vt:i4>5</vt:i4>
      </vt:variant>
      <vt:variant>
        <vt:lpwstr>http://www1.minfin.ru/ru/reservefund/accumulation/</vt:lpwstr>
      </vt:variant>
      <vt:variant>
        <vt:lpwstr>_ftn1</vt:lpwstr>
      </vt:variant>
      <vt:variant>
        <vt:i4>8323176</vt:i4>
      </vt:variant>
      <vt:variant>
        <vt:i4>87</vt:i4>
      </vt:variant>
      <vt:variant>
        <vt:i4>0</vt:i4>
      </vt:variant>
      <vt:variant>
        <vt:i4>5</vt:i4>
      </vt:variant>
      <vt:variant>
        <vt:lpwstr>http://ru.wikipedia.org/wiki/%D0%9B%D0%B8%D0%BA%D0%B2%D0%B8%D0%B4%D0%BD%D0%BE%D1%81%D1%82%D1%8C</vt:lpwstr>
      </vt:variant>
      <vt:variant>
        <vt:lpwstr/>
      </vt:variant>
      <vt:variant>
        <vt:i4>327721</vt:i4>
      </vt:variant>
      <vt:variant>
        <vt:i4>84</vt:i4>
      </vt:variant>
      <vt:variant>
        <vt:i4>0</vt:i4>
      </vt:variant>
      <vt:variant>
        <vt:i4>5</vt:i4>
      </vt:variant>
      <vt:variant>
        <vt:lpwstr>http://ru.wikipedia.org/wiki/%D0%91%D1%8E%D0%B4%D0%B6%D0%B5%D1%82%D0%BD%D1%8B%D0%B9_%D0%BA%D0%BE%D0%B4%D0%B5%D0%BA%D1%81_%D0%A0%D0%BE%D1%81%D1%81%D0%B8%D0%B9%D1%81%D0%BA%D0%BE%D0%B9_%D0%A4%D0%B5%D0%B4%D0%B5%D1%80%D0%B0%D1%86%D0%B8%D0%B8</vt:lpwstr>
      </vt:variant>
      <vt:variant>
        <vt:lpwstr/>
      </vt:variant>
      <vt:variant>
        <vt:i4>4194307</vt:i4>
      </vt:variant>
      <vt:variant>
        <vt:i4>81</vt:i4>
      </vt:variant>
      <vt:variant>
        <vt:i4>0</vt:i4>
      </vt:variant>
      <vt:variant>
        <vt:i4>5</vt:i4>
      </vt:variant>
      <vt:variant>
        <vt:lpwstr>http://www.minfin.ru/ru/stabfund/</vt:lpwstr>
      </vt:variant>
      <vt:variant>
        <vt:lpwstr/>
      </vt:variant>
      <vt:variant>
        <vt:i4>4194307</vt:i4>
      </vt:variant>
      <vt:variant>
        <vt:i4>78</vt:i4>
      </vt:variant>
      <vt:variant>
        <vt:i4>0</vt:i4>
      </vt:variant>
      <vt:variant>
        <vt:i4>5</vt:i4>
      </vt:variant>
      <vt:variant>
        <vt:lpwstr>http://www.minfin.ru/ru/stabfund/</vt:lpwstr>
      </vt:variant>
      <vt:variant>
        <vt:lpwstr/>
      </vt:variant>
      <vt:variant>
        <vt:i4>2621481</vt:i4>
      </vt:variant>
      <vt:variant>
        <vt:i4>75</vt:i4>
      </vt:variant>
      <vt:variant>
        <vt:i4>0</vt:i4>
      </vt:variant>
      <vt:variant>
        <vt:i4>5</vt:i4>
      </vt:variant>
      <vt:variant>
        <vt:lpwstr>http://ru.wikipedia.org/wiki/%D0%A1%D1%82%D0%B0%D0%B1%D1%84%D0%BE%D0%BD%D0%B4</vt:lpwstr>
      </vt:variant>
      <vt:variant>
        <vt:lpwstr>cite_note-0#cite_note-0</vt:lpwstr>
      </vt:variant>
      <vt:variant>
        <vt:i4>7798873</vt:i4>
      </vt:variant>
      <vt:variant>
        <vt:i4>72</vt:i4>
      </vt:variant>
      <vt:variant>
        <vt:i4>0</vt:i4>
      </vt:variant>
      <vt:variant>
        <vt:i4>5</vt:i4>
      </vt:variant>
      <vt:variant>
        <vt:lpwstr>http://ru.wikipedia.org/wiki/2010_%D0%B3%D0%BE%D0%B4</vt:lpwstr>
      </vt:variant>
      <vt:variant>
        <vt:lpwstr/>
      </vt:variant>
      <vt:variant>
        <vt:i4>7733328</vt:i4>
      </vt:variant>
      <vt:variant>
        <vt:i4>69</vt:i4>
      </vt:variant>
      <vt:variant>
        <vt:i4>0</vt:i4>
      </vt:variant>
      <vt:variant>
        <vt:i4>5</vt:i4>
      </vt:variant>
      <vt:variant>
        <vt:lpwstr>http://ru.wikipedia.org/wiki/2009_%D0%B3%D0%BE%D0%B4</vt:lpwstr>
      </vt:variant>
      <vt:variant>
        <vt:lpwstr/>
      </vt:variant>
      <vt:variant>
        <vt:i4>262164</vt:i4>
      </vt:variant>
      <vt:variant>
        <vt:i4>66</vt:i4>
      </vt:variant>
      <vt:variant>
        <vt:i4>0</vt:i4>
      </vt:variant>
      <vt:variant>
        <vt:i4>5</vt:i4>
      </vt:variant>
      <vt:variant>
        <vt:lpwstr>http://ru.wikipedia.org/wiki/%D0%92%D0%B0%D0%BB%D0%BE%D0%B2%D0%BE%D0%B9_%D0%B2%D0%BD%D1%83%D1%82%D1%80%D0%B5%D0%BD%D0%BD%D0%B8%D0%B9_%D0%BF%D1%80%D0%BE%D0%B4%D1%83%D0%BA%D1%82</vt:lpwstr>
      </vt:variant>
      <vt:variant>
        <vt:lpwstr/>
      </vt:variant>
      <vt:variant>
        <vt:i4>7471107</vt:i4>
      </vt:variant>
      <vt:variant>
        <vt:i4>63</vt:i4>
      </vt:variant>
      <vt:variant>
        <vt:i4>0</vt:i4>
      </vt:variant>
      <vt:variant>
        <vt:i4>5</vt:i4>
      </vt:variant>
      <vt:variant>
        <vt:lpwstr>http://ru.wikipedia.org/wiki/%D0%9D%D0%B5%D1%84%D1%82%D0%B5%D0%B3%D0%B0%D0%B7%D0%BE%D0%B2%D1%8B%D0%B9_%D1%82%D1%80%D0%B0%D0%BD%D1%81%D1%84%D0%B5%D1%80%D1%82</vt:lpwstr>
      </vt:variant>
      <vt:variant>
        <vt:lpwstr/>
      </vt:variant>
      <vt:variant>
        <vt:i4>7929951</vt:i4>
      </vt:variant>
      <vt:variant>
        <vt:i4>60</vt:i4>
      </vt:variant>
      <vt:variant>
        <vt:i4>0</vt:i4>
      </vt:variant>
      <vt:variant>
        <vt:i4>5</vt:i4>
      </vt:variant>
      <vt:variant>
        <vt:lpwstr>http://ru.wikipedia.org/wiki/%D0%A4%D0%BE%D0%BD%D0%B4_%D0%BD%D0%B0%D1%86%D0%B8%D0%BE%D0%BD%D0%B0%D0%BB%D1%8C%D0%BD%D0%BE%D0%B3%D0%BE_%D0%B1%D0%BB%D0%B0%D0%B3%D0%BE%D1%81%D0%BE%D1%81%D1%82%D0%BE%D1%8F%D0%BD%D0%B8%D1%8F_%D0%A0%D0%BE%D1%81%D1%81%D0%B8%D0%B8</vt:lpwstr>
      </vt:variant>
      <vt:variant>
        <vt:lpwstr/>
      </vt:variant>
      <vt:variant>
        <vt:i4>5374077</vt:i4>
      </vt:variant>
      <vt:variant>
        <vt:i4>57</vt:i4>
      </vt:variant>
      <vt:variant>
        <vt:i4>0</vt:i4>
      </vt:variant>
      <vt:variant>
        <vt:i4>5</vt:i4>
      </vt:variant>
      <vt:variant>
        <vt:lpwstr>http://ru.wikipedia.org/wiki/%D0%A0%D0%B5%D0%B7%D0%B5%D1%80%D0%B2%D0%BD%D1%8B%D0%B9_%D1%84%D0%BE%D0%BD%D0%B4_%D0%A0%D0%BE%D1%81%D1%81%D0%B8%D0%B9%D1%81%D0%BA%D0%BE%D0%B9_%D0%A4%D0%B5%D0%B4%D0%B5%D1%80%D0%B0%D1%86%D0%B8%D0%B8</vt:lpwstr>
      </vt:variant>
      <vt:variant>
        <vt:lpwstr/>
      </vt:variant>
      <vt:variant>
        <vt:i4>7733329</vt:i4>
      </vt:variant>
      <vt:variant>
        <vt:i4>54</vt:i4>
      </vt:variant>
      <vt:variant>
        <vt:i4>0</vt:i4>
      </vt:variant>
      <vt:variant>
        <vt:i4>5</vt:i4>
      </vt:variant>
      <vt:variant>
        <vt:lpwstr>http://ru.wikipedia.org/wiki/2008_%D0%B3%D0%BE%D0%B4</vt:lpwstr>
      </vt:variant>
      <vt:variant>
        <vt:lpwstr/>
      </vt:variant>
      <vt:variant>
        <vt:i4>1376353</vt:i4>
      </vt:variant>
      <vt:variant>
        <vt:i4>51</vt:i4>
      </vt:variant>
      <vt:variant>
        <vt:i4>0</vt:i4>
      </vt:variant>
      <vt:variant>
        <vt:i4>5</vt:i4>
      </vt:variant>
      <vt:variant>
        <vt:lpwstr>http://ru.wikipedia.org/wiki/1_%D1%84%D0%B5%D0%B2%D1%80%D0%B0%D0%BB%D1%8F</vt:lpwstr>
      </vt:variant>
      <vt:variant>
        <vt:lpwstr/>
      </vt:variant>
      <vt:variant>
        <vt:i4>65576</vt:i4>
      </vt:variant>
      <vt:variant>
        <vt:i4>48</vt:i4>
      </vt:variant>
      <vt:variant>
        <vt:i4>0</vt:i4>
      </vt:variant>
      <vt:variant>
        <vt:i4>5</vt:i4>
      </vt:variant>
      <vt:variant>
        <vt:lpwstr>http://ru.wikipedia.org/wiki/%D0%9F%D1%80%D0%BE%D0%B3%D1%80%D0%B5%D1%81%D1%81%D0%B8%D0%B2%D0%BD%D1%8B%D0%B9_%D0%BD%D0%B0%D0%BB%D0%BE%D0%B3</vt:lpwstr>
      </vt:variant>
      <vt:variant>
        <vt:lpwstr/>
      </vt:variant>
      <vt:variant>
        <vt:i4>5439506</vt:i4>
      </vt:variant>
      <vt:variant>
        <vt:i4>45</vt:i4>
      </vt:variant>
      <vt:variant>
        <vt:i4>0</vt:i4>
      </vt:variant>
      <vt:variant>
        <vt:i4>5</vt:i4>
      </vt:variant>
      <vt:variant>
        <vt:lpwstr>http://ru.wikipedia.org/wiki/%D0%9C%D0%B0%D0%BA%D1%80%D0%BE%D1%8D%D0%BA%D0%BE%D0%BD%D0%BE%D0%BC%D0%B8%D0%BA%D0%B0</vt:lpwstr>
      </vt:variant>
      <vt:variant>
        <vt:lpwstr/>
      </vt:variant>
      <vt:variant>
        <vt:i4>5242947</vt:i4>
      </vt:variant>
      <vt:variant>
        <vt:i4>42</vt:i4>
      </vt:variant>
      <vt:variant>
        <vt:i4>0</vt:i4>
      </vt:variant>
      <vt:variant>
        <vt:i4>5</vt:i4>
      </vt:variant>
      <vt:variant>
        <vt:lpwstr>http://ru.wikipedia.org/wiki/%D0%A0%D0%BE%D1%81%D1%81%D0%B8%D1%8F</vt:lpwstr>
      </vt:variant>
      <vt:variant>
        <vt:lpwstr/>
      </vt:variant>
      <vt:variant>
        <vt:i4>720923</vt:i4>
      </vt:variant>
      <vt:variant>
        <vt:i4>39</vt:i4>
      </vt:variant>
      <vt:variant>
        <vt:i4>0</vt:i4>
      </vt:variant>
      <vt:variant>
        <vt:i4>5</vt:i4>
      </vt:variant>
      <vt:variant>
        <vt:lpwstr>http://ru.wikipedia.org/wiki/%D0%A4%D0%BE%D0%BD%D0%B4</vt:lpwstr>
      </vt:variant>
      <vt:variant>
        <vt:lpwstr/>
      </vt:variant>
      <vt:variant>
        <vt:i4>1638449</vt:i4>
      </vt:variant>
      <vt:variant>
        <vt:i4>32</vt:i4>
      </vt:variant>
      <vt:variant>
        <vt:i4>0</vt:i4>
      </vt:variant>
      <vt:variant>
        <vt:i4>5</vt:i4>
      </vt:variant>
      <vt:variant>
        <vt:lpwstr/>
      </vt:variant>
      <vt:variant>
        <vt:lpwstr>_Toc295816790</vt:lpwstr>
      </vt:variant>
      <vt:variant>
        <vt:i4>1572913</vt:i4>
      </vt:variant>
      <vt:variant>
        <vt:i4>26</vt:i4>
      </vt:variant>
      <vt:variant>
        <vt:i4>0</vt:i4>
      </vt:variant>
      <vt:variant>
        <vt:i4>5</vt:i4>
      </vt:variant>
      <vt:variant>
        <vt:lpwstr/>
      </vt:variant>
      <vt:variant>
        <vt:lpwstr>_Toc295816789</vt:lpwstr>
      </vt:variant>
      <vt:variant>
        <vt:i4>1572913</vt:i4>
      </vt:variant>
      <vt:variant>
        <vt:i4>20</vt:i4>
      </vt:variant>
      <vt:variant>
        <vt:i4>0</vt:i4>
      </vt:variant>
      <vt:variant>
        <vt:i4>5</vt:i4>
      </vt:variant>
      <vt:variant>
        <vt:lpwstr/>
      </vt:variant>
      <vt:variant>
        <vt:lpwstr>_Toc295816788</vt:lpwstr>
      </vt:variant>
      <vt:variant>
        <vt:i4>1572913</vt:i4>
      </vt:variant>
      <vt:variant>
        <vt:i4>14</vt:i4>
      </vt:variant>
      <vt:variant>
        <vt:i4>0</vt:i4>
      </vt:variant>
      <vt:variant>
        <vt:i4>5</vt:i4>
      </vt:variant>
      <vt:variant>
        <vt:lpwstr/>
      </vt:variant>
      <vt:variant>
        <vt:lpwstr>_Toc295816787</vt:lpwstr>
      </vt:variant>
      <vt:variant>
        <vt:i4>1572913</vt:i4>
      </vt:variant>
      <vt:variant>
        <vt:i4>8</vt:i4>
      </vt:variant>
      <vt:variant>
        <vt:i4>0</vt:i4>
      </vt:variant>
      <vt:variant>
        <vt:i4>5</vt:i4>
      </vt:variant>
      <vt:variant>
        <vt:lpwstr/>
      </vt:variant>
      <vt:variant>
        <vt:lpwstr>_Toc295816786</vt:lpwstr>
      </vt:variant>
      <vt:variant>
        <vt:i4>1572913</vt:i4>
      </vt:variant>
      <vt:variant>
        <vt:i4>2</vt:i4>
      </vt:variant>
      <vt:variant>
        <vt:i4>0</vt:i4>
      </vt:variant>
      <vt:variant>
        <vt:i4>5</vt:i4>
      </vt:variant>
      <vt:variant>
        <vt:lpwstr/>
      </vt:variant>
      <vt:variant>
        <vt:lpwstr>_Toc295816785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Helga</dc:creator>
  <cp:keywords/>
  <cp:lastModifiedBy>Irina</cp:lastModifiedBy>
  <cp:revision>2</cp:revision>
  <dcterms:created xsi:type="dcterms:W3CDTF">2014-08-16T19:44:00Z</dcterms:created>
  <dcterms:modified xsi:type="dcterms:W3CDTF">2014-08-16T19:44:00Z</dcterms:modified>
</cp:coreProperties>
</file>