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5103"/>
        <w:gridCol w:w="238"/>
        <w:gridCol w:w="3317"/>
        <w:gridCol w:w="236"/>
        <w:gridCol w:w="1323"/>
      </w:tblGrid>
      <w:tr w:rsidR="00F03E01">
        <w:trPr>
          <w:cantSplit/>
        </w:trPr>
        <w:tc>
          <w:tcPr>
            <w:tcW w:w="284" w:type="dxa"/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F03E01" w:rsidRDefault="0001499C">
            <w:pPr>
              <w:pStyle w:val="4"/>
              <w:spacing w:before="20" w:after="20"/>
            </w:pPr>
            <w:r>
              <w:t>ПЛАТНИКИ ЗБОРУ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b/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ОБ’ЄКТ ОПОДАТКУВАННЯ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b/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Ставки збору від об’єкта оподаткування</w:t>
            </w:r>
          </w:p>
        </w:tc>
      </w:tr>
      <w:tr w:rsidR="00F03E01">
        <w:trPr>
          <w:cantSplit/>
          <w:trHeight w:val="95"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6328AE">
            <w:pPr>
              <w:spacing w:line="160" w:lineRule="exact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_x0000_s1064" style="position:absolute;left:0;text-align:left;margin-left:138.3pt;margin-top:96.3pt;width:375pt;height:219.3pt;z-index:251657728;mso-position-horizontal-relative:page;mso-position-vertical-relative:page" coordorigin="2766,1926" coordsize="7500,4386" o:allowincell="f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52" type="#_x0000_t5" style="position:absolute;left:2766;top:6012;width:2376;height:114;flip:y" fillcolor="gray" strokecolor="gray"/>
                  <v:shape id="_x0000_s1027" type="#_x0000_t5" style="position:absolute;left:2766;top:5520;width:2376;height:114;flip:y" fillcolor="gray" strokecolor="gray"/>
                  <v:shape id="_x0000_s1037" type="#_x0000_t5" style="position:absolute;left:2766;top:4860;width:2376;height:114;flip:y" fillcolor="gray" strokecolor="gray"/>
                  <v:shape id="_x0000_s1038" type="#_x0000_t5" style="position:absolute;left:2766;top:4530;width:2376;height:114;flip:y" fillcolor="gray" strokecolor="gray"/>
                  <v:shape id="_x0000_s1039" type="#_x0000_t5" style="position:absolute;left:2766;top:4032;width:2376;height:108;flip:y" fillcolor="gray" strokecolor="gray"/>
                  <v:shape id="_x0000_s1040" type="#_x0000_t5" style="position:absolute;left:2766;top:3702;width:2376;height:114;flip:y" fillcolor="gray" strokecolor="gray"/>
                  <v:shape id="_x0000_s1041" type="#_x0000_t5" style="position:absolute;left:2766;top:3180;width:2376;height:114;flip:y" fillcolor="gray" strokecolor="gray"/>
                  <v:shape id="_x0000_s1042" type="#_x0000_t5" style="position:absolute;left:2766;top:2370;width:2376;height:114;flip:y" fillcolor="gray" strokecolor="gray"/>
                  <v:group id="_x0000_s1053" style="position:absolute;left:10056;top:1926;width:210;height:4386" coordorigin="10056,1926" coordsize="210,4386">
                    <v:line id="_x0000_s1043" style="position:absolute" from="10056,1926" to="10266,1926" strokecolor="gray">
                      <v:stroke endarrow="block" endarrowwidth="wide" endarrowlength="long"/>
                    </v:line>
                    <v:line id="_x0000_s1044" style="position:absolute" from="10056,2826" to="10266,2826" strokecolor="gray">
                      <v:stroke endarrow="block" endarrowwidth="wide" endarrowlength="long"/>
                    </v:line>
                    <v:line id="_x0000_s1045" style="position:absolute" from="10056,3516" to="10266,3516" strokecolor="gray">
                      <v:stroke endarrow="block" endarrowwidth="wide" endarrowlength="long"/>
                    </v:line>
                    <v:line id="_x0000_s1046" style="position:absolute" from="10056,3924" to="10266,3924" strokecolor="gray">
                      <v:stroke endarrow="block" endarrowwidth="wide" endarrowlength="long"/>
                    </v:line>
                    <v:line id="_x0000_s1047" style="position:absolute" from="10056,4338" to="10266,4338" strokecolor="gray">
                      <v:stroke endarrow="block" endarrowwidth="wide" endarrowlength="long"/>
                    </v:line>
                    <v:line id="_x0000_s1048" style="position:absolute" from="10056,4746" to="10266,4746" strokecolor="gray">
                      <v:stroke endarrow="block" endarrowwidth="wide" endarrowlength="long"/>
                    </v:line>
                    <v:line id="_x0000_s1049" style="position:absolute" from="10056,5256" to="10266,5256" strokecolor="gray">
                      <v:stroke endarrow="block" endarrowwidth="wide" endarrowlength="long"/>
                    </v:line>
                    <v:line id="_x0000_s1050" style="position:absolute" from="10056,5820" to="10266,5820" strokecolor="gray">
                      <v:stroke endarrow="block" endarrowwidth="wide" endarrowlength="long"/>
                    </v:line>
                    <v:line id="_x0000_s1051" style="position:absolute" from="10056,6312" to="10266,6312" strokecolor="gray">
                      <v:stroke endarrow="block" endarrowwidth="wide" endarrowlength="long"/>
                    </v:line>
                  </v:group>
                  <v:group id="_x0000_s1054" style="position:absolute;left:6510;top:1926;width:210;height:4386" coordorigin="10056,1926" coordsize="210,4386">
                    <v:line id="_x0000_s1055" style="position:absolute" from="10056,1926" to="10266,1926" strokecolor="gray">
                      <v:stroke endarrow="block" endarrowwidth="wide" endarrowlength="long"/>
                    </v:line>
                    <v:line id="_x0000_s1056" style="position:absolute" from="10056,2826" to="10266,2826" strokecolor="gray">
                      <v:stroke endarrow="block" endarrowwidth="wide" endarrowlength="long"/>
                    </v:line>
                    <v:line id="_x0000_s1057" style="position:absolute" from="10056,3516" to="10266,3516" strokecolor="gray">
                      <v:stroke endarrow="block" endarrowwidth="wide" endarrowlength="long"/>
                    </v:line>
                    <v:line id="_x0000_s1058" style="position:absolute" from="10056,3924" to="10266,3924" strokecolor="gray">
                      <v:stroke endarrow="block" endarrowwidth="wide" endarrowlength="long"/>
                    </v:line>
                    <v:line id="_x0000_s1059" style="position:absolute" from="10056,4338" to="10266,4338" strokecolor="gray">
                      <v:stroke endarrow="block" endarrowwidth="wide" endarrowlength="long"/>
                    </v:line>
                    <v:line id="_x0000_s1060" style="position:absolute" from="10056,4746" to="10266,4746" strokecolor="gray">
                      <v:stroke endarrow="block" endarrowwidth="wide" endarrowlength="long"/>
                    </v:line>
                    <v:line id="_x0000_s1061" style="position:absolute" from="10056,5256" to="10266,5256" strokecolor="gray">
                      <v:stroke endarrow="block" endarrowwidth="wide" endarrowlength="long"/>
                    </v:line>
                    <v:line id="_x0000_s1062" style="position:absolute" from="10056,5820" to="10266,5820" strokecolor="gray">
                      <v:stroke endarrow="block" endarrowwidth="wide" endarrowlength="long"/>
                    </v:line>
                    <v:line id="_x0000_s1063" style="position:absolute" from="10056,6312" to="10266,6312" strokecolor="gray">
                      <v:stroke endarrow="block" endarrowwidth="wide" endarrowlength="long"/>
                    </v:line>
                  </v:group>
                  <w10:wrap anchorx="page" anchory="page"/>
                </v:group>
              </w:pict>
            </w:r>
            <w:r w:rsidR="0001499C">
              <w:rPr>
                <w:sz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jc w:val="center"/>
              <w:rPr>
                <w:spacing w:val="-4"/>
                <w:sz w:val="16"/>
              </w:rPr>
            </w:pPr>
            <w:r>
              <w:rPr>
                <w:b/>
                <w:sz w:val="16"/>
              </w:rPr>
              <w:t xml:space="preserve">Юридичні особи </w:t>
            </w:r>
            <w:r>
              <w:rPr>
                <w:sz w:val="16"/>
              </w:rPr>
              <w:t>— суб’єкти підприємницької діяльності, громадські установи і організації, об’єднання громадян, а також</w:t>
            </w:r>
            <w:r>
              <w:rPr>
                <w:sz w:val="16"/>
              </w:rPr>
              <w:br/>
            </w:r>
            <w:r>
              <w:rPr>
                <w:b/>
                <w:spacing w:val="-6"/>
                <w:sz w:val="16"/>
              </w:rPr>
              <w:t>фізичні особи</w:t>
            </w:r>
            <w:r>
              <w:rPr>
                <w:spacing w:val="-6"/>
                <w:sz w:val="16"/>
              </w:rPr>
              <w:t xml:space="preserve"> — суб’єкти підприємницької діяльності, які використовують працю найманих працівників (їхніх філії та відокремлені підрозділи, що не мають статусу юридичні особи, розташовані на іншій території</w:t>
            </w:r>
          </w:p>
        </w:tc>
        <w:tc>
          <w:tcPr>
            <w:tcW w:w="238" w:type="dxa"/>
            <w:tcBorders>
              <w:left w:val="nil"/>
            </w:tcBorders>
          </w:tcPr>
          <w:p w:rsidR="00F03E01" w:rsidRDefault="00F03E01">
            <w:pPr>
              <w:spacing w:before="20" w:after="20" w:line="160" w:lineRule="exact"/>
              <w:jc w:val="both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Фактичні витрати на оплату праці працівників, а також винагороди, що виплачуються громадянам за виконання робіт  за угодами цивільно-правового характеру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32%</w:t>
            </w:r>
          </w:p>
          <w:p w:rsidR="00F03E01" w:rsidRDefault="000149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  <w:lang w:val="ru-RU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center"/>
              <w:rPr>
                <w:b/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Фізичні особи — суб’єкти підприємницької діяльності, котрі не використовують працю найманих працівників, а також особи, які не є суб’єктами підприємницької діяльності (адвокати, приватні нотаріуси, інші особи) але займаються діяльністю, пов’язаною з отриманням доходу</w:t>
            </w:r>
          </w:p>
        </w:tc>
        <w:tc>
          <w:tcPr>
            <w:tcW w:w="238" w:type="dxa"/>
            <w:tcBorders>
              <w:left w:val="nil"/>
            </w:tcBorders>
          </w:tcPr>
          <w:p w:rsidR="00F03E01" w:rsidRDefault="00F03E01">
            <w:pPr>
              <w:spacing w:before="20" w:after="20" w:line="160" w:lineRule="exact"/>
              <w:jc w:val="both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Сума оподаткованого доходу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32%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2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both"/>
              <w:rPr>
                <w:sz w:val="12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2"/>
              </w:rPr>
            </w:pPr>
          </w:p>
        </w:tc>
        <w:tc>
          <w:tcPr>
            <w:tcW w:w="3317" w:type="dxa"/>
            <w:vAlign w:val="center"/>
          </w:tcPr>
          <w:p w:rsidR="00F03E01" w:rsidRDefault="00F03E01">
            <w:pPr>
              <w:jc w:val="center"/>
              <w:rPr>
                <w:sz w:val="12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2"/>
              </w:rPr>
            </w:pPr>
          </w:p>
        </w:tc>
        <w:tc>
          <w:tcPr>
            <w:tcW w:w="1323" w:type="dxa"/>
            <w:vAlign w:val="center"/>
          </w:tcPr>
          <w:p w:rsidR="00F03E01" w:rsidRDefault="00F03E01">
            <w:pPr>
              <w:jc w:val="center"/>
              <w:rPr>
                <w:sz w:val="12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Фізичні особи, які працюють на умовах трудового (контракту) або виконують роботи згідно з цивільно-правовими договорами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Сукупний оподаткований доход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40" w:after="40"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  <w:r>
              <w:rPr>
                <w:sz w:val="16"/>
              </w:rPr>
              <w:br/>
              <w:t>2%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  <w:tc>
          <w:tcPr>
            <w:tcW w:w="238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  <w:tc>
          <w:tcPr>
            <w:tcW w:w="3317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Юридичні і фізичні особи, що здійснюють операції з купівлі-продажу валюти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Сума операції з купівлі-продажу валюти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Суб’єкти підприємницької діяльності, які здійснюють торгівлю ювелірними виробами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Вартість реалізованих ювелірних виобів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Юридичні та фізичні особи за відчуження легкових автомобілів</w:t>
            </w:r>
          </w:p>
        </w:tc>
        <w:tc>
          <w:tcPr>
            <w:tcW w:w="238" w:type="dxa"/>
            <w:tcBorders>
              <w:left w:val="nil"/>
            </w:tcBorders>
          </w:tcPr>
          <w:p w:rsidR="00F03E01" w:rsidRDefault="00F03E01">
            <w:pPr>
              <w:spacing w:before="20" w:after="20" w:line="160" w:lineRule="exact"/>
              <w:jc w:val="center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Вартість легкового автомобіля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Суб’єкти підприємницької діяльності (у тому числі нерезиденти) — виробники та імпортери тютюнових виробів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both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ind w:left="-57" w:right="-57"/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Вартість вироблених та імпортованих тютюнових виробів з урахуванням акцизного збору, що підлягають продажу, обміну, безоплатній передачі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  <w:vAlign w:val="center"/>
          </w:tcPr>
          <w:p w:rsidR="00F03E01" w:rsidRDefault="00F03E01">
            <w:pPr>
              <w:jc w:val="center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Підприємства, установи та організації, які придбавають нерухоме майно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:rsidR="00F03E01" w:rsidRDefault="00F03E01">
            <w:pPr>
              <w:spacing w:before="20" w:after="20" w:line="160" w:lineRule="exact"/>
              <w:jc w:val="center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Вартість нерухомого майна, зазначеного в договорі купівлі-продажу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8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3317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236" w:type="dxa"/>
            <w:vAlign w:val="center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  <w:tc>
          <w:tcPr>
            <w:tcW w:w="1323" w:type="dxa"/>
          </w:tcPr>
          <w:p w:rsidR="00F03E01" w:rsidRDefault="00F03E01">
            <w:pPr>
              <w:jc w:val="both"/>
              <w:rPr>
                <w:sz w:val="10"/>
              </w:rPr>
            </w:pPr>
          </w:p>
        </w:tc>
      </w:tr>
      <w:tr w:rsidR="00F03E01">
        <w:trPr>
          <w:cantSplit/>
        </w:trPr>
        <w:tc>
          <w:tcPr>
            <w:tcW w:w="284" w:type="dxa"/>
          </w:tcPr>
          <w:p w:rsidR="00F03E01" w:rsidRDefault="0001499C">
            <w:pPr>
              <w:spacing w:line="160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Підприємства установи, організації, фізичні особи, які користуються послугами стільникового рухомого зв’язку</w:t>
            </w:r>
          </w:p>
        </w:tc>
        <w:tc>
          <w:tcPr>
            <w:tcW w:w="238" w:type="dxa"/>
            <w:tcBorders>
              <w:left w:val="nil"/>
            </w:tcBorders>
          </w:tcPr>
          <w:p w:rsidR="00F03E01" w:rsidRDefault="00F03E01">
            <w:pPr>
              <w:spacing w:before="20" w:after="20" w:line="160" w:lineRule="exact"/>
              <w:jc w:val="center"/>
              <w:rPr>
                <w:sz w:val="16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1" w:rsidRDefault="0001499C">
            <w:pPr>
              <w:spacing w:before="20" w:after="20" w:line="160" w:lineRule="exact"/>
              <w:ind w:left="-57" w:right="-57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Вартість будь-яких послуг стільникового рухомого зв’язку, сплачених споживачами цих послуг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03E01" w:rsidRDefault="00F03E01">
            <w:pPr>
              <w:spacing w:line="160" w:lineRule="exact"/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1" w:rsidRDefault="000149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6%</w:t>
            </w:r>
          </w:p>
        </w:tc>
      </w:tr>
    </w:tbl>
    <w:p w:rsidR="00F03E01" w:rsidRDefault="00F03E01">
      <w:bookmarkStart w:id="0" w:name="_GoBack"/>
      <w:bookmarkEnd w:id="0"/>
    </w:p>
    <w:sectPr w:rsidR="00F03E01">
      <w:pgSz w:w="12242" w:h="7921" w:orient="landscape" w:code="6"/>
      <w:pgMar w:top="851" w:right="624" w:bottom="567" w:left="1106" w:header="720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99C"/>
    <w:rsid w:val="0001499C"/>
    <w:rsid w:val="006328AE"/>
    <w:rsid w:val="00F0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>
      <o:colormenu v:ext="edit" strokecolor="gray"/>
    </o:shapedefaults>
    <o:shapelayout v:ext="edit">
      <o:idmap v:ext="edit" data="1"/>
    </o:shapelayout>
  </w:shapeDefaults>
  <w:decimalSymbol w:val=","/>
  <w:listSeparator w:val=";"/>
  <w15:chartTrackingRefBased/>
  <w15:docId w15:val="{97596CD6-3912-463D-B81F-1D0890C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next w:val="a"/>
    <w:qFormat/>
    <w:pPr>
      <w:keepNext/>
      <w:spacing w:line="160" w:lineRule="exact"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ПЛАТНИКИ ЗБОРУ</vt:lpstr>
    </vt:vector>
  </TitlesOfParts>
  <Company> 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ПЛАТНИКИ ЗБОРУ</dc:title>
  <dc:subject/>
  <dc:creator>508-1</dc:creator>
  <cp:keywords/>
  <cp:lastModifiedBy>Irina</cp:lastModifiedBy>
  <cp:revision>2</cp:revision>
  <dcterms:created xsi:type="dcterms:W3CDTF">2014-08-14T17:51:00Z</dcterms:created>
  <dcterms:modified xsi:type="dcterms:W3CDTF">2014-08-14T17:51:00Z</dcterms:modified>
</cp:coreProperties>
</file>