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A0C" w:rsidRDefault="003F1A0C" w:rsidP="003F1A0C">
      <w:pPr>
        <w:jc w:val="center"/>
        <w:rPr>
          <w:rFonts w:eastAsia="Lucida Sans Unicode" w:cs="Tahoma"/>
          <w:b/>
          <w:bCs/>
          <w:lang w:bidi="ru-RU"/>
        </w:rPr>
      </w:pPr>
      <w:r>
        <w:rPr>
          <w:rFonts w:eastAsia="Lucida Sans Unicode" w:cs="Tahoma"/>
          <w:b/>
          <w:bCs/>
          <w:lang w:bidi="ru-RU"/>
        </w:rPr>
        <w:t>МОСКОВСКИЙ  ГОСУДАРСТВЕННЫЙ  УНИВЕРСИТЕТ</w:t>
      </w:r>
    </w:p>
    <w:p w:rsidR="003F1A0C" w:rsidRDefault="003F1A0C" w:rsidP="003F1A0C">
      <w:pPr>
        <w:jc w:val="center"/>
        <w:rPr>
          <w:rFonts w:eastAsia="Lucida Sans Unicode" w:cs="Tahoma"/>
          <w:b/>
          <w:bCs/>
          <w:lang w:bidi="ru-RU"/>
        </w:rPr>
      </w:pPr>
      <w:r>
        <w:rPr>
          <w:rFonts w:eastAsia="Lucida Sans Unicode" w:cs="Tahoma"/>
          <w:b/>
          <w:bCs/>
          <w:lang w:bidi="ru-RU"/>
        </w:rPr>
        <w:t>им. М. В. Ломоносова</w:t>
      </w:r>
    </w:p>
    <w:p w:rsidR="003F1A0C" w:rsidRDefault="003F1A0C" w:rsidP="003F1A0C">
      <w:pPr>
        <w:jc w:val="center"/>
        <w:rPr>
          <w:rFonts w:eastAsia="Lucida Sans Unicode" w:cs="Tahoma"/>
          <w:b/>
          <w:bCs/>
          <w:lang w:bidi="ru-RU"/>
        </w:rPr>
      </w:pPr>
      <w:r>
        <w:rPr>
          <w:rFonts w:eastAsia="Lucida Sans Unicode" w:cs="Tahoma"/>
          <w:b/>
          <w:bCs/>
          <w:lang w:bidi="ru-RU"/>
        </w:rPr>
        <w:t>ЭКОНОМИЧЕСКИЙ ФАКУЛЬТЕТ</w:t>
      </w:r>
    </w:p>
    <w:p w:rsidR="003F1A0C" w:rsidRDefault="003F1A0C" w:rsidP="003F1A0C">
      <w:pPr>
        <w:jc w:val="center"/>
        <w:rPr>
          <w:rFonts w:eastAsia="Lucida Sans Unicode" w:cs="Tahoma"/>
          <w:b/>
          <w:bCs/>
          <w:lang w:bidi="ru-RU"/>
        </w:rPr>
      </w:pPr>
      <w:r>
        <w:rPr>
          <w:rFonts w:eastAsia="Lucida Sans Unicode" w:cs="Tahoma"/>
          <w:b/>
          <w:bCs/>
          <w:lang w:bidi="ru-RU"/>
        </w:rPr>
        <w:t>Кафедра «Финансы и кредит»</w:t>
      </w: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Pr="003F1A0C" w:rsidRDefault="003F1A0C" w:rsidP="003F1A0C">
      <w:pPr>
        <w:jc w:val="center"/>
        <w:rPr>
          <w:rFonts w:eastAsia="Lucida Sans Unicode" w:cs="Tahoma"/>
          <w:b/>
          <w:bCs/>
          <w:sz w:val="32"/>
          <w:szCs w:val="32"/>
          <w:lang w:bidi="ru-RU"/>
        </w:rPr>
      </w:pPr>
      <w:r w:rsidRPr="003F1A0C">
        <w:rPr>
          <w:rFonts w:eastAsia="Lucida Sans Unicode" w:cs="Tahoma"/>
          <w:b/>
          <w:bCs/>
          <w:sz w:val="32"/>
          <w:szCs w:val="32"/>
          <w:lang w:bidi="ru-RU"/>
        </w:rPr>
        <w:t>КУРСОВАЯ РАБОТА</w:t>
      </w:r>
    </w:p>
    <w:p w:rsidR="003F1A0C" w:rsidRDefault="003F1A0C" w:rsidP="003F1A0C">
      <w:pPr>
        <w:jc w:val="center"/>
        <w:rPr>
          <w:rFonts w:eastAsia="Lucida Sans Unicode" w:cs="Tahoma"/>
          <w:b/>
          <w:bCs/>
          <w:lang w:bidi="ru-RU"/>
        </w:rPr>
      </w:pPr>
    </w:p>
    <w:p w:rsidR="003F1A0C" w:rsidRDefault="003F1A0C" w:rsidP="003F1A0C">
      <w:pPr>
        <w:jc w:val="center"/>
        <w:rPr>
          <w:b/>
          <w:sz w:val="28"/>
          <w:szCs w:val="28"/>
        </w:rPr>
      </w:pPr>
      <w:r w:rsidRPr="003F1A0C">
        <w:rPr>
          <w:rFonts w:eastAsia="Lucida Sans Unicode" w:cs="Tahoma"/>
          <w:b/>
          <w:bCs/>
          <w:sz w:val="28"/>
          <w:szCs w:val="28"/>
          <w:lang w:bidi="ru-RU"/>
        </w:rPr>
        <w:t>Тема: «</w:t>
      </w:r>
      <w:r w:rsidRPr="003F1A0C">
        <w:rPr>
          <w:b/>
          <w:sz w:val="28"/>
          <w:szCs w:val="28"/>
        </w:rPr>
        <w:t>Проведение корректировки формулы расчета  риска актива (стандартное отклонение доходности</w:t>
      </w:r>
      <w:r w:rsidRPr="00756BB6">
        <w:rPr>
          <w:b/>
          <w:sz w:val="28"/>
          <w:szCs w:val="28"/>
        </w:rPr>
        <w:t xml:space="preserve">). </w:t>
      </w:r>
    </w:p>
    <w:p w:rsidR="003F1A0C" w:rsidRPr="00756BB6" w:rsidRDefault="003F1A0C" w:rsidP="003F1A0C">
      <w:pPr>
        <w:jc w:val="center"/>
        <w:rPr>
          <w:b/>
          <w:sz w:val="28"/>
          <w:szCs w:val="28"/>
        </w:rPr>
      </w:pPr>
      <w:r w:rsidRPr="00756BB6">
        <w:rPr>
          <w:b/>
          <w:sz w:val="28"/>
          <w:szCs w:val="28"/>
        </w:rPr>
        <w:t xml:space="preserve">Определение последствий для </w:t>
      </w:r>
      <w:r w:rsidRPr="00756BB6">
        <w:rPr>
          <w:b/>
          <w:sz w:val="28"/>
          <w:szCs w:val="28"/>
          <w:lang w:val="en-US"/>
        </w:rPr>
        <w:t>CAPM</w:t>
      </w:r>
      <w:r>
        <w:rPr>
          <w:b/>
          <w:sz w:val="28"/>
          <w:szCs w:val="28"/>
        </w:rPr>
        <w:t>»</w:t>
      </w:r>
      <w:r w:rsidRPr="00756BB6">
        <w:rPr>
          <w:b/>
          <w:sz w:val="28"/>
          <w:szCs w:val="28"/>
        </w:rPr>
        <w:t>.</w:t>
      </w: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right"/>
        <w:rPr>
          <w:rFonts w:eastAsia="Lucida Sans Unicode" w:cs="Tahoma"/>
          <w:b/>
          <w:bCs/>
          <w:lang w:bidi="ru-RU"/>
        </w:rPr>
      </w:pPr>
      <w:r>
        <w:rPr>
          <w:rFonts w:eastAsia="Lucida Sans Unicode" w:cs="Tahoma"/>
          <w:b/>
          <w:bCs/>
          <w:lang w:bidi="ru-RU"/>
        </w:rPr>
        <w:t xml:space="preserve">Выполнена студенткой группы Э-31 </w:t>
      </w:r>
    </w:p>
    <w:p w:rsidR="003F1A0C" w:rsidRDefault="003F1A0C" w:rsidP="003F1A0C">
      <w:pPr>
        <w:jc w:val="right"/>
        <w:rPr>
          <w:rFonts w:eastAsia="Lucida Sans Unicode" w:cs="Tahoma"/>
          <w:b/>
          <w:bCs/>
          <w:lang w:bidi="ru-RU"/>
        </w:rPr>
      </w:pPr>
      <w:r>
        <w:rPr>
          <w:rFonts w:eastAsia="Lucida Sans Unicode" w:cs="Tahoma"/>
          <w:b/>
          <w:bCs/>
          <w:lang w:bidi="ru-RU"/>
        </w:rPr>
        <w:t>Байтелесовой А.Д.</w:t>
      </w:r>
    </w:p>
    <w:p w:rsidR="003F1A0C" w:rsidRDefault="003F1A0C" w:rsidP="003F1A0C">
      <w:pPr>
        <w:jc w:val="right"/>
        <w:rPr>
          <w:rFonts w:eastAsia="Lucida Sans Unicode" w:cs="Tahoma"/>
          <w:b/>
          <w:bCs/>
          <w:lang w:bidi="ru-RU"/>
        </w:rPr>
      </w:pPr>
      <w:r>
        <w:rPr>
          <w:rFonts w:eastAsia="Lucida Sans Unicode" w:cs="Tahoma"/>
          <w:b/>
          <w:bCs/>
          <w:lang w:bidi="ru-RU"/>
        </w:rPr>
        <w:t xml:space="preserve">Научный руководитель: доцент </w:t>
      </w:r>
    </w:p>
    <w:p w:rsidR="003F1A0C" w:rsidRDefault="003F1A0C" w:rsidP="003F1A0C">
      <w:pPr>
        <w:jc w:val="right"/>
        <w:rPr>
          <w:rFonts w:eastAsia="Lucida Sans Unicode" w:cs="Tahoma"/>
          <w:b/>
          <w:bCs/>
          <w:lang w:bidi="ru-RU"/>
        </w:rPr>
      </w:pPr>
      <w:r>
        <w:rPr>
          <w:rFonts w:eastAsia="Lucida Sans Unicode" w:cs="Tahoma"/>
          <w:b/>
          <w:bCs/>
          <w:lang w:bidi="ru-RU"/>
        </w:rPr>
        <w:t xml:space="preserve">кафедры «финансы и кредит», </w:t>
      </w:r>
    </w:p>
    <w:p w:rsidR="003F1A0C" w:rsidRDefault="003F1A0C" w:rsidP="003F1A0C">
      <w:pPr>
        <w:jc w:val="right"/>
        <w:rPr>
          <w:rFonts w:eastAsia="Lucida Sans Unicode" w:cs="Tahoma"/>
          <w:b/>
          <w:bCs/>
          <w:lang w:bidi="ru-RU"/>
        </w:rPr>
      </w:pPr>
      <w:r>
        <w:rPr>
          <w:rFonts w:eastAsia="Lucida Sans Unicode" w:cs="Tahoma"/>
          <w:b/>
          <w:bCs/>
          <w:lang w:bidi="ru-RU"/>
        </w:rPr>
        <w:t>к.э.н Яндиев М. И.</w:t>
      </w:r>
    </w:p>
    <w:p w:rsidR="003F1A0C" w:rsidRDefault="003F1A0C" w:rsidP="003F1A0C">
      <w:pPr>
        <w:jc w:val="right"/>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p>
    <w:p w:rsidR="00C34976" w:rsidRDefault="00C34976" w:rsidP="003F1A0C">
      <w:pPr>
        <w:jc w:val="center"/>
        <w:rPr>
          <w:rFonts w:eastAsia="Lucida Sans Unicode" w:cs="Tahoma"/>
          <w:b/>
          <w:bCs/>
          <w:lang w:bidi="ru-RU"/>
        </w:rPr>
      </w:pPr>
    </w:p>
    <w:p w:rsidR="003F1A0C" w:rsidRDefault="003F1A0C" w:rsidP="003F1A0C">
      <w:pPr>
        <w:jc w:val="center"/>
        <w:rPr>
          <w:rFonts w:eastAsia="Lucida Sans Unicode" w:cs="Tahoma"/>
          <w:b/>
          <w:bCs/>
          <w:lang w:bidi="ru-RU"/>
        </w:rPr>
      </w:pPr>
      <w:r>
        <w:rPr>
          <w:rFonts w:eastAsia="Lucida Sans Unicode" w:cs="Tahoma"/>
          <w:b/>
          <w:bCs/>
          <w:lang w:bidi="ru-RU"/>
        </w:rPr>
        <w:t xml:space="preserve">Москва </w:t>
      </w:r>
    </w:p>
    <w:p w:rsidR="003F1A0C" w:rsidRDefault="003F1A0C" w:rsidP="003F1A0C">
      <w:pPr>
        <w:jc w:val="center"/>
        <w:rPr>
          <w:rFonts w:eastAsia="Lucida Sans Unicode" w:cs="Tahoma"/>
          <w:b/>
          <w:bCs/>
          <w:lang w:bidi="ru-RU"/>
        </w:rPr>
      </w:pPr>
      <w:r>
        <w:rPr>
          <w:rFonts w:eastAsia="Lucida Sans Unicode" w:cs="Tahoma"/>
          <w:b/>
          <w:bCs/>
          <w:lang w:bidi="ru-RU"/>
        </w:rPr>
        <w:t>2008</w:t>
      </w:r>
    </w:p>
    <w:p w:rsidR="007B54BD" w:rsidRPr="00B5414B" w:rsidRDefault="007B54BD" w:rsidP="00756BB6">
      <w:pPr>
        <w:jc w:val="center"/>
        <w:rPr>
          <w:b/>
          <w:sz w:val="28"/>
          <w:szCs w:val="28"/>
        </w:rPr>
      </w:pPr>
      <w:r w:rsidRPr="00B5414B">
        <w:rPr>
          <w:b/>
          <w:sz w:val="28"/>
          <w:szCs w:val="28"/>
        </w:rPr>
        <w:t>Содержание</w:t>
      </w:r>
    </w:p>
    <w:p w:rsidR="007B54BD" w:rsidRDefault="007B54BD">
      <w:pPr>
        <w:rPr>
          <w:b/>
        </w:rPr>
      </w:pPr>
    </w:p>
    <w:p w:rsidR="00C34976" w:rsidRDefault="00C34976">
      <w:pPr>
        <w:rPr>
          <w:b/>
        </w:rPr>
      </w:pPr>
    </w:p>
    <w:p w:rsidR="007B54BD" w:rsidRPr="00E667A2" w:rsidRDefault="007B54BD">
      <w:pPr>
        <w:rPr>
          <w:b/>
          <w:lang w:val="en-US"/>
        </w:rPr>
      </w:pPr>
      <w:r w:rsidRPr="00B5414B">
        <w:rPr>
          <w:b/>
        </w:rPr>
        <w:t>Введение</w:t>
      </w:r>
      <w:r w:rsidR="00E667A2">
        <w:rPr>
          <w:b/>
          <w:lang w:val="en-US"/>
        </w:rPr>
        <w:t>………………………………………………………………………………3</w:t>
      </w:r>
    </w:p>
    <w:p w:rsidR="007B54BD" w:rsidRPr="00B5414B" w:rsidRDefault="007B54BD"/>
    <w:p w:rsidR="007B54BD" w:rsidRPr="00E667A2" w:rsidRDefault="006E5F75">
      <w:pPr>
        <w:rPr>
          <w:b/>
        </w:rPr>
      </w:pPr>
      <w:r w:rsidRPr="00B5414B">
        <w:rPr>
          <w:b/>
          <w:lang w:val="en-US"/>
        </w:rPr>
        <w:t>I</w:t>
      </w:r>
      <w:r w:rsidRPr="00B5414B">
        <w:rPr>
          <w:b/>
        </w:rPr>
        <w:t xml:space="preserve"> Глава.  Стандартное отклонение как показатель риска</w:t>
      </w:r>
      <w:r w:rsidR="00E667A2">
        <w:rPr>
          <w:b/>
        </w:rPr>
        <w:t>…</w:t>
      </w:r>
      <w:r w:rsidR="00E667A2" w:rsidRPr="00E667A2">
        <w:rPr>
          <w:b/>
        </w:rPr>
        <w:t>…………………...4</w:t>
      </w:r>
    </w:p>
    <w:p w:rsidR="006E5F75" w:rsidRPr="00B5414B" w:rsidRDefault="006E5F75"/>
    <w:p w:rsidR="006E5F75" w:rsidRPr="00B5414B" w:rsidRDefault="00FD2739" w:rsidP="006E5F75">
      <w:pPr>
        <w:numPr>
          <w:ilvl w:val="1"/>
          <w:numId w:val="1"/>
        </w:numPr>
      </w:pPr>
      <w:r w:rsidRPr="00B5414B">
        <w:t>Стандартное отклонение в математической статистике</w:t>
      </w:r>
      <w:r w:rsidR="00E667A2" w:rsidRPr="00E667A2">
        <w:t>………………………</w:t>
      </w:r>
      <w:r w:rsidR="00CE362E" w:rsidRPr="00CE362E">
        <w:t>.</w:t>
      </w:r>
      <w:r w:rsidR="00E667A2" w:rsidRPr="00E667A2">
        <w:t>.4</w:t>
      </w:r>
    </w:p>
    <w:p w:rsidR="006E5F75" w:rsidRPr="00B5414B" w:rsidRDefault="006E5F75" w:rsidP="006E5F75">
      <w:pPr>
        <w:numPr>
          <w:ilvl w:val="1"/>
          <w:numId w:val="1"/>
        </w:numPr>
      </w:pPr>
      <w:r w:rsidRPr="00B5414B">
        <w:t>При</w:t>
      </w:r>
      <w:r w:rsidR="004773E4" w:rsidRPr="00B5414B">
        <w:t>менение стандартного о</w:t>
      </w:r>
      <w:r w:rsidR="00E667A2">
        <w:t>тклонения на финансовых рынках…</w:t>
      </w:r>
      <w:r w:rsidR="00E667A2" w:rsidRPr="00E667A2">
        <w:t>…………….4</w:t>
      </w:r>
    </w:p>
    <w:p w:rsidR="00756BB6" w:rsidRPr="00B5414B" w:rsidRDefault="00756BB6" w:rsidP="00E667A2">
      <w:pPr>
        <w:numPr>
          <w:ilvl w:val="1"/>
          <w:numId w:val="1"/>
        </w:numPr>
        <w:tabs>
          <w:tab w:val="left" w:pos="8460"/>
        </w:tabs>
        <w:ind w:right="895"/>
      </w:pPr>
      <w:r w:rsidRPr="00B5414B">
        <w:t>Недостатки стандартного отклонения</w:t>
      </w:r>
      <w:r w:rsidR="00E667A2" w:rsidRPr="00E667A2">
        <w:t>…………………………………………...7</w:t>
      </w:r>
    </w:p>
    <w:p w:rsidR="00756BB6" w:rsidRPr="00B5414B" w:rsidRDefault="0019014C" w:rsidP="006E5F75">
      <w:pPr>
        <w:numPr>
          <w:ilvl w:val="1"/>
          <w:numId w:val="1"/>
        </w:numPr>
      </w:pPr>
      <w:r w:rsidRPr="00B5414B">
        <w:t xml:space="preserve">Дополнение стандартного отклонения. </w:t>
      </w:r>
      <w:r w:rsidR="00756BB6" w:rsidRPr="00B5414B">
        <w:t>Опыт предшественников</w:t>
      </w:r>
      <w:r w:rsidRPr="00B5414B">
        <w:t xml:space="preserve">. </w:t>
      </w:r>
      <w:r w:rsidR="00E667A2" w:rsidRPr="00E667A2">
        <w:t>…………..10</w:t>
      </w:r>
    </w:p>
    <w:p w:rsidR="00473573" w:rsidRPr="00B5414B" w:rsidRDefault="00473573" w:rsidP="00473573"/>
    <w:p w:rsidR="00522397" w:rsidRPr="00EF0E2C" w:rsidRDefault="00756BB6" w:rsidP="00AC38B5">
      <w:pPr>
        <w:rPr>
          <w:b/>
        </w:rPr>
      </w:pPr>
      <w:r w:rsidRPr="00B5414B">
        <w:rPr>
          <w:b/>
          <w:lang w:val="en-US"/>
        </w:rPr>
        <w:t>II</w:t>
      </w:r>
      <w:r w:rsidRPr="00B5414B">
        <w:rPr>
          <w:b/>
        </w:rPr>
        <w:t xml:space="preserve"> Глава.</w:t>
      </w:r>
      <w:r w:rsidR="00522397" w:rsidRPr="00B5414B">
        <w:rPr>
          <w:b/>
          <w:lang w:val="kk-KZ"/>
        </w:rPr>
        <w:t xml:space="preserve"> Корректировка стандартного отклонения и ее последствия</w:t>
      </w:r>
      <w:r w:rsidR="00E667A2" w:rsidRPr="00E667A2">
        <w:rPr>
          <w:b/>
        </w:rPr>
        <w:t>……</w:t>
      </w:r>
      <w:r w:rsidR="00CE362E">
        <w:rPr>
          <w:b/>
        </w:rPr>
        <w:t>…</w:t>
      </w:r>
      <w:r w:rsidR="00EF0E2C">
        <w:rPr>
          <w:b/>
        </w:rPr>
        <w:t>1</w:t>
      </w:r>
      <w:r w:rsidR="00EF0E2C" w:rsidRPr="00EF0E2C">
        <w:rPr>
          <w:b/>
        </w:rPr>
        <w:t>3</w:t>
      </w:r>
    </w:p>
    <w:p w:rsidR="00522397" w:rsidRPr="00B5414B" w:rsidRDefault="00756BB6" w:rsidP="00AC38B5">
      <w:pPr>
        <w:rPr>
          <w:lang w:val="kk-KZ"/>
        </w:rPr>
      </w:pPr>
      <w:r w:rsidRPr="00B5414B">
        <w:t xml:space="preserve"> </w:t>
      </w:r>
    </w:p>
    <w:p w:rsidR="00522397" w:rsidRPr="00EF0E2C" w:rsidRDefault="00522397" w:rsidP="00AC38B5">
      <w:pPr>
        <w:rPr>
          <w:lang w:val="en-US"/>
        </w:rPr>
      </w:pPr>
      <w:r w:rsidRPr="00B5414B">
        <w:t>2.1 Метод корректировки стандартного отклонения</w:t>
      </w:r>
      <w:r w:rsidR="00E667A2">
        <w:t>…</w:t>
      </w:r>
      <w:r w:rsidR="00E667A2" w:rsidRPr="00E667A2">
        <w:t>……………………………</w:t>
      </w:r>
      <w:r w:rsidR="00CE362E" w:rsidRPr="00EF0E2C">
        <w:t>1</w:t>
      </w:r>
      <w:r w:rsidR="00EF0E2C">
        <w:rPr>
          <w:lang w:val="en-US"/>
        </w:rPr>
        <w:t>3</w:t>
      </w:r>
    </w:p>
    <w:p w:rsidR="00756BB6" w:rsidRPr="00EF0E2C" w:rsidRDefault="00522397" w:rsidP="00AC38B5">
      <w:r w:rsidRPr="00B5414B">
        <w:t xml:space="preserve">2.2 </w:t>
      </w:r>
      <w:r w:rsidR="003D1B20" w:rsidRPr="00B5414B">
        <w:t xml:space="preserve">Последствия корректировки </w:t>
      </w:r>
      <w:r w:rsidR="00163DFB" w:rsidRPr="00B5414B">
        <w:t>стандартного отклонения в</w:t>
      </w:r>
      <w:r w:rsidR="00756BB6" w:rsidRPr="00B5414B">
        <w:t xml:space="preserve"> модели САРМ</w:t>
      </w:r>
      <w:r w:rsidR="00EF0E2C">
        <w:t>……1</w:t>
      </w:r>
      <w:r w:rsidR="00EF0E2C" w:rsidRPr="00EF0E2C">
        <w:t>5</w:t>
      </w:r>
    </w:p>
    <w:p w:rsidR="00756BB6" w:rsidRPr="00B5414B" w:rsidRDefault="00756BB6" w:rsidP="00756BB6"/>
    <w:p w:rsidR="00756BB6" w:rsidRPr="00EF0E2C" w:rsidRDefault="00756BB6" w:rsidP="00756BB6">
      <w:pPr>
        <w:rPr>
          <w:b/>
          <w:lang w:val="en-US"/>
        </w:rPr>
      </w:pPr>
      <w:r w:rsidRPr="00B5414B">
        <w:rPr>
          <w:b/>
        </w:rPr>
        <w:t>Заключение</w:t>
      </w:r>
      <w:r w:rsidR="00E667A2" w:rsidRPr="00CE362E">
        <w:rPr>
          <w:b/>
        </w:rPr>
        <w:t>…………………………………………………………………………</w:t>
      </w:r>
      <w:r w:rsidR="00CE362E" w:rsidRPr="00CE362E">
        <w:rPr>
          <w:b/>
        </w:rPr>
        <w:t>..</w:t>
      </w:r>
      <w:r w:rsidR="00EF0E2C">
        <w:rPr>
          <w:b/>
        </w:rPr>
        <w:t>1</w:t>
      </w:r>
      <w:r w:rsidR="00EF0E2C">
        <w:rPr>
          <w:b/>
          <w:lang w:val="en-US"/>
        </w:rPr>
        <w:t>8</w:t>
      </w:r>
    </w:p>
    <w:p w:rsidR="00756BB6" w:rsidRPr="00B5414B" w:rsidRDefault="00756BB6" w:rsidP="00756BB6"/>
    <w:p w:rsidR="00756BB6" w:rsidRPr="00EF0E2C" w:rsidRDefault="00756BB6" w:rsidP="00756BB6">
      <w:pPr>
        <w:rPr>
          <w:lang w:val="en-US"/>
        </w:rPr>
      </w:pPr>
      <w:r w:rsidRPr="00B5414B">
        <w:t>Список использованной литературы</w:t>
      </w:r>
      <w:r w:rsidR="00E667A2" w:rsidRPr="00CE362E">
        <w:t>………………………………………………</w:t>
      </w:r>
      <w:r w:rsidR="00CE362E" w:rsidRPr="00CE362E">
        <w:t>..</w:t>
      </w:r>
      <w:r w:rsidR="00CE362E">
        <w:rPr>
          <w:lang w:val="en-US"/>
        </w:rPr>
        <w:t>.</w:t>
      </w:r>
      <w:r w:rsidR="00EF0E2C">
        <w:t>1</w:t>
      </w:r>
      <w:r w:rsidR="00EF0E2C">
        <w:rPr>
          <w:lang w:val="en-US"/>
        </w:rPr>
        <w:t>9</w:t>
      </w:r>
    </w:p>
    <w:p w:rsidR="007B54BD" w:rsidRPr="00B5414B" w:rsidRDefault="007B54BD"/>
    <w:p w:rsidR="007B54BD" w:rsidRPr="00B5414B" w:rsidRDefault="007B54BD"/>
    <w:p w:rsidR="00C45181" w:rsidRDefault="00C45181">
      <w:pPr>
        <w:rPr>
          <w:b/>
        </w:rPr>
      </w:pPr>
    </w:p>
    <w:p w:rsidR="00C45181" w:rsidRDefault="00C45181">
      <w:pPr>
        <w:rPr>
          <w:b/>
        </w:rPr>
      </w:pPr>
    </w:p>
    <w:p w:rsidR="00C45181" w:rsidRDefault="00C45181">
      <w:pPr>
        <w:rPr>
          <w:b/>
        </w:rPr>
      </w:pPr>
    </w:p>
    <w:p w:rsidR="00C45181" w:rsidRDefault="00C45181">
      <w:pPr>
        <w:rPr>
          <w:b/>
        </w:rPr>
      </w:pPr>
    </w:p>
    <w:p w:rsidR="00C45181" w:rsidRDefault="00C45181">
      <w:pPr>
        <w:rPr>
          <w:b/>
        </w:rPr>
      </w:pPr>
    </w:p>
    <w:p w:rsidR="00C45181" w:rsidRDefault="00C45181">
      <w:pPr>
        <w:rPr>
          <w:b/>
        </w:rPr>
      </w:pPr>
    </w:p>
    <w:p w:rsidR="00C45181" w:rsidRDefault="00C45181">
      <w:pPr>
        <w:rPr>
          <w:b/>
        </w:rPr>
      </w:pPr>
    </w:p>
    <w:p w:rsidR="00C45181" w:rsidRDefault="00C45181">
      <w:pPr>
        <w:rPr>
          <w:b/>
        </w:rPr>
      </w:pPr>
    </w:p>
    <w:p w:rsidR="00C45181" w:rsidRDefault="00C45181">
      <w:pPr>
        <w:rPr>
          <w:b/>
        </w:rPr>
      </w:pPr>
    </w:p>
    <w:p w:rsidR="00C45181" w:rsidRDefault="00C45181">
      <w:pPr>
        <w:rPr>
          <w:b/>
        </w:rPr>
      </w:pPr>
    </w:p>
    <w:p w:rsidR="00C45181" w:rsidRDefault="00C45181">
      <w:pPr>
        <w:rPr>
          <w:b/>
        </w:rPr>
      </w:pPr>
    </w:p>
    <w:p w:rsidR="00C45181" w:rsidRDefault="00C45181">
      <w:pPr>
        <w:rPr>
          <w:b/>
        </w:rPr>
      </w:pPr>
    </w:p>
    <w:p w:rsidR="00C45181" w:rsidRDefault="00C45181">
      <w:pPr>
        <w:rPr>
          <w:b/>
        </w:rPr>
      </w:pPr>
    </w:p>
    <w:p w:rsidR="00C45181" w:rsidRDefault="00C45181">
      <w:pPr>
        <w:rPr>
          <w:b/>
        </w:rPr>
      </w:pPr>
    </w:p>
    <w:p w:rsidR="00C45181" w:rsidRDefault="00C45181">
      <w:pPr>
        <w:rPr>
          <w:b/>
        </w:rPr>
      </w:pPr>
    </w:p>
    <w:p w:rsidR="00C45181" w:rsidRDefault="00C45181">
      <w:pPr>
        <w:rPr>
          <w:b/>
        </w:rPr>
      </w:pPr>
    </w:p>
    <w:p w:rsidR="00C45181" w:rsidRDefault="00C45181">
      <w:pPr>
        <w:rPr>
          <w:b/>
        </w:rPr>
      </w:pPr>
    </w:p>
    <w:p w:rsidR="00C45181" w:rsidRDefault="00C45181">
      <w:pPr>
        <w:rPr>
          <w:b/>
        </w:rPr>
      </w:pPr>
    </w:p>
    <w:p w:rsidR="00C45181" w:rsidRDefault="00C45181">
      <w:pPr>
        <w:rPr>
          <w:b/>
        </w:rPr>
      </w:pPr>
    </w:p>
    <w:p w:rsidR="00C45181" w:rsidRDefault="00C45181">
      <w:pPr>
        <w:rPr>
          <w:b/>
        </w:rPr>
      </w:pPr>
    </w:p>
    <w:p w:rsidR="00C45181" w:rsidRDefault="00C45181">
      <w:pPr>
        <w:rPr>
          <w:b/>
        </w:rPr>
      </w:pPr>
    </w:p>
    <w:p w:rsidR="00C45181" w:rsidRDefault="00C45181">
      <w:pPr>
        <w:rPr>
          <w:b/>
        </w:rPr>
      </w:pPr>
    </w:p>
    <w:p w:rsidR="00C45181" w:rsidRDefault="00C45181">
      <w:pPr>
        <w:rPr>
          <w:b/>
        </w:rPr>
      </w:pPr>
    </w:p>
    <w:p w:rsidR="00C45181" w:rsidRDefault="00C45181">
      <w:pPr>
        <w:rPr>
          <w:b/>
        </w:rPr>
      </w:pPr>
    </w:p>
    <w:p w:rsidR="00C45181" w:rsidRDefault="00C45181">
      <w:pPr>
        <w:rPr>
          <w:b/>
        </w:rPr>
      </w:pPr>
    </w:p>
    <w:p w:rsidR="00B5414B" w:rsidRDefault="00B5414B">
      <w:pPr>
        <w:rPr>
          <w:b/>
        </w:rPr>
      </w:pPr>
    </w:p>
    <w:p w:rsidR="00B5414B" w:rsidRDefault="00B5414B">
      <w:pPr>
        <w:rPr>
          <w:b/>
        </w:rPr>
      </w:pPr>
    </w:p>
    <w:p w:rsidR="00B5414B" w:rsidRDefault="00B5414B">
      <w:pPr>
        <w:rPr>
          <w:b/>
        </w:rPr>
      </w:pPr>
    </w:p>
    <w:p w:rsidR="00B5414B" w:rsidRDefault="00B5414B">
      <w:pPr>
        <w:rPr>
          <w:b/>
        </w:rPr>
      </w:pPr>
    </w:p>
    <w:p w:rsidR="00C34976" w:rsidRDefault="00C34976" w:rsidP="00C45181">
      <w:pPr>
        <w:jc w:val="center"/>
        <w:rPr>
          <w:b/>
          <w:sz w:val="28"/>
          <w:szCs w:val="28"/>
        </w:rPr>
      </w:pPr>
    </w:p>
    <w:p w:rsidR="00C45181" w:rsidRPr="00EA7B4B" w:rsidRDefault="00C45181" w:rsidP="00C45181">
      <w:pPr>
        <w:jc w:val="center"/>
        <w:rPr>
          <w:b/>
          <w:sz w:val="28"/>
          <w:szCs w:val="28"/>
        </w:rPr>
      </w:pPr>
      <w:r w:rsidRPr="00EA7B4B">
        <w:rPr>
          <w:b/>
          <w:sz w:val="28"/>
          <w:szCs w:val="28"/>
        </w:rPr>
        <w:t>Введение</w:t>
      </w:r>
    </w:p>
    <w:p w:rsidR="00C45181" w:rsidRDefault="00C45181" w:rsidP="00C45181">
      <w:pPr>
        <w:jc w:val="center"/>
        <w:rPr>
          <w:b/>
        </w:rPr>
      </w:pPr>
    </w:p>
    <w:p w:rsidR="00401137" w:rsidRPr="00B269F9" w:rsidRDefault="008065AD" w:rsidP="00534FD6">
      <w:pPr>
        <w:ind w:firstLine="900"/>
        <w:jc w:val="both"/>
      </w:pPr>
      <w:r w:rsidRPr="00B269F9">
        <w:t xml:space="preserve">Участник финансового рынка принимает решения о том или ином активе исходя из соотношения доходности и риска. В данной работе нас больше всего будет интересовать именно риск. Мерой риска актива является стандартное отклонение, которое широко применяется во многих моделях оценки стоимости финансовых активов. </w:t>
      </w:r>
    </w:p>
    <w:p w:rsidR="00C45181" w:rsidRPr="00B269F9" w:rsidRDefault="00401137" w:rsidP="00534FD6">
      <w:pPr>
        <w:ind w:firstLine="900"/>
        <w:jc w:val="both"/>
        <w:rPr>
          <w:lang w:val="kk-KZ"/>
        </w:rPr>
      </w:pPr>
      <w:r w:rsidRPr="00B269F9">
        <w:t>С математической точки зрения стандартное отклонение показывает меру разброса знач</w:t>
      </w:r>
      <w:r w:rsidR="00501526">
        <w:t>ений от их среднего значения</w:t>
      </w:r>
      <w:r w:rsidR="00501526" w:rsidRPr="00501526">
        <w:t xml:space="preserve">. </w:t>
      </w:r>
      <w:r w:rsidRPr="00B269F9">
        <w:t xml:space="preserve">Чем больше </w:t>
      </w:r>
      <w:r w:rsidR="00B502EB" w:rsidRPr="00B269F9">
        <w:t>разброс,</w:t>
      </w:r>
      <w:r w:rsidRPr="00B269F9">
        <w:t xml:space="preserve"> тем больше стандартное отклонение</w:t>
      </w:r>
      <w:r w:rsidR="00501526">
        <w:rPr>
          <w:lang w:val="en-US"/>
        </w:rPr>
        <w:t xml:space="preserve"> </w:t>
      </w:r>
      <w:r w:rsidR="00501526" w:rsidRPr="00CB7F11">
        <w:t>[1]</w:t>
      </w:r>
      <w:r w:rsidRPr="00B269F9">
        <w:t xml:space="preserve">. </w:t>
      </w:r>
      <w:r w:rsidR="008065AD" w:rsidRPr="00B269F9">
        <w:t xml:space="preserve"> </w:t>
      </w:r>
      <w:r w:rsidR="00B502EB" w:rsidRPr="00B269F9">
        <w:rPr>
          <w:lang w:val="kk-KZ"/>
        </w:rPr>
        <w:t>Однако формула стандартного отклонения показывает лишь среднее значение</w:t>
      </w:r>
      <w:r w:rsidR="00002D10" w:rsidRPr="00B269F9">
        <w:rPr>
          <w:lang w:val="kk-KZ"/>
        </w:rPr>
        <w:t xml:space="preserve">, не показывая при этом долю положительного и </w:t>
      </w:r>
      <w:r w:rsidR="00E26475" w:rsidRPr="00B269F9">
        <w:rPr>
          <w:lang w:val="kk-KZ"/>
        </w:rPr>
        <w:t xml:space="preserve">отрицательные значения. </w:t>
      </w:r>
      <w:r w:rsidR="00534FD6">
        <w:rPr>
          <w:lang w:val="kk-KZ"/>
        </w:rPr>
        <w:t>Также есть веростность влияния шумов на конечный результат, что на мой взгляд, не совсем правильно.</w:t>
      </w:r>
    </w:p>
    <w:p w:rsidR="00BF5A88" w:rsidRPr="00B269F9" w:rsidRDefault="00002D10" w:rsidP="00534FD6">
      <w:pPr>
        <w:ind w:firstLine="900"/>
        <w:jc w:val="both"/>
        <w:rPr>
          <w:lang w:val="kk-KZ"/>
        </w:rPr>
      </w:pPr>
      <w:r w:rsidRPr="00B269F9">
        <w:rPr>
          <w:lang w:val="kk-KZ"/>
        </w:rPr>
        <w:t xml:space="preserve">Принимать во внимание </w:t>
      </w:r>
      <w:r w:rsidR="00E26475" w:rsidRPr="00B269F9">
        <w:rPr>
          <w:lang w:val="kk-KZ"/>
        </w:rPr>
        <w:t xml:space="preserve"> все значения разброса, как отрицательные, </w:t>
      </w:r>
      <w:r w:rsidRPr="00B269F9">
        <w:rPr>
          <w:lang w:val="kk-KZ"/>
        </w:rPr>
        <w:t>так и положительные, думаю, буде</w:t>
      </w:r>
      <w:r w:rsidR="00E26475" w:rsidRPr="00B269F9">
        <w:rPr>
          <w:lang w:val="kk-KZ"/>
        </w:rPr>
        <w:t>т представлять для участника финан</w:t>
      </w:r>
      <w:r w:rsidRPr="00B269F9">
        <w:rPr>
          <w:lang w:val="kk-KZ"/>
        </w:rPr>
        <w:t>сового рынка большую полезность:</w:t>
      </w:r>
      <w:r w:rsidR="00E26475" w:rsidRPr="00B269F9">
        <w:rPr>
          <w:lang w:val="kk-KZ"/>
        </w:rPr>
        <w:t xml:space="preserve"> он сможет иметь более точную информацию и, соответственно, выводы и решения, которые он примет, будут более правильными. </w:t>
      </w:r>
    </w:p>
    <w:p w:rsidR="00002D10" w:rsidRPr="00B269F9" w:rsidRDefault="00002D10" w:rsidP="00B269F9">
      <w:pPr>
        <w:jc w:val="both"/>
        <w:rPr>
          <w:lang w:val="kk-KZ"/>
        </w:rPr>
      </w:pPr>
    </w:p>
    <w:p w:rsidR="00002D10" w:rsidRPr="00B269F9" w:rsidRDefault="00002D10" w:rsidP="00B269F9">
      <w:pPr>
        <w:jc w:val="both"/>
        <w:rPr>
          <w:lang w:val="kk-KZ"/>
        </w:rPr>
      </w:pPr>
      <w:r w:rsidRPr="00B269F9">
        <w:rPr>
          <w:i/>
          <w:lang w:val="kk-KZ"/>
        </w:rPr>
        <w:t>Цель данной работы:</w:t>
      </w:r>
      <w:r w:rsidRPr="00B269F9">
        <w:rPr>
          <w:lang w:val="kk-KZ"/>
        </w:rPr>
        <w:t xml:space="preserve"> Скорректировать стандартное отклонение и определить как повлияет данная кор</w:t>
      </w:r>
      <w:r w:rsidR="00534FD6">
        <w:rPr>
          <w:lang w:val="kk-KZ"/>
        </w:rPr>
        <w:t>ректировака на модель САРМ.</w:t>
      </w:r>
    </w:p>
    <w:p w:rsidR="00002D10" w:rsidRPr="00B269F9" w:rsidRDefault="00002D10" w:rsidP="00B269F9">
      <w:pPr>
        <w:jc w:val="both"/>
        <w:rPr>
          <w:lang w:val="kk-KZ"/>
        </w:rPr>
      </w:pPr>
    </w:p>
    <w:p w:rsidR="00002D10" w:rsidRPr="00B269F9" w:rsidRDefault="00002D10" w:rsidP="00B269F9">
      <w:pPr>
        <w:jc w:val="both"/>
        <w:rPr>
          <w:i/>
          <w:lang w:val="kk-KZ"/>
        </w:rPr>
      </w:pPr>
      <w:r w:rsidRPr="00B269F9">
        <w:rPr>
          <w:i/>
          <w:lang w:val="kk-KZ"/>
        </w:rPr>
        <w:t>Задачи следующие:</w:t>
      </w:r>
    </w:p>
    <w:p w:rsidR="00B269F9" w:rsidRPr="00B269F9" w:rsidRDefault="00B269F9" w:rsidP="00B269F9">
      <w:pPr>
        <w:jc w:val="both"/>
        <w:rPr>
          <w:lang w:val="kk-KZ"/>
        </w:rPr>
      </w:pPr>
    </w:p>
    <w:p w:rsidR="00E26475" w:rsidRPr="00B269F9" w:rsidRDefault="00002D10" w:rsidP="00B269F9">
      <w:pPr>
        <w:numPr>
          <w:ilvl w:val="0"/>
          <w:numId w:val="3"/>
        </w:numPr>
        <w:jc w:val="both"/>
        <w:rPr>
          <w:lang w:val="kk-KZ"/>
        </w:rPr>
      </w:pPr>
      <w:r w:rsidRPr="00B269F9">
        <w:t xml:space="preserve">Проанализировать стандартное отклонение: </w:t>
      </w:r>
      <w:r w:rsidR="00534FD6">
        <w:t>изучить историю</w:t>
      </w:r>
      <w:r w:rsidRPr="00B269F9">
        <w:t xml:space="preserve">, </w:t>
      </w:r>
      <w:r w:rsidR="00534FD6">
        <w:t xml:space="preserve">выяснить, </w:t>
      </w:r>
      <w:r w:rsidR="00E26475" w:rsidRPr="00B269F9">
        <w:rPr>
          <w:lang w:val="kk-KZ"/>
        </w:rPr>
        <w:t xml:space="preserve"> </w:t>
      </w:r>
      <w:r w:rsidRPr="00B269F9">
        <w:rPr>
          <w:lang w:val="kk-KZ"/>
        </w:rPr>
        <w:t>где и кем применяется, что обозначает, выявить недостатки.</w:t>
      </w:r>
    </w:p>
    <w:p w:rsidR="00002D10" w:rsidRPr="00B269F9" w:rsidRDefault="00002D10" w:rsidP="00B269F9">
      <w:pPr>
        <w:numPr>
          <w:ilvl w:val="0"/>
          <w:numId w:val="3"/>
        </w:numPr>
        <w:jc w:val="both"/>
      </w:pPr>
      <w:r w:rsidRPr="00B269F9">
        <w:rPr>
          <w:lang w:val="kk-KZ"/>
        </w:rPr>
        <w:t>Узнать были ли попытки корректировки стандартно</w:t>
      </w:r>
      <w:r w:rsidR="007041DE" w:rsidRPr="00B269F9">
        <w:rPr>
          <w:lang w:val="kk-KZ"/>
        </w:rPr>
        <w:t>го</w:t>
      </w:r>
      <w:r w:rsidRPr="00B269F9">
        <w:rPr>
          <w:lang w:val="kk-KZ"/>
        </w:rPr>
        <w:t xml:space="preserve"> отклонения или его до</w:t>
      </w:r>
      <w:r w:rsidR="007041DE" w:rsidRPr="00B269F9">
        <w:rPr>
          <w:lang w:val="kk-KZ"/>
        </w:rPr>
        <w:t>полнения (если да, то изучить эти работы и проанализировать</w:t>
      </w:r>
      <w:r w:rsidR="00534FD6">
        <w:rPr>
          <w:lang w:val="kk-KZ"/>
        </w:rPr>
        <w:t>, определить</w:t>
      </w:r>
      <w:r w:rsidR="00B269F9">
        <w:rPr>
          <w:lang w:val="kk-KZ"/>
        </w:rPr>
        <w:t xml:space="preserve"> полезные для себя моменты</w:t>
      </w:r>
      <w:r w:rsidR="007041DE" w:rsidRPr="00B269F9">
        <w:rPr>
          <w:lang w:val="kk-KZ"/>
        </w:rPr>
        <w:t>)</w:t>
      </w:r>
    </w:p>
    <w:p w:rsidR="007041DE" w:rsidRPr="00B269F9" w:rsidRDefault="007041DE" w:rsidP="00B269F9">
      <w:pPr>
        <w:numPr>
          <w:ilvl w:val="0"/>
          <w:numId w:val="3"/>
        </w:numPr>
        <w:jc w:val="both"/>
      </w:pPr>
      <w:r w:rsidRPr="00B269F9">
        <w:t>Предложение метода корректировки стандартног</w:t>
      </w:r>
      <w:r w:rsidR="00534FD6">
        <w:t>о отклонения</w:t>
      </w:r>
      <w:r w:rsidRPr="00B269F9">
        <w:t>.</w:t>
      </w:r>
      <w:r w:rsidR="00534FD6">
        <w:t xml:space="preserve"> Рассмотреть на примере.</w:t>
      </w:r>
      <w:r w:rsidRPr="00B269F9">
        <w:t xml:space="preserve"> Доказательство действенности полученного результата</w:t>
      </w:r>
      <w:r w:rsidR="00B269F9">
        <w:t>.</w:t>
      </w:r>
    </w:p>
    <w:p w:rsidR="007041DE" w:rsidRPr="00B269F9" w:rsidRDefault="007041DE" w:rsidP="00B269F9">
      <w:pPr>
        <w:numPr>
          <w:ilvl w:val="0"/>
          <w:numId w:val="3"/>
        </w:numPr>
        <w:jc w:val="both"/>
      </w:pPr>
      <w:r w:rsidRPr="00B269F9">
        <w:t xml:space="preserve"> Перспективы продолжения данного анализа, его применение в различных моделях. (К примеру, С</w:t>
      </w:r>
      <w:r w:rsidR="00534FD6">
        <w:t>АРМ</w:t>
      </w:r>
      <w:r w:rsidRPr="00B269F9">
        <w:t>)</w:t>
      </w:r>
      <w:r w:rsidR="00B269F9">
        <w:t>.</w:t>
      </w:r>
    </w:p>
    <w:p w:rsidR="007041DE" w:rsidRPr="00B269F9" w:rsidRDefault="007041DE" w:rsidP="00B269F9">
      <w:pPr>
        <w:ind w:left="360"/>
        <w:jc w:val="both"/>
      </w:pPr>
    </w:p>
    <w:p w:rsidR="00E327CD" w:rsidRPr="00B269F9" w:rsidRDefault="00E327CD" w:rsidP="00B269F9">
      <w:pPr>
        <w:jc w:val="both"/>
      </w:pPr>
    </w:p>
    <w:p w:rsidR="00E327CD" w:rsidRPr="00B269F9" w:rsidRDefault="00E327CD" w:rsidP="00B269F9">
      <w:pPr>
        <w:jc w:val="both"/>
      </w:pPr>
    </w:p>
    <w:p w:rsidR="00E327CD" w:rsidRPr="00B269F9" w:rsidRDefault="00E327CD" w:rsidP="00B269F9">
      <w:pPr>
        <w:jc w:val="both"/>
      </w:pPr>
    </w:p>
    <w:p w:rsidR="00E327CD" w:rsidRPr="00B269F9" w:rsidRDefault="00E327CD" w:rsidP="00B269F9">
      <w:pPr>
        <w:jc w:val="both"/>
      </w:pPr>
    </w:p>
    <w:p w:rsidR="00E327CD" w:rsidRPr="00B269F9" w:rsidRDefault="00E327CD" w:rsidP="00B269F9">
      <w:pPr>
        <w:jc w:val="both"/>
      </w:pPr>
    </w:p>
    <w:p w:rsidR="00E327CD" w:rsidRDefault="00E327CD" w:rsidP="00B269F9">
      <w:pPr>
        <w:jc w:val="both"/>
        <w:rPr>
          <w:b/>
        </w:rPr>
      </w:pPr>
    </w:p>
    <w:p w:rsidR="00E327CD" w:rsidRDefault="00E327CD" w:rsidP="00B269F9">
      <w:pPr>
        <w:jc w:val="both"/>
        <w:rPr>
          <w:b/>
        </w:rPr>
      </w:pPr>
    </w:p>
    <w:p w:rsidR="00E327CD" w:rsidRDefault="00E327CD" w:rsidP="00C45181">
      <w:pPr>
        <w:rPr>
          <w:b/>
        </w:rPr>
      </w:pPr>
    </w:p>
    <w:p w:rsidR="00E327CD" w:rsidRDefault="00E327CD" w:rsidP="00C45181">
      <w:pPr>
        <w:rPr>
          <w:b/>
        </w:rPr>
      </w:pPr>
    </w:p>
    <w:p w:rsidR="00E327CD" w:rsidRDefault="00E327CD" w:rsidP="00C45181">
      <w:pPr>
        <w:rPr>
          <w:b/>
        </w:rPr>
      </w:pPr>
    </w:p>
    <w:p w:rsidR="00E327CD" w:rsidRDefault="00E327CD" w:rsidP="00C45181">
      <w:pPr>
        <w:rPr>
          <w:b/>
        </w:rPr>
      </w:pPr>
    </w:p>
    <w:p w:rsidR="00E327CD" w:rsidRDefault="00E327CD" w:rsidP="00C45181">
      <w:pPr>
        <w:rPr>
          <w:b/>
        </w:rPr>
      </w:pPr>
    </w:p>
    <w:p w:rsidR="00E327CD" w:rsidRDefault="00E327CD" w:rsidP="00C45181">
      <w:pPr>
        <w:rPr>
          <w:b/>
        </w:rPr>
      </w:pPr>
    </w:p>
    <w:p w:rsidR="00E327CD" w:rsidRDefault="00E327CD" w:rsidP="00C45181">
      <w:pPr>
        <w:rPr>
          <w:b/>
        </w:rPr>
      </w:pPr>
    </w:p>
    <w:p w:rsidR="00E327CD" w:rsidRDefault="00E327CD" w:rsidP="00C45181">
      <w:pPr>
        <w:rPr>
          <w:b/>
        </w:rPr>
      </w:pPr>
    </w:p>
    <w:p w:rsidR="00E327CD" w:rsidRDefault="00E327CD" w:rsidP="00C45181">
      <w:pPr>
        <w:rPr>
          <w:b/>
        </w:rPr>
      </w:pPr>
    </w:p>
    <w:p w:rsidR="00534FD6" w:rsidRDefault="00534FD6" w:rsidP="00C45181">
      <w:pPr>
        <w:rPr>
          <w:b/>
        </w:rPr>
      </w:pPr>
    </w:p>
    <w:p w:rsidR="00534FD6" w:rsidRDefault="00534FD6" w:rsidP="00C45181">
      <w:pPr>
        <w:rPr>
          <w:b/>
        </w:rPr>
      </w:pPr>
    </w:p>
    <w:p w:rsidR="00534FD6" w:rsidRDefault="00534FD6" w:rsidP="00C45181">
      <w:pPr>
        <w:rPr>
          <w:b/>
        </w:rPr>
      </w:pPr>
    </w:p>
    <w:p w:rsidR="00E327CD" w:rsidRDefault="00E327CD" w:rsidP="00C45181">
      <w:pPr>
        <w:rPr>
          <w:b/>
        </w:rPr>
      </w:pPr>
    </w:p>
    <w:p w:rsidR="00E327CD" w:rsidRPr="00F87D79" w:rsidRDefault="00B269F9" w:rsidP="00F87D79">
      <w:pPr>
        <w:jc w:val="center"/>
        <w:rPr>
          <w:b/>
          <w:sz w:val="28"/>
          <w:szCs w:val="28"/>
        </w:rPr>
      </w:pPr>
      <w:r w:rsidRPr="00F87D79">
        <w:rPr>
          <w:b/>
          <w:sz w:val="28"/>
          <w:szCs w:val="28"/>
        </w:rPr>
        <w:t xml:space="preserve">Глава </w:t>
      </w:r>
      <w:r w:rsidRPr="00F87D79">
        <w:rPr>
          <w:b/>
          <w:sz w:val="28"/>
          <w:szCs w:val="28"/>
          <w:lang w:val="en-US"/>
        </w:rPr>
        <w:t>I</w:t>
      </w:r>
      <w:r w:rsidRPr="00F87D79">
        <w:rPr>
          <w:b/>
          <w:sz w:val="28"/>
          <w:szCs w:val="28"/>
        </w:rPr>
        <w:t>. Стандартное отклонение как показатель риска.</w:t>
      </w:r>
    </w:p>
    <w:p w:rsidR="00F87D79" w:rsidRDefault="00F87D79" w:rsidP="00F87D79">
      <w:pPr>
        <w:jc w:val="center"/>
        <w:rPr>
          <w:b/>
          <w:sz w:val="28"/>
          <w:szCs w:val="28"/>
        </w:rPr>
      </w:pPr>
    </w:p>
    <w:p w:rsidR="00B269F9" w:rsidRPr="00384FD0" w:rsidRDefault="005377E7" w:rsidP="00384FD0">
      <w:pPr>
        <w:numPr>
          <w:ilvl w:val="1"/>
          <w:numId w:val="4"/>
        </w:numPr>
        <w:jc w:val="center"/>
        <w:rPr>
          <w:b/>
          <w:sz w:val="28"/>
          <w:szCs w:val="28"/>
        </w:rPr>
      </w:pPr>
      <w:r>
        <w:rPr>
          <w:b/>
          <w:sz w:val="28"/>
          <w:szCs w:val="28"/>
        </w:rPr>
        <w:t>Стандартное отклонение в математической ст</w:t>
      </w:r>
      <w:r w:rsidR="00AC2C0E">
        <w:rPr>
          <w:b/>
          <w:sz w:val="28"/>
          <w:szCs w:val="28"/>
        </w:rPr>
        <w:t>а</w:t>
      </w:r>
      <w:r>
        <w:rPr>
          <w:b/>
          <w:sz w:val="28"/>
          <w:szCs w:val="28"/>
        </w:rPr>
        <w:t>тистике.</w:t>
      </w:r>
    </w:p>
    <w:p w:rsidR="00CB7F11" w:rsidRDefault="00845321" w:rsidP="00CB7F11">
      <w:pPr>
        <w:pStyle w:val="a3"/>
        <w:ind w:firstLine="900"/>
        <w:rPr>
          <w:color w:val="000000"/>
        </w:rPr>
      </w:pPr>
      <w:r>
        <w:t>Термин стандартное отклонение был впервые введен Пирсоном в 1894 году. Стандартное отклонение</w:t>
      </w:r>
      <w:r w:rsidR="00774C59">
        <w:t xml:space="preserve"> (стандартное квадратическое отклонение</w:t>
      </w:r>
      <w:r w:rsidR="00E51CC8" w:rsidRPr="00E51CC8">
        <w:t>,</w:t>
      </w:r>
      <w:r w:rsidR="00E51CC8">
        <w:t xml:space="preserve"> среднеквадратическое отклонение </w:t>
      </w:r>
      <w:r w:rsidR="00774C59">
        <w:t xml:space="preserve"> или стандарт) </w:t>
      </w:r>
      <w:r>
        <w:t xml:space="preserve"> - это широко используемая мера разброса или вариабельности (изменчивости) данных</w:t>
      </w:r>
      <w:r w:rsidR="00774C59">
        <w:t xml:space="preserve"> относительно средней величины</w:t>
      </w:r>
      <w:r w:rsidR="00501526" w:rsidRPr="00501526">
        <w:t xml:space="preserve"> [2]</w:t>
      </w:r>
      <w:r>
        <w:t xml:space="preserve">. </w:t>
      </w:r>
      <w:r w:rsidR="00CB7F11">
        <w:rPr>
          <w:color w:val="000000"/>
          <w:lang w:val="kk-KZ"/>
        </w:rPr>
        <w:t>В</w:t>
      </w:r>
      <w:r w:rsidR="00E51CC8" w:rsidRPr="00CB7F11">
        <w:rPr>
          <w:color w:val="000000"/>
        </w:rPr>
        <w:t xml:space="preserve"> </w:t>
      </w:r>
      <w:r w:rsidR="00E51CC8" w:rsidRPr="002B22E2">
        <w:t>теории вероятности</w:t>
      </w:r>
      <w:r w:rsidR="00E51CC8" w:rsidRPr="00CB7F11">
        <w:rPr>
          <w:color w:val="000000"/>
        </w:rPr>
        <w:t xml:space="preserve"> и </w:t>
      </w:r>
      <w:r w:rsidR="00E51CC8" w:rsidRPr="002B22E2">
        <w:t>статистике</w:t>
      </w:r>
      <w:r w:rsidR="00E51CC8" w:rsidRPr="00CB7F11">
        <w:rPr>
          <w:color w:val="000000"/>
        </w:rPr>
        <w:t xml:space="preserve"> </w:t>
      </w:r>
      <w:r w:rsidR="00CB7F11">
        <w:rPr>
          <w:color w:val="000000"/>
          <w:lang w:val="kk-KZ"/>
        </w:rPr>
        <w:t xml:space="preserve">это </w:t>
      </w:r>
      <w:r w:rsidR="00E51CC8" w:rsidRPr="00CB7F11">
        <w:rPr>
          <w:color w:val="000000"/>
        </w:rPr>
        <w:t xml:space="preserve">наиболее распространенный показатель рассеивания значений </w:t>
      </w:r>
      <w:r w:rsidR="00E51CC8" w:rsidRPr="002B22E2">
        <w:t>случайной величины</w:t>
      </w:r>
      <w:r w:rsidR="00E51CC8" w:rsidRPr="00CB7F11">
        <w:rPr>
          <w:color w:val="000000"/>
        </w:rPr>
        <w:t xml:space="preserve"> относительно её </w:t>
      </w:r>
      <w:r w:rsidR="00E51CC8" w:rsidRPr="002B22E2">
        <w:t>математического ожидания</w:t>
      </w:r>
      <w:r w:rsidR="00E51CC8" w:rsidRPr="00CB7F11">
        <w:rPr>
          <w:color w:val="000000"/>
        </w:rPr>
        <w:t>. Измеряется в единицах измерения</w:t>
      </w:r>
      <w:r w:rsidR="00CB7F11">
        <w:rPr>
          <w:color w:val="000000"/>
        </w:rPr>
        <w:t xml:space="preserve"> самой случайной величины. Равно</w:t>
      </w:r>
      <w:r w:rsidR="00E51CC8" w:rsidRPr="00CB7F11">
        <w:rPr>
          <w:color w:val="000000"/>
        </w:rPr>
        <w:t xml:space="preserve"> </w:t>
      </w:r>
      <w:r w:rsidR="00E51CC8" w:rsidRPr="002B22E2">
        <w:t>корню квадратному</w:t>
      </w:r>
      <w:r w:rsidR="00E51CC8" w:rsidRPr="00CB7F11">
        <w:rPr>
          <w:color w:val="000000"/>
        </w:rPr>
        <w:t xml:space="preserve"> из </w:t>
      </w:r>
      <w:r w:rsidR="00E51CC8" w:rsidRPr="002B22E2">
        <w:t>дисперсии</w:t>
      </w:r>
      <w:r w:rsidR="00E51CC8" w:rsidRPr="00CB7F11">
        <w:rPr>
          <w:color w:val="000000"/>
        </w:rPr>
        <w:t xml:space="preserve"> случайной величины. </w:t>
      </w:r>
    </w:p>
    <w:p w:rsidR="00E51CC8" w:rsidRDefault="002B22E2" w:rsidP="00CB7F11">
      <w:pPr>
        <w:pStyle w:val="a3"/>
        <w:ind w:firstLine="90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sqrt{\frac{n-1}{n}\sigma^2}=\sqrt{\frac{1}{n-1}\sum_{i=1}^n\left(x_i-\bar{x}\right)^2}, \quad \sigma=\sqrt{\frac{1}{n}\sum_{i=1}^n\left(x_i-\bar{x}\right)^2}" style="width:394.5pt;height:45pt">
            <v:imagedata r:id="rId7" o:title=""/>
          </v:shape>
        </w:pict>
      </w:r>
    </w:p>
    <w:p w:rsidR="00CB7F11" w:rsidRDefault="00E51CC8" w:rsidP="00CB7F11">
      <w:pPr>
        <w:pStyle w:val="a3"/>
        <w:spacing w:before="0" w:beforeAutospacing="0" w:after="0" w:afterAutospacing="0"/>
      </w:pPr>
      <w:r>
        <w:t xml:space="preserve">где </w:t>
      </w:r>
      <w:r w:rsidR="002B22E2">
        <w:pict>
          <v:shape id="_x0000_i1026" type="#_x0000_t75" alt="s\,\!" style="width:6pt;height:7.5pt">
            <v:imagedata r:id="rId8" o:title=""/>
          </v:shape>
        </w:pict>
      </w:r>
      <w:r>
        <w:t xml:space="preserve">— стандарт, стандартное отклонение, несмещенная оценка среднеквадратического отклонения случайной величины X относительно её математического ожидания; </w:t>
      </w:r>
      <w:r w:rsidR="002B22E2">
        <w:pict>
          <v:shape id="_x0000_i1027" type="#_x0000_t75" alt="\sigma^2\,\!" style="width:14.25pt;height:14.25pt">
            <v:imagedata r:id="rId9" o:title=""/>
          </v:shape>
        </w:pict>
      </w:r>
      <w:r>
        <w:t xml:space="preserve">— дисперсия; </w:t>
      </w:r>
      <w:r w:rsidR="002B22E2">
        <w:pict>
          <v:shape id="_x0000_i1028" type="#_x0000_t75" alt="x_i\,\!" style="width:12pt;height:9.75pt">
            <v:imagedata r:id="rId10" o:title=""/>
          </v:shape>
        </w:pict>
      </w:r>
      <w:r>
        <w:t xml:space="preserve">— i-й элемент выборки; </w:t>
      </w:r>
      <w:r w:rsidR="002B22E2">
        <w:pict>
          <v:shape id="_x0000_i1029" type="#_x0000_t75" alt="\bar{x}\,\!" style="width:8.25pt;height:9.75pt">
            <v:imagedata r:id="rId11" o:title=""/>
          </v:shape>
        </w:pict>
      </w:r>
      <w:r>
        <w:t xml:space="preserve">— среднее арифметическое выборки; </w:t>
      </w:r>
      <w:r w:rsidR="002B22E2">
        <w:pict>
          <v:shape id="_x0000_i1030" type="#_x0000_t75" alt="n\,\!" style="width:9pt;height:6.75pt">
            <v:imagedata r:id="rId12" o:title=""/>
          </v:shape>
        </w:pict>
      </w:r>
      <w:r>
        <w:t>— объём выборки</w:t>
      </w:r>
      <w:r w:rsidR="00501526" w:rsidRPr="00501526">
        <w:t>[3]</w:t>
      </w:r>
      <w:r>
        <w:t>.</w:t>
      </w:r>
    </w:p>
    <w:p w:rsidR="00CB7F11" w:rsidRDefault="00845321" w:rsidP="00CB7F11">
      <w:pPr>
        <w:pStyle w:val="a3"/>
        <w:spacing w:before="0" w:beforeAutospacing="0" w:after="0" w:afterAutospacing="0"/>
        <w:ind w:firstLine="900"/>
      </w:pPr>
      <w:r w:rsidRPr="00845321">
        <w:rPr>
          <w:color w:val="000000"/>
        </w:rPr>
        <w:t xml:space="preserve">Стандартное отклонение используется для разных целей: </w:t>
      </w:r>
      <w:r>
        <w:rPr>
          <w:color w:val="000000"/>
        </w:rPr>
        <w:t>с данн</w:t>
      </w:r>
      <w:r w:rsidR="00501526">
        <w:rPr>
          <w:color w:val="000000"/>
        </w:rPr>
        <w:t>ого показателя можно определить</w:t>
      </w:r>
      <w:r w:rsidR="00501526" w:rsidRPr="00501526">
        <w:rPr>
          <w:color w:val="000000"/>
        </w:rPr>
        <w:t xml:space="preserve"> </w:t>
      </w:r>
      <w:r>
        <w:rPr>
          <w:color w:val="000000"/>
        </w:rPr>
        <w:t xml:space="preserve"> вариация</w:t>
      </w:r>
      <w:r w:rsidRPr="00845321">
        <w:t xml:space="preserve"> </w:t>
      </w:r>
      <w:r>
        <w:t>какого из данного набора рядов распределения больше;</w:t>
      </w:r>
      <w:r>
        <w:rPr>
          <w:color w:val="000000"/>
        </w:rPr>
        <w:t xml:space="preserve"> </w:t>
      </w:r>
      <w:r w:rsidRPr="00845321">
        <w:rPr>
          <w:color w:val="000000"/>
        </w:rPr>
        <w:t xml:space="preserve">зная, например, значения </w:t>
      </w:r>
      <w:r w:rsidRPr="002B22E2">
        <w:rPr>
          <w:bCs/>
        </w:rPr>
        <w:t>средней</w:t>
      </w:r>
      <w:r w:rsidRPr="00845321">
        <w:rPr>
          <w:color w:val="000000"/>
        </w:rPr>
        <w:t xml:space="preserve"> и </w:t>
      </w:r>
      <w:r w:rsidRPr="002B22E2">
        <w:rPr>
          <w:bCs/>
        </w:rPr>
        <w:t>стандартного отклонения</w:t>
      </w:r>
      <w:r w:rsidRPr="00845321">
        <w:rPr>
          <w:color w:val="000000"/>
        </w:rPr>
        <w:t xml:space="preserve">, можно определить положение различных наблюдений в </w:t>
      </w:r>
      <w:r w:rsidRPr="002B22E2">
        <w:rPr>
          <w:bCs/>
        </w:rPr>
        <w:t>нормальном распределении</w:t>
      </w:r>
      <w:r w:rsidR="00501526" w:rsidRPr="00501526">
        <w:rPr>
          <w:color w:val="000000"/>
        </w:rPr>
        <w:t>;</w:t>
      </w:r>
      <w:r w:rsidR="00CB7F11">
        <w:rPr>
          <w:color w:val="000000"/>
        </w:rPr>
        <w:t xml:space="preserve"> </w:t>
      </w:r>
      <w:r w:rsidR="00CB7F11" w:rsidRPr="00CB7F11">
        <w:rPr>
          <w:color w:val="000000"/>
        </w:rPr>
        <w:t xml:space="preserve">используют при расчёте </w:t>
      </w:r>
      <w:r w:rsidR="00CB7F11" w:rsidRPr="002B22E2">
        <w:t>стандартной ошибки</w:t>
      </w:r>
      <w:r w:rsidR="00CB7F11" w:rsidRPr="00CB7F11">
        <w:rPr>
          <w:color w:val="000000"/>
        </w:rPr>
        <w:t xml:space="preserve"> </w:t>
      </w:r>
      <w:r w:rsidR="00CB7F11" w:rsidRPr="002B22E2">
        <w:t>среднего арифметического</w:t>
      </w:r>
      <w:r w:rsidR="00501526" w:rsidRPr="00501526">
        <w:rPr>
          <w:color w:val="000000"/>
        </w:rPr>
        <w:t>;</w:t>
      </w:r>
      <w:r w:rsidR="00CB7F11" w:rsidRPr="00CB7F11">
        <w:rPr>
          <w:color w:val="000000"/>
        </w:rPr>
        <w:t xml:space="preserve"> при пост</w:t>
      </w:r>
      <w:r w:rsidR="00501526">
        <w:rPr>
          <w:color w:val="000000"/>
        </w:rPr>
        <w:t>роении доверительных интервалов</w:t>
      </w:r>
      <w:r w:rsidR="00501526" w:rsidRPr="00501526">
        <w:rPr>
          <w:color w:val="000000"/>
        </w:rPr>
        <w:t>;</w:t>
      </w:r>
      <w:r w:rsidR="00CB7F11" w:rsidRPr="00CB7F11">
        <w:rPr>
          <w:color w:val="000000"/>
        </w:rPr>
        <w:t xml:space="preserve"> при </w:t>
      </w:r>
      <w:r w:rsidR="00501526">
        <w:rPr>
          <w:color w:val="000000"/>
        </w:rPr>
        <w:t>статистической проверке гипотез</w:t>
      </w:r>
      <w:r w:rsidR="00501526" w:rsidRPr="00501526">
        <w:rPr>
          <w:color w:val="000000"/>
        </w:rPr>
        <w:t>;</w:t>
      </w:r>
      <w:r w:rsidR="00CB7F11" w:rsidRPr="00CB7F11">
        <w:rPr>
          <w:color w:val="000000"/>
        </w:rPr>
        <w:t xml:space="preserve"> при измерении линейной взаимосвязи между </w:t>
      </w:r>
      <w:r w:rsidR="00CB7F11">
        <w:t>случайными величинами.</w:t>
      </w:r>
    </w:p>
    <w:p w:rsidR="00845321" w:rsidRPr="00845321" w:rsidRDefault="00845321" w:rsidP="00CB7F11">
      <w:pPr>
        <w:pStyle w:val="a3"/>
        <w:spacing w:before="0" w:beforeAutospacing="0" w:after="0" w:afterAutospacing="0"/>
        <w:ind w:firstLine="902"/>
        <w:jc w:val="both"/>
        <w:rPr>
          <w:color w:val="000000"/>
        </w:rPr>
      </w:pPr>
      <w:r w:rsidRPr="00845321">
        <w:rPr>
          <w:color w:val="000000"/>
        </w:rPr>
        <w:t xml:space="preserve">Стандартное отклонение обладает всеми свойствами, присущими </w:t>
      </w:r>
      <w:r w:rsidRPr="002B22E2">
        <w:rPr>
          <w:bCs/>
        </w:rPr>
        <w:t>дисперсии</w:t>
      </w:r>
      <w:r w:rsidRPr="00845321">
        <w:rPr>
          <w:color w:val="000000"/>
        </w:rPr>
        <w:t xml:space="preserve">. </w:t>
      </w:r>
    </w:p>
    <w:p w:rsidR="00B5414B" w:rsidRDefault="00D8508F" w:rsidP="00CB7F11">
      <w:pPr>
        <w:pStyle w:val="a3"/>
        <w:spacing w:before="0" w:beforeAutospacing="0" w:after="0" w:afterAutospacing="0"/>
        <w:ind w:firstLine="902"/>
        <w:jc w:val="both"/>
      </w:pPr>
      <w:r w:rsidRPr="00D8508F">
        <w:rPr>
          <w:bCs/>
          <w:lang w:val="en-US"/>
        </w:rPr>
        <w:t>C</w:t>
      </w:r>
      <w:r w:rsidRPr="00D8508F">
        <w:rPr>
          <w:bCs/>
        </w:rPr>
        <w:t xml:space="preserve">читается, что стандартное отклонение </w:t>
      </w:r>
      <w:r w:rsidR="0019712A" w:rsidRPr="00D8508F">
        <w:rPr>
          <w:bCs/>
        </w:rPr>
        <w:t xml:space="preserve">- </w:t>
      </w:r>
      <w:r w:rsidR="0019712A" w:rsidRPr="00D8508F">
        <w:t>показатель</w:t>
      </w:r>
      <w:r w:rsidR="002254C8">
        <w:t>, упрощающий анализ дисперсии и поэтому чаще встречающийся. Т.к. дисперсия измеряется в процентах в квадрате, что очень непривычно и тяжело, стандартное отклонение упорядочивает дисперсию за счет взятия квадратного корня из дисперсии.</w:t>
      </w:r>
    </w:p>
    <w:p w:rsidR="00B5414B" w:rsidRDefault="00B5414B" w:rsidP="00B5414B">
      <w:pPr>
        <w:pStyle w:val="a3"/>
        <w:spacing w:before="0" w:beforeAutospacing="0" w:after="0" w:afterAutospacing="0"/>
        <w:ind w:firstLine="902"/>
        <w:jc w:val="both"/>
      </w:pPr>
    </w:p>
    <w:p w:rsidR="00E614D6" w:rsidRPr="00E614D6" w:rsidRDefault="002254C8" w:rsidP="00B5414B">
      <w:pPr>
        <w:pStyle w:val="a3"/>
        <w:spacing w:before="0" w:beforeAutospacing="0" w:after="0" w:afterAutospacing="0"/>
        <w:ind w:firstLine="902"/>
        <w:jc w:val="both"/>
        <w:rPr>
          <w:sz w:val="28"/>
          <w:szCs w:val="28"/>
        </w:rPr>
      </w:pPr>
      <w:r>
        <w:t xml:space="preserve"> </w:t>
      </w:r>
    </w:p>
    <w:p w:rsidR="00E614D6" w:rsidRDefault="004773E4" w:rsidP="004773E4">
      <w:pPr>
        <w:numPr>
          <w:ilvl w:val="1"/>
          <w:numId w:val="5"/>
        </w:numPr>
        <w:jc w:val="center"/>
        <w:rPr>
          <w:b/>
          <w:sz w:val="28"/>
          <w:szCs w:val="28"/>
        </w:rPr>
      </w:pPr>
      <w:r>
        <w:rPr>
          <w:b/>
          <w:sz w:val="28"/>
          <w:szCs w:val="28"/>
        </w:rPr>
        <w:t xml:space="preserve"> Применение стандартного отклонения на финансовых рынках</w:t>
      </w:r>
    </w:p>
    <w:p w:rsidR="004773E4" w:rsidRPr="00E614D6" w:rsidRDefault="004773E4" w:rsidP="004773E4">
      <w:pPr>
        <w:jc w:val="center"/>
        <w:rPr>
          <w:b/>
          <w:sz w:val="28"/>
          <w:szCs w:val="28"/>
        </w:rPr>
      </w:pPr>
    </w:p>
    <w:p w:rsidR="00E614D6" w:rsidRDefault="007F4FF1" w:rsidP="007F4FF1">
      <w:pPr>
        <w:ind w:firstLine="900"/>
        <w:jc w:val="both"/>
        <w:rPr>
          <w:rFonts w:ascii="Tahoma" w:hAnsi="Tahoma" w:cs="Tahoma"/>
          <w:sz w:val="16"/>
          <w:szCs w:val="16"/>
        </w:rPr>
      </w:pPr>
      <w:r>
        <w:t>С</w:t>
      </w:r>
      <w:r w:rsidR="00E614D6" w:rsidRPr="004773E4">
        <w:t>тандартное отклонение - это статистический термин, который является хорошим индикатором изменчивости. Он измеряет насколько широко значения (например, цены закрытия) рассеяны от среднего значения. Дисперсия является разницей между фактическим значением, например, цены закрытия и средним значением цены закрытия. Чем больше разница между ценами закрытия и средней ценой, тем выше будет стандартное отклонение и тем выше изменчивость. Чем ближе находятся цены закрытия к средней цене, тем ниже стандартное отклонение и ниже изменчивость</w:t>
      </w:r>
      <w:r w:rsidR="006E1390">
        <w:t xml:space="preserve"> </w:t>
      </w:r>
      <w:r w:rsidR="006E1390" w:rsidRPr="006E1390">
        <w:t>[4]</w:t>
      </w:r>
      <w:r w:rsidR="00E614D6">
        <w:rPr>
          <w:rFonts w:ascii="Tahoma" w:hAnsi="Tahoma" w:cs="Tahoma"/>
          <w:sz w:val="16"/>
          <w:szCs w:val="16"/>
        </w:rPr>
        <w:t>.</w:t>
      </w:r>
    </w:p>
    <w:p w:rsidR="00B02173" w:rsidRPr="00B02173" w:rsidRDefault="00B02173" w:rsidP="007F4FF1">
      <w:pPr>
        <w:ind w:firstLine="900"/>
        <w:jc w:val="both"/>
        <w:rPr>
          <w:rFonts w:ascii="Tahoma" w:hAnsi="Tahoma" w:cs="Tahoma"/>
          <w:sz w:val="16"/>
          <w:szCs w:val="16"/>
          <w:lang w:val="kk-KZ"/>
        </w:rPr>
      </w:pPr>
    </w:p>
    <w:p w:rsidR="007F4FF1" w:rsidRPr="00794E96" w:rsidRDefault="00794E96" w:rsidP="00794E96">
      <w:pPr>
        <w:tabs>
          <w:tab w:val="center" w:pos="5127"/>
          <w:tab w:val="left" w:pos="7485"/>
        </w:tabs>
        <w:ind w:firstLine="900"/>
        <w:rPr>
          <w:sz w:val="28"/>
          <w:szCs w:val="28"/>
          <w:lang w:val="en-US"/>
        </w:rPr>
      </w:pPr>
      <w:r>
        <w:rPr>
          <w:sz w:val="28"/>
          <w:szCs w:val="28"/>
        </w:rPr>
        <w:tab/>
      </w:r>
      <w:r w:rsidR="0019712A" w:rsidRPr="00B02173">
        <w:rPr>
          <w:sz w:val="28"/>
          <w:szCs w:val="28"/>
        </w:rPr>
        <w:t>σ</w:t>
      </w:r>
      <w:r w:rsidR="00B02173">
        <w:rPr>
          <w:sz w:val="28"/>
          <w:szCs w:val="28"/>
        </w:rPr>
        <w:t>=</w:t>
      </w:r>
      <w:r w:rsidR="00B02173" w:rsidRPr="00B02173">
        <w:rPr>
          <w:sz w:val="36"/>
          <w:szCs w:val="36"/>
        </w:rPr>
        <w:t>√</w:t>
      </w:r>
      <w:r w:rsidR="00B02173" w:rsidRPr="00B02173">
        <w:t>∑</w:t>
      </w:r>
      <w:r w:rsidR="00B02173">
        <w:t>(</w:t>
      </w:r>
      <w:r w:rsidR="00B02173" w:rsidRPr="00B02173">
        <w:rPr>
          <w:sz w:val="28"/>
          <w:szCs w:val="28"/>
          <w:lang w:val="en-US"/>
        </w:rPr>
        <w:t>r</w:t>
      </w:r>
      <w:r w:rsidR="00B02173">
        <w:rPr>
          <w:sz w:val="28"/>
          <w:szCs w:val="28"/>
          <w:vertAlign w:val="subscript"/>
          <w:lang w:val="en-US"/>
        </w:rPr>
        <w:t>i</w:t>
      </w:r>
      <w:r w:rsidR="00B02173" w:rsidRPr="00B02173">
        <w:rPr>
          <w:sz w:val="28"/>
          <w:szCs w:val="28"/>
          <w:vertAlign w:val="subscript"/>
        </w:rPr>
        <w:t xml:space="preserve"> </w:t>
      </w:r>
      <w:r w:rsidR="00B02173" w:rsidRPr="00B02173">
        <w:rPr>
          <w:sz w:val="28"/>
          <w:szCs w:val="28"/>
        </w:rPr>
        <w:t>–</w:t>
      </w:r>
      <w:r w:rsidR="00B02173">
        <w:rPr>
          <w:sz w:val="28"/>
          <w:szCs w:val="28"/>
          <w:lang w:val="en-US"/>
        </w:rPr>
        <w:t>r</w:t>
      </w:r>
      <w:r w:rsidR="00B02173">
        <w:rPr>
          <w:sz w:val="28"/>
          <w:szCs w:val="28"/>
          <w:vertAlign w:val="subscript"/>
          <w:lang w:val="kk-KZ"/>
        </w:rPr>
        <w:t>ср</w:t>
      </w:r>
      <w:r w:rsidR="00B02173" w:rsidRPr="00B02173">
        <w:rPr>
          <w:sz w:val="28"/>
          <w:szCs w:val="28"/>
        </w:rPr>
        <w:t>)</w:t>
      </w:r>
      <w:r w:rsidR="00B02173" w:rsidRPr="00B02173">
        <w:rPr>
          <w:sz w:val="28"/>
          <w:szCs w:val="28"/>
          <w:vertAlign w:val="superscript"/>
        </w:rPr>
        <w:t>2</w:t>
      </w:r>
      <w:r w:rsidR="00B02173" w:rsidRPr="00B02173">
        <w:rPr>
          <w:sz w:val="28"/>
          <w:szCs w:val="28"/>
        </w:rPr>
        <w:t>/</w:t>
      </w:r>
      <w:r w:rsidR="00B02173">
        <w:rPr>
          <w:sz w:val="28"/>
          <w:szCs w:val="28"/>
          <w:lang w:val="en-US"/>
        </w:rPr>
        <w:t>n</w:t>
      </w:r>
      <w:r>
        <w:rPr>
          <w:sz w:val="28"/>
          <w:szCs w:val="28"/>
        </w:rPr>
        <w:t xml:space="preserve">       </w:t>
      </w:r>
      <w:r>
        <w:rPr>
          <w:sz w:val="28"/>
          <w:szCs w:val="28"/>
        </w:rPr>
        <w:tab/>
      </w:r>
    </w:p>
    <w:p w:rsidR="007F4FF1" w:rsidRPr="00794E96" w:rsidRDefault="002B22E2" w:rsidP="00794E96">
      <w:pPr>
        <w:ind w:firstLine="900"/>
        <w:jc w:val="center"/>
        <w:rPr>
          <w:lang w:val="en-US"/>
        </w:rPr>
      </w:pPr>
      <w:r>
        <w:rPr>
          <w:noProof/>
        </w:rPr>
        <w:pict>
          <v:line id="_x0000_s1066" style="position:absolute;left:0;text-align:left;z-index:251657728" from="234pt,-18pt" to="315pt,-18pt"/>
        </w:pict>
      </w:r>
      <w:r w:rsidR="00794E96" w:rsidRPr="00794E96">
        <w:rPr>
          <w:lang w:val="en-US"/>
        </w:rPr>
        <w:t>[</w:t>
      </w:r>
      <w:r w:rsidR="006E1390">
        <w:rPr>
          <w:lang w:val="en-US"/>
        </w:rPr>
        <w:t>5</w:t>
      </w:r>
      <w:r w:rsidR="00794E96" w:rsidRPr="00794E96">
        <w:rPr>
          <w:lang w:val="en-US"/>
        </w:rPr>
        <w:t>]</w:t>
      </w:r>
    </w:p>
    <w:p w:rsidR="00D8508F" w:rsidRDefault="00B02173" w:rsidP="0019014C">
      <w:pPr>
        <w:pStyle w:val="a3"/>
        <w:spacing w:before="0" w:beforeAutospacing="0" w:after="0" w:afterAutospacing="0"/>
        <w:ind w:firstLine="900"/>
        <w:jc w:val="both"/>
      </w:pPr>
      <w:r>
        <w:rPr>
          <w:lang w:val="kk-KZ"/>
        </w:rPr>
        <w:t>В</w:t>
      </w:r>
      <w:r w:rsidR="00D8508F">
        <w:t xml:space="preserve"> трейдинге стандартное отклонение является измерителем риска. Чем выше стандартное отклонение, тем выше риск. К примеру, стандартное откло</w:t>
      </w:r>
      <w:r w:rsidR="007F4FF1">
        <w:t>нение равное 20% означает, что с</w:t>
      </w:r>
      <w:r w:rsidR="00D8508F">
        <w:t xml:space="preserve">редняя (ожидаемая) доходность может отклониться по итогам периода наблюдения на 20% как вверх, так и вниз. </w:t>
      </w:r>
    </w:p>
    <w:p w:rsidR="003E4821" w:rsidRDefault="00375DB8" w:rsidP="003E4821">
      <w:pPr>
        <w:pStyle w:val="a3"/>
        <w:rPr>
          <w:color w:val="000000"/>
        </w:rPr>
      </w:pPr>
      <w:r w:rsidRPr="006765D5">
        <w:rPr>
          <w:b/>
          <w:bCs/>
          <w:color w:val="000000"/>
        </w:rPr>
        <w:t>Пример.</w:t>
      </w:r>
      <w:r w:rsidR="00E614D6" w:rsidRPr="006765D5">
        <w:rPr>
          <w:b/>
          <w:bCs/>
          <w:color w:val="000000"/>
        </w:rPr>
        <w:t>  Вычисление</w:t>
      </w:r>
      <w:r w:rsidR="005A0997">
        <w:rPr>
          <w:b/>
          <w:bCs/>
          <w:color w:val="000000"/>
        </w:rPr>
        <w:t>.</w:t>
      </w:r>
      <w:r w:rsidR="00DF45C5">
        <w:rPr>
          <w:color w:val="000000"/>
        </w:rPr>
        <w:br/>
      </w:r>
      <w:r w:rsidR="00E614D6" w:rsidRPr="006765D5">
        <w:rPr>
          <w:color w:val="000000"/>
        </w:rPr>
        <w:t>Для вычи</w:t>
      </w:r>
      <w:r w:rsidR="006765D5" w:rsidRPr="006765D5">
        <w:rPr>
          <w:color w:val="000000"/>
        </w:rPr>
        <w:t xml:space="preserve">сления </w:t>
      </w:r>
      <w:r w:rsidR="006765D5" w:rsidRPr="006765D5">
        <w:rPr>
          <w:color w:val="000000"/>
          <w:lang w:val="kk-KZ"/>
        </w:rPr>
        <w:t xml:space="preserve">годового </w:t>
      </w:r>
      <w:r w:rsidR="006765D5" w:rsidRPr="006765D5">
        <w:rPr>
          <w:color w:val="000000"/>
        </w:rPr>
        <w:t xml:space="preserve"> </w:t>
      </w:r>
      <w:r w:rsidR="006765D5" w:rsidRPr="006765D5">
        <w:rPr>
          <w:color w:val="000000"/>
          <w:lang w:val="kk-KZ"/>
        </w:rPr>
        <w:t>с</w:t>
      </w:r>
      <w:r w:rsidR="003E4821" w:rsidRPr="006765D5">
        <w:rPr>
          <w:color w:val="000000"/>
        </w:rPr>
        <w:t>стандартного</w:t>
      </w:r>
      <w:r w:rsidR="00E614D6" w:rsidRPr="006765D5">
        <w:rPr>
          <w:color w:val="000000"/>
        </w:rPr>
        <w:t xml:space="preserve"> отклонения выполняются следующие шаги:</w:t>
      </w:r>
    </w:p>
    <w:p w:rsidR="006765D5" w:rsidRPr="003E4821" w:rsidRDefault="00E614D6" w:rsidP="00DF45C5">
      <w:pPr>
        <w:pStyle w:val="a3"/>
        <w:numPr>
          <w:ilvl w:val="0"/>
          <w:numId w:val="12"/>
        </w:numPr>
        <w:rPr>
          <w:color w:val="000000"/>
        </w:rPr>
      </w:pPr>
      <w:r w:rsidRPr="006765D5">
        <w:rPr>
          <w:color w:val="000000"/>
        </w:rPr>
        <w:t xml:space="preserve">Вычисляется </w:t>
      </w:r>
      <w:r w:rsidR="006765D5" w:rsidRPr="006765D5">
        <w:rPr>
          <w:color w:val="000000"/>
          <w:lang w:val="kk-KZ"/>
        </w:rPr>
        <w:t xml:space="preserve"> среднее значение доходности за каждый месяц, то есть суммируются значения доходностей закрытия за месяц и делятся на количество значений.</w:t>
      </w:r>
    </w:p>
    <w:p w:rsidR="006765D5" w:rsidRPr="006765D5" w:rsidRDefault="006765D5" w:rsidP="00DF45C5">
      <w:pPr>
        <w:pStyle w:val="a3"/>
        <w:numPr>
          <w:ilvl w:val="0"/>
          <w:numId w:val="12"/>
        </w:numPr>
        <w:rPr>
          <w:color w:val="000000"/>
          <w:lang w:val="kk-KZ"/>
        </w:rPr>
      </w:pPr>
      <w:r w:rsidRPr="006765D5">
        <w:rPr>
          <w:color w:val="000000"/>
          <w:lang w:val="kk-KZ"/>
        </w:rPr>
        <w:t xml:space="preserve">Из доходности каждого дня вычитается среднне значение доходности. Это дает нам отклонение для каждого дня. </w:t>
      </w:r>
    </w:p>
    <w:p w:rsidR="006765D5" w:rsidRPr="006765D5" w:rsidRDefault="006765D5" w:rsidP="00DF45C5">
      <w:pPr>
        <w:pStyle w:val="a3"/>
        <w:numPr>
          <w:ilvl w:val="0"/>
          <w:numId w:val="12"/>
        </w:numPr>
        <w:rPr>
          <w:color w:val="000000"/>
        </w:rPr>
      </w:pPr>
      <w:r w:rsidRPr="006765D5">
        <w:rPr>
          <w:color w:val="000000"/>
        </w:rPr>
        <w:t>Вычисляется квадрат отклонения для каждого дня.</w:t>
      </w:r>
    </w:p>
    <w:p w:rsidR="006765D5" w:rsidRPr="006765D5" w:rsidRDefault="006765D5" w:rsidP="00DF45C5">
      <w:pPr>
        <w:pStyle w:val="a3"/>
        <w:numPr>
          <w:ilvl w:val="0"/>
          <w:numId w:val="12"/>
        </w:numPr>
        <w:rPr>
          <w:color w:val="000000"/>
        </w:rPr>
      </w:pPr>
      <w:r w:rsidRPr="006765D5">
        <w:rPr>
          <w:color w:val="000000"/>
        </w:rPr>
        <w:t>Суммируются значения квадратов отклонений для всех дней.</w:t>
      </w:r>
    </w:p>
    <w:p w:rsidR="006765D5" w:rsidRPr="006765D5" w:rsidRDefault="006765D5" w:rsidP="00DF45C5">
      <w:pPr>
        <w:pStyle w:val="a3"/>
        <w:numPr>
          <w:ilvl w:val="0"/>
          <w:numId w:val="12"/>
        </w:numPr>
        <w:rPr>
          <w:color w:val="000000"/>
        </w:rPr>
      </w:pPr>
      <w:r w:rsidRPr="006765D5">
        <w:rPr>
          <w:color w:val="000000"/>
        </w:rPr>
        <w:t>Полученная сумма квадратов отклонений делится на число дней в месяце</w:t>
      </w:r>
    </w:p>
    <w:p w:rsidR="006765D5" w:rsidRPr="003E4821" w:rsidRDefault="006765D5" w:rsidP="00DF45C5">
      <w:pPr>
        <w:pStyle w:val="a3"/>
        <w:numPr>
          <w:ilvl w:val="0"/>
          <w:numId w:val="12"/>
        </w:numPr>
        <w:rPr>
          <w:color w:val="000000"/>
        </w:rPr>
      </w:pPr>
      <w:r w:rsidRPr="006765D5">
        <w:rPr>
          <w:color w:val="000000"/>
        </w:rPr>
        <w:t>Стандартное отклонение равно квадратному корню из полученного значения.</w:t>
      </w:r>
    </w:p>
    <w:p w:rsidR="00E614D6" w:rsidRDefault="00E614D6" w:rsidP="005A0997">
      <w:pPr>
        <w:pStyle w:val="a3"/>
        <w:ind w:firstLine="900"/>
        <w:jc w:val="both"/>
        <w:rPr>
          <w:color w:val="000000"/>
        </w:rPr>
      </w:pPr>
      <w:r w:rsidRPr="003E4821">
        <w:rPr>
          <w:color w:val="000000"/>
        </w:rPr>
        <w:t>Сущест</w:t>
      </w:r>
      <w:r w:rsidR="003E4821">
        <w:rPr>
          <w:color w:val="000000"/>
        </w:rPr>
        <w:t>вуют различные виды вычисления с</w:t>
      </w:r>
      <w:r w:rsidRPr="003E4821">
        <w:rPr>
          <w:color w:val="000000"/>
        </w:rPr>
        <w:t>тандартного отклонени</w:t>
      </w:r>
      <w:r w:rsidR="007F4FF1">
        <w:rPr>
          <w:color w:val="000000"/>
        </w:rPr>
        <w:t>я, используемые в статистике.  Э</w:t>
      </w:r>
      <w:r w:rsidRPr="003E4821">
        <w:rPr>
          <w:color w:val="000000"/>
        </w:rPr>
        <w:t>та версия больше всего подходит для технического анализа, так как все входные данные известны заранее.</w:t>
      </w:r>
    </w:p>
    <w:p w:rsidR="003E4821" w:rsidRDefault="002B22E2" w:rsidP="006F078B">
      <w:pPr>
        <w:pStyle w:val="a3"/>
        <w:jc w:val="center"/>
      </w:pPr>
      <w:r>
        <w:pict>
          <v:shape id="_x0000_i1031" type="#_x0000_t75" style="width:368.25pt;height:222pt">
            <v:imagedata r:id="rId13" o:title=""/>
          </v:shape>
        </w:pict>
      </w:r>
    </w:p>
    <w:p w:rsidR="006F078B" w:rsidRPr="006F078B" w:rsidRDefault="006F078B" w:rsidP="006F078B">
      <w:pPr>
        <w:pStyle w:val="a3"/>
        <w:jc w:val="center"/>
        <w:rPr>
          <w:i/>
          <w:color w:val="000000"/>
        </w:rPr>
      </w:pPr>
      <w:r w:rsidRPr="006F078B">
        <w:rPr>
          <w:i/>
        </w:rPr>
        <w:t>Рис.1</w:t>
      </w:r>
    </w:p>
    <w:p w:rsidR="003E4821" w:rsidRDefault="003E4821" w:rsidP="005A0997">
      <w:pPr>
        <w:pStyle w:val="a3"/>
        <w:spacing w:before="0" w:beforeAutospacing="0" w:after="0" w:afterAutospacing="0"/>
        <w:ind w:firstLine="900"/>
        <w:jc w:val="both"/>
        <w:rPr>
          <w:color w:val="000000"/>
        </w:rPr>
      </w:pPr>
      <w:r>
        <w:rPr>
          <w:color w:val="000000"/>
        </w:rPr>
        <w:t xml:space="preserve">На графике выше </w:t>
      </w:r>
      <w:r w:rsidR="007F4FF1">
        <w:rPr>
          <w:color w:val="000000"/>
        </w:rPr>
        <w:t xml:space="preserve">(рис.1) </w:t>
      </w:r>
      <w:r>
        <w:rPr>
          <w:color w:val="000000"/>
        </w:rPr>
        <w:t xml:space="preserve">показано как стандартное отклонение может изменяться во времени. </w:t>
      </w:r>
      <w:r w:rsidR="009C3C99">
        <w:rPr>
          <w:color w:val="000000"/>
        </w:rPr>
        <w:t>Обратите внимание, в конце марта изменчивость повысилась, значит,   повысился риска покупки акции Газпрома в этот период. С мая по август никаких изменений не наблюдается, в конце ноября мы опять видим повышение стандартного от</w:t>
      </w:r>
      <w:r w:rsidR="005A0997">
        <w:rPr>
          <w:color w:val="000000"/>
        </w:rPr>
        <w:t>клонения выше среднего значения</w:t>
      </w:r>
      <w:r w:rsidR="009C3C99">
        <w:rPr>
          <w:color w:val="000000"/>
        </w:rPr>
        <w:t xml:space="preserve">, то есть выше ожидаемой доходности. </w:t>
      </w:r>
    </w:p>
    <w:p w:rsidR="009C3C99" w:rsidRDefault="009C3C99" w:rsidP="005A0997">
      <w:pPr>
        <w:pStyle w:val="a3"/>
        <w:spacing w:before="0" w:beforeAutospacing="0" w:after="0" w:afterAutospacing="0"/>
        <w:ind w:firstLine="900"/>
        <w:rPr>
          <w:color w:val="000000"/>
        </w:rPr>
      </w:pPr>
      <w:r>
        <w:rPr>
          <w:color w:val="000000"/>
        </w:rPr>
        <w:t>Проведя линейную</w:t>
      </w:r>
      <w:r w:rsidR="007F4FF1">
        <w:rPr>
          <w:color w:val="000000"/>
        </w:rPr>
        <w:t xml:space="preserve"> линию тренда на этом же графике (рис.2)</w:t>
      </w:r>
      <w:r>
        <w:rPr>
          <w:color w:val="000000"/>
        </w:rPr>
        <w:t xml:space="preserve">, удобней сказать, где у нас появляются наиболее рисковые зоны, отклонение от среднего значения. </w:t>
      </w:r>
    </w:p>
    <w:p w:rsidR="009C3C99" w:rsidRDefault="002B22E2" w:rsidP="006F078B">
      <w:pPr>
        <w:pStyle w:val="a3"/>
        <w:jc w:val="center"/>
      </w:pPr>
      <w:r>
        <w:pict>
          <v:shape id="_x0000_i1032" type="#_x0000_t75" style="width:369pt;height:222.75pt">
            <v:imagedata r:id="rId14" o:title=""/>
          </v:shape>
        </w:pict>
      </w:r>
    </w:p>
    <w:p w:rsidR="006F078B" w:rsidRPr="006F078B" w:rsidRDefault="006F078B" w:rsidP="006F078B">
      <w:pPr>
        <w:pStyle w:val="a3"/>
        <w:jc w:val="center"/>
        <w:rPr>
          <w:i/>
          <w:color w:val="000000"/>
          <w:szCs w:val="16"/>
        </w:rPr>
      </w:pPr>
      <w:r w:rsidRPr="006F078B">
        <w:rPr>
          <w:i/>
        </w:rPr>
        <w:t>Рис.2</w:t>
      </w:r>
    </w:p>
    <w:p w:rsidR="00E614D6" w:rsidRDefault="00E614D6" w:rsidP="005A0997">
      <w:pPr>
        <w:pStyle w:val="a3"/>
        <w:spacing w:before="0" w:beforeAutospacing="0" w:after="0" w:afterAutospacing="0"/>
        <w:ind w:firstLine="900"/>
        <w:jc w:val="both"/>
        <w:rPr>
          <w:rStyle w:val="a5"/>
          <w:b w:val="0"/>
          <w:color w:val="000000"/>
        </w:rPr>
      </w:pPr>
      <w:r w:rsidRPr="00D27488">
        <w:rPr>
          <w:rStyle w:val="a5"/>
          <w:rFonts w:ascii="Tahoma" w:hAnsi="Tahoma" w:cs="Tahoma"/>
          <w:color w:val="FF0000"/>
          <w:sz w:val="16"/>
          <w:szCs w:val="16"/>
        </w:rPr>
        <w:t xml:space="preserve"> </w:t>
      </w:r>
      <w:r w:rsidR="00620009">
        <w:rPr>
          <w:rStyle w:val="a5"/>
          <w:b w:val="0"/>
          <w:color w:val="000000"/>
        </w:rPr>
        <w:t>Таким образом, наиболее рисковыми периодами оказываются периоды с середины февраля по март</w:t>
      </w:r>
      <w:r w:rsidR="007F4FF1">
        <w:rPr>
          <w:rStyle w:val="a5"/>
          <w:b w:val="0"/>
          <w:color w:val="000000"/>
        </w:rPr>
        <w:t xml:space="preserve"> </w:t>
      </w:r>
      <w:r w:rsidR="00307409">
        <w:rPr>
          <w:rStyle w:val="a5"/>
          <w:b w:val="0"/>
          <w:color w:val="000000"/>
        </w:rPr>
        <w:t>(стандартное отклонение находится в районе 2%)</w:t>
      </w:r>
      <w:r w:rsidR="007F4FF1">
        <w:rPr>
          <w:rStyle w:val="a5"/>
          <w:b w:val="0"/>
          <w:color w:val="000000"/>
        </w:rPr>
        <w:t>, менее рисковые</w:t>
      </w:r>
      <w:r w:rsidR="00620009">
        <w:rPr>
          <w:rStyle w:val="a5"/>
          <w:b w:val="0"/>
          <w:color w:val="000000"/>
        </w:rPr>
        <w:t xml:space="preserve"> периоды в апреле</w:t>
      </w:r>
      <w:r w:rsidR="00307409">
        <w:rPr>
          <w:rStyle w:val="a5"/>
          <w:b w:val="0"/>
          <w:color w:val="000000"/>
        </w:rPr>
        <w:t xml:space="preserve"> (стандартное отклонение около 1,4%)</w:t>
      </w:r>
      <w:r w:rsidR="00620009">
        <w:rPr>
          <w:rStyle w:val="a5"/>
          <w:b w:val="0"/>
          <w:color w:val="000000"/>
        </w:rPr>
        <w:t xml:space="preserve">, в середине ноября </w:t>
      </w:r>
      <w:r w:rsidR="00307409">
        <w:rPr>
          <w:rStyle w:val="a5"/>
          <w:b w:val="0"/>
          <w:color w:val="000000"/>
        </w:rPr>
        <w:t xml:space="preserve">(стандартное отклонение около 1,3%) </w:t>
      </w:r>
      <w:r w:rsidR="00620009">
        <w:rPr>
          <w:rStyle w:val="a5"/>
          <w:b w:val="0"/>
          <w:color w:val="000000"/>
        </w:rPr>
        <w:t>и в декабре</w:t>
      </w:r>
      <w:r w:rsidR="007F4FF1">
        <w:rPr>
          <w:rStyle w:val="a5"/>
          <w:b w:val="0"/>
          <w:color w:val="000000"/>
        </w:rPr>
        <w:t xml:space="preserve"> (стандартное отклонение примерно</w:t>
      </w:r>
      <w:r w:rsidR="00307409">
        <w:rPr>
          <w:rStyle w:val="a5"/>
          <w:b w:val="0"/>
          <w:color w:val="000000"/>
        </w:rPr>
        <w:t xml:space="preserve"> 1,8%)</w:t>
      </w:r>
      <w:r w:rsidR="00620009">
        <w:rPr>
          <w:rStyle w:val="a5"/>
          <w:b w:val="0"/>
          <w:color w:val="000000"/>
        </w:rPr>
        <w:t xml:space="preserve">. </w:t>
      </w:r>
    </w:p>
    <w:p w:rsidR="00A4331A" w:rsidRDefault="00A4331A" w:rsidP="005A0997">
      <w:pPr>
        <w:pStyle w:val="a3"/>
        <w:spacing w:before="0" w:beforeAutospacing="0" w:after="0" w:afterAutospacing="0"/>
        <w:ind w:firstLine="900"/>
        <w:jc w:val="both"/>
        <w:rPr>
          <w:rFonts w:ascii="Tahoma" w:hAnsi="Tahoma" w:cs="Tahoma"/>
          <w:sz w:val="16"/>
          <w:szCs w:val="16"/>
        </w:rPr>
      </w:pPr>
      <w:r>
        <w:rPr>
          <w:rStyle w:val="a5"/>
          <w:b w:val="0"/>
          <w:color w:val="000000"/>
        </w:rPr>
        <w:t xml:space="preserve">Нельзя сказать, что это достаточно изменчивый актив. Ситуация относительно стабильная. </w:t>
      </w:r>
      <w:r w:rsidR="00E96385">
        <w:rPr>
          <w:rStyle w:val="a5"/>
          <w:b w:val="0"/>
          <w:color w:val="000000"/>
        </w:rPr>
        <w:t xml:space="preserve">Общее стандартное отклонение ежедневной доходности равно 1,615%. </w:t>
      </w:r>
      <w:r>
        <w:rPr>
          <w:rStyle w:val="a5"/>
          <w:b w:val="0"/>
          <w:color w:val="000000"/>
        </w:rPr>
        <w:t xml:space="preserve">В этом случае нужно помнить, что чем ниже изменчивость определенного рыночного инструмента, тем ниже возможностей заработать на нем. </w:t>
      </w:r>
    </w:p>
    <w:p w:rsidR="00596666" w:rsidRDefault="00596666" w:rsidP="00596666">
      <w:pPr>
        <w:ind w:firstLine="900"/>
        <w:jc w:val="both"/>
      </w:pPr>
    </w:p>
    <w:p w:rsidR="000B0190" w:rsidRPr="00596666" w:rsidRDefault="000B0190" w:rsidP="005A0997">
      <w:pPr>
        <w:ind w:firstLine="900"/>
        <w:jc w:val="both"/>
      </w:pPr>
      <w:r w:rsidRPr="00596666">
        <w:t>Величина стандартного отклонения высока, если анализируемые данные (напр., цены или значения индикатора) резко меняются. Если цены стабильны, то величина стандартного отклонения будет невысокой.</w:t>
      </w:r>
    </w:p>
    <w:p w:rsidR="000B0190" w:rsidRPr="00596666" w:rsidRDefault="000B0190" w:rsidP="005A0997">
      <w:pPr>
        <w:ind w:firstLine="900"/>
        <w:jc w:val="both"/>
      </w:pPr>
      <w:r w:rsidRPr="00596666">
        <w:t>По мнению многих аналитиков, формированию важных рыночных вершин соответствует высокая волатильность, поскольку в душах инвесторов эйфория борется со страхом. Образование важных оснований обычно происходит спокойнее, так как инвесторы не рассчитывают на серьезную прибыль</w:t>
      </w:r>
      <w:r w:rsidR="00C07C36" w:rsidRPr="00C07C36">
        <w:t xml:space="preserve"> [6]</w:t>
      </w:r>
      <w:r w:rsidRPr="00596666">
        <w:t>.</w:t>
      </w:r>
    </w:p>
    <w:p w:rsidR="00DF45C5" w:rsidRDefault="00D27488" w:rsidP="007F4FF1">
      <w:pPr>
        <w:ind w:firstLine="900"/>
        <w:jc w:val="both"/>
      </w:pPr>
      <w:r>
        <w:t>С</w:t>
      </w:r>
      <w:r w:rsidR="00CD74F2">
        <w:t xml:space="preserve">тандартное отклонение используется для измерения </w:t>
      </w:r>
      <w:r w:rsidR="00CD74F2" w:rsidRPr="002B22E2">
        <w:t>риска</w:t>
      </w:r>
      <w:r w:rsidR="00CD74F2" w:rsidRPr="00D27488">
        <w:rPr>
          <w:color w:val="000000"/>
        </w:rPr>
        <w:t xml:space="preserve"> </w:t>
      </w:r>
      <w:r w:rsidR="00CD74F2">
        <w:t>актива. Этот показатель указывает насколько сильно значения измеряемого параметра, например, значения доходности ПИФа, отклонялись от своего среднего значения в течении анализируемого периода. Стандартное отклонение точно показывает границы, в которых колебалась доходность фонда. С этой информацией можно оценить диапазон, в котором вероятно будет находиться доходность ПИФа в будущем. Чем больше доходность фонда колеблется от месяца к месяцу, тем больше значение его стандартного отклонения</w:t>
      </w:r>
      <w:r w:rsidR="00C07C36">
        <w:rPr>
          <w:lang w:val="kk-KZ"/>
        </w:rPr>
        <w:t xml:space="preserve"> </w:t>
      </w:r>
      <w:r w:rsidR="00C07C36" w:rsidRPr="00C07C36">
        <w:t>[7]</w:t>
      </w:r>
      <w:r w:rsidR="00DF45C5">
        <w:t>.</w:t>
      </w:r>
    </w:p>
    <w:p w:rsidR="000B448E" w:rsidRPr="00D27488" w:rsidRDefault="000B448E" w:rsidP="00DF45C5">
      <w:pPr>
        <w:ind w:firstLine="900"/>
        <w:rPr>
          <w:color w:val="000000"/>
        </w:rPr>
      </w:pPr>
      <w:r w:rsidRPr="00D27488">
        <w:rPr>
          <w:color w:val="000000"/>
        </w:rPr>
        <w:t>Например, для портфеля</w:t>
      </w:r>
      <w:r w:rsidRPr="00D27488">
        <w:rPr>
          <w:bCs/>
          <w:color w:val="000000"/>
        </w:rPr>
        <w:t xml:space="preserve">, </w:t>
      </w:r>
      <w:r w:rsidRPr="00D27488">
        <w:rPr>
          <w:color w:val="000000"/>
        </w:rPr>
        <w:t>состоящего из трех</w:t>
      </w:r>
      <w:r w:rsidRPr="00D27488">
        <w:rPr>
          <w:bCs/>
          <w:color w:val="000000"/>
        </w:rPr>
        <w:t xml:space="preserve"> </w:t>
      </w:r>
      <w:r w:rsidRPr="00D27488">
        <w:rPr>
          <w:color w:val="000000"/>
        </w:rPr>
        <w:t xml:space="preserve">ценных бумаг (Able, Baker, Charlie) формула </w:t>
      </w:r>
      <w:r w:rsidR="00D27488" w:rsidRPr="00D27488">
        <w:rPr>
          <w:bCs/>
          <w:color w:val="000000"/>
        </w:rPr>
        <w:t>для вычисления стандартного  отклонения</w:t>
      </w:r>
      <w:r w:rsidR="00D27488" w:rsidRPr="00D27488">
        <w:rPr>
          <w:color w:val="000000"/>
        </w:rPr>
        <w:t xml:space="preserve"> </w:t>
      </w:r>
      <w:r w:rsidRPr="00D27488">
        <w:rPr>
          <w:color w:val="000000"/>
        </w:rPr>
        <w:t>выглядит следующим образом:</w:t>
      </w:r>
    </w:p>
    <w:p w:rsidR="000B448E" w:rsidRPr="000B448E" w:rsidRDefault="002B22E2" w:rsidP="00EA7B4B">
      <w:pPr>
        <w:spacing w:beforeAutospacing="1" w:afterAutospacing="1"/>
        <w:jc w:val="center"/>
        <w:rPr>
          <w:color w:val="000000"/>
        </w:rPr>
      </w:pPr>
      <w:r>
        <w:rPr>
          <w:color w:val="000000"/>
          <w:sz w:val="20"/>
          <w:szCs w:val="20"/>
        </w:rPr>
        <w:pict>
          <v:shape id="_x0000_i1033" type="#_x0000_t75" alt="" style="width:141pt;height:47.25pt">
            <v:imagedata r:id="rId15" o:title=""/>
          </v:shape>
        </w:pict>
      </w:r>
    </w:p>
    <w:p w:rsidR="000B448E" w:rsidRPr="00D86E11" w:rsidRDefault="000B448E" w:rsidP="000B448E">
      <w:pPr>
        <w:spacing w:before="100" w:beforeAutospacing="1" w:after="100" w:afterAutospacing="1"/>
        <w:rPr>
          <w:b/>
          <w:bCs/>
          <w:i/>
          <w:iCs/>
          <w:color w:val="000000"/>
        </w:rPr>
      </w:pPr>
      <w:r w:rsidRPr="00D86E11">
        <w:rPr>
          <w:color w:val="000000"/>
        </w:rPr>
        <w:t xml:space="preserve">где s </w:t>
      </w:r>
      <w:r w:rsidRPr="00D86E11">
        <w:rPr>
          <w:color w:val="000000"/>
          <w:vertAlign w:val="subscript"/>
        </w:rPr>
        <w:t>ij</w:t>
      </w:r>
      <w:r w:rsidRPr="00D86E11">
        <w:rPr>
          <w:color w:val="000000"/>
        </w:rPr>
        <w:t xml:space="preserve"> обозначает</w:t>
      </w:r>
      <w:r w:rsidRPr="00D86E11">
        <w:rPr>
          <w:b/>
          <w:bCs/>
          <w:color w:val="000000"/>
        </w:rPr>
        <w:t xml:space="preserve"> </w:t>
      </w:r>
      <w:r w:rsidRPr="00D86E11">
        <w:rPr>
          <w:bCs/>
          <w:color w:val="000000"/>
        </w:rPr>
        <w:t>ковариацию</w:t>
      </w:r>
      <w:r w:rsidRPr="00D86E11">
        <w:rPr>
          <w:color w:val="000000"/>
        </w:rPr>
        <w:t xml:space="preserve"> </w:t>
      </w:r>
      <w:r w:rsidRPr="00D86E11">
        <w:rPr>
          <w:i/>
          <w:iCs/>
          <w:color w:val="000000"/>
        </w:rPr>
        <w:t>{covariance}</w:t>
      </w:r>
      <w:r w:rsidRPr="00D86E11">
        <w:rPr>
          <w:color w:val="000000"/>
        </w:rPr>
        <w:t xml:space="preserve"> доходностей ценных бумаг </w:t>
      </w:r>
      <w:r w:rsidRPr="00D86E11">
        <w:rPr>
          <w:i/>
          <w:iCs/>
          <w:color w:val="000000"/>
        </w:rPr>
        <w:t>i</w:t>
      </w:r>
      <w:r w:rsidRPr="00D86E11">
        <w:rPr>
          <w:color w:val="000000"/>
        </w:rPr>
        <w:t xml:space="preserve"> и </w:t>
      </w:r>
      <w:r w:rsidRPr="00D86E11">
        <w:rPr>
          <w:i/>
          <w:iCs/>
          <w:color w:val="000000"/>
        </w:rPr>
        <w:t>j.</w:t>
      </w:r>
    </w:p>
    <w:p w:rsidR="000B448E" w:rsidRPr="00EA7B4B" w:rsidRDefault="0004550E" w:rsidP="00EA7B4B">
      <w:pPr>
        <w:spacing w:beforeAutospacing="1" w:after="100" w:afterAutospacing="1"/>
        <w:ind w:firstLine="900"/>
        <w:jc w:val="both"/>
        <w:rPr>
          <w:color w:val="000000"/>
        </w:rPr>
      </w:pPr>
      <w:r w:rsidRPr="00EA7B4B">
        <w:rPr>
          <w:color w:val="000000"/>
        </w:rPr>
        <w:t>О</w:t>
      </w:r>
      <w:r w:rsidR="000B448E" w:rsidRPr="00EA7B4B">
        <w:rPr>
          <w:color w:val="000000"/>
        </w:rPr>
        <w:t xml:space="preserve">чень важно понимать, как производится </w:t>
      </w:r>
      <w:r w:rsidR="000B448E" w:rsidRPr="00EA7B4B">
        <w:rPr>
          <w:i/>
          <w:iCs/>
          <w:color w:val="000000"/>
        </w:rPr>
        <w:t>двойное суммирование,</w:t>
      </w:r>
      <w:r w:rsidR="000B448E" w:rsidRPr="00EA7B4B">
        <w:rPr>
          <w:color w:val="000000"/>
        </w:rPr>
        <w:t xml:space="preserve"> используемое в уравнении для стандартного отклонения. Этот процесс может быть представлен алгебраически следующим образом:</w:t>
      </w:r>
    </w:p>
    <w:p w:rsidR="000B448E" w:rsidRPr="00EA7B4B" w:rsidRDefault="002B22E2" w:rsidP="00EA7B4B">
      <w:pPr>
        <w:spacing w:beforeAutospacing="1" w:afterAutospacing="1"/>
        <w:jc w:val="center"/>
        <w:rPr>
          <w:color w:val="000000"/>
        </w:rPr>
      </w:pPr>
      <w:r>
        <w:rPr>
          <w:color w:val="000000"/>
        </w:rPr>
        <w:pict>
          <v:shape id="_x0000_i1034" type="#_x0000_t75" alt="" style="width:222pt;height:129.75pt">
            <v:imagedata r:id="rId16" o:title=""/>
          </v:shape>
        </w:pict>
      </w:r>
    </w:p>
    <w:p w:rsidR="000B448E" w:rsidRPr="00EA7B4B" w:rsidRDefault="000B448E" w:rsidP="00EA7B4B">
      <w:pPr>
        <w:spacing w:before="100" w:beforeAutospacing="1" w:after="100" w:afterAutospacing="1"/>
        <w:ind w:firstLine="900"/>
        <w:jc w:val="both"/>
        <w:rPr>
          <w:color w:val="000000"/>
        </w:rPr>
      </w:pPr>
      <w:r w:rsidRPr="00EA7B4B">
        <w:rPr>
          <w:color w:val="000000"/>
        </w:rPr>
        <w:t xml:space="preserve">Заметим, что нужно сложить девять членов, для того чтобы вычислить стандартное отклонение портфеля, состоящего из трех ценных бумаг. В общем случае вычисление стандартного отклонения портфеля, состоящего из </w:t>
      </w:r>
      <w:r w:rsidRPr="00EA7B4B">
        <w:rPr>
          <w:i/>
          <w:iCs/>
          <w:color w:val="000000"/>
        </w:rPr>
        <w:t xml:space="preserve">N </w:t>
      </w:r>
      <w:r w:rsidRPr="00EA7B4B">
        <w:rPr>
          <w:color w:val="000000"/>
        </w:rPr>
        <w:t xml:space="preserve">ценных бумаг, требует двойного суммирования </w:t>
      </w:r>
      <w:r w:rsidRPr="00EA7B4B">
        <w:rPr>
          <w:i/>
          <w:iCs/>
          <w:color w:val="000000"/>
        </w:rPr>
        <w:t>N</w:t>
      </w:r>
      <w:r w:rsidRPr="00EA7B4B">
        <w:rPr>
          <w:color w:val="000000"/>
        </w:rPr>
        <w:t xml:space="preserve"> ценных бумаг, для чего необходимо сложить </w:t>
      </w:r>
      <w:r w:rsidRPr="00EA7B4B">
        <w:rPr>
          <w:i/>
          <w:iCs/>
          <w:color w:val="000000"/>
        </w:rPr>
        <w:t>N</w:t>
      </w:r>
      <w:r w:rsidRPr="00EA7B4B">
        <w:rPr>
          <w:i/>
          <w:iCs/>
          <w:color w:val="000000"/>
          <w:vertAlign w:val="superscript"/>
        </w:rPr>
        <w:t>2</w:t>
      </w:r>
      <w:r w:rsidRPr="00EA7B4B">
        <w:rPr>
          <w:color w:val="000000"/>
        </w:rPr>
        <w:t xml:space="preserve"> членов:</w:t>
      </w:r>
    </w:p>
    <w:p w:rsidR="000B448E" w:rsidRPr="00EA7B4B" w:rsidRDefault="002B22E2" w:rsidP="00EA7B4B">
      <w:pPr>
        <w:spacing w:beforeAutospacing="1" w:afterAutospacing="1"/>
        <w:jc w:val="center"/>
        <w:rPr>
          <w:color w:val="000000"/>
        </w:rPr>
      </w:pPr>
      <w:r>
        <w:rPr>
          <w:color w:val="000000"/>
        </w:rPr>
        <w:pict>
          <v:shape id="_x0000_i1035" type="#_x0000_t75" alt="" style="width:164.25pt;height:46.5pt">
            <v:imagedata r:id="rId17" o:title=""/>
          </v:shape>
        </w:pict>
      </w:r>
    </w:p>
    <w:p w:rsidR="002254C8" w:rsidRPr="00EA7B4B" w:rsidRDefault="002254C8" w:rsidP="00EA7B4B">
      <w:pPr>
        <w:pStyle w:val="a3"/>
        <w:ind w:firstLine="900"/>
        <w:jc w:val="both"/>
        <w:rPr>
          <w:rFonts w:ascii="Arial" w:hAnsi="Arial" w:cs="Arial"/>
        </w:rPr>
      </w:pPr>
      <w:r w:rsidRPr="00EA7B4B">
        <w:t xml:space="preserve">Для того чтобы получить годичное стандартное отклонение, нужно стандартное отклонение, </w:t>
      </w:r>
      <w:r w:rsidR="007F4FF1">
        <w:t xml:space="preserve">рассчитанное по месячным данным, </w:t>
      </w:r>
      <w:r w:rsidRPr="00EA7B4B">
        <w:t>умножить на квадратный корень из 12</w:t>
      </w:r>
      <w:r w:rsidR="00AC03C5">
        <w:rPr>
          <w:lang w:val="kk-KZ"/>
        </w:rPr>
        <w:t xml:space="preserve"> </w:t>
      </w:r>
      <w:r w:rsidR="00AC03C5" w:rsidRPr="00AC03C5">
        <w:t>[8]</w:t>
      </w:r>
      <w:r w:rsidRPr="00EA7B4B">
        <w:t>.</w:t>
      </w:r>
    </w:p>
    <w:p w:rsidR="002254C8" w:rsidRPr="00EA7B4B" w:rsidRDefault="002254C8" w:rsidP="00EA7B4B">
      <w:pPr>
        <w:pStyle w:val="a3"/>
        <w:jc w:val="center"/>
        <w:rPr>
          <w:sz w:val="28"/>
          <w:szCs w:val="28"/>
        </w:rPr>
      </w:pPr>
      <w:r w:rsidRPr="00EA7B4B">
        <w:rPr>
          <w:bCs/>
          <w:iCs/>
          <w:sz w:val="28"/>
          <w:szCs w:val="28"/>
        </w:rPr>
        <w:t>σ</w:t>
      </w:r>
      <w:r w:rsidRPr="00EA7B4B">
        <w:rPr>
          <w:bCs/>
          <w:iCs/>
          <w:sz w:val="28"/>
          <w:szCs w:val="28"/>
          <w:vertAlign w:val="subscript"/>
        </w:rPr>
        <w:t>год.</w:t>
      </w:r>
      <w:r w:rsidRPr="00EA7B4B">
        <w:rPr>
          <w:bCs/>
          <w:iCs/>
          <w:sz w:val="28"/>
          <w:szCs w:val="28"/>
        </w:rPr>
        <w:t xml:space="preserve"> = σ</w:t>
      </w:r>
      <w:r w:rsidRPr="00EA7B4B">
        <w:rPr>
          <w:bCs/>
          <w:iCs/>
          <w:sz w:val="28"/>
          <w:szCs w:val="28"/>
          <w:vertAlign w:val="subscript"/>
        </w:rPr>
        <w:t>мес</w:t>
      </w:r>
      <w:r w:rsidRPr="00EA7B4B">
        <w:rPr>
          <w:bCs/>
          <w:iCs/>
          <w:sz w:val="28"/>
          <w:szCs w:val="28"/>
        </w:rPr>
        <w:t xml:space="preserve"> × √12,</w:t>
      </w:r>
    </w:p>
    <w:p w:rsidR="00DF45C5" w:rsidRDefault="00DF45C5" w:rsidP="00EA7B4B">
      <w:pPr>
        <w:pStyle w:val="a3"/>
        <w:spacing w:before="0" w:beforeAutospacing="0" w:after="0" w:afterAutospacing="0"/>
        <w:ind w:firstLine="900"/>
        <w:jc w:val="both"/>
      </w:pPr>
      <w:r>
        <w:t xml:space="preserve">В данной работе рассматривается только арифметическое стандартное отклонение, так  как наиболее часто используется. Однако стандартное отклонение можно вычислить и геометрически. </w:t>
      </w:r>
    </w:p>
    <w:p w:rsidR="002254C8" w:rsidRDefault="002254C8" w:rsidP="00807274">
      <w:pPr>
        <w:pStyle w:val="a3"/>
        <w:spacing w:before="0" w:beforeAutospacing="0" w:after="0" w:afterAutospacing="0"/>
        <w:ind w:firstLine="900"/>
        <w:jc w:val="both"/>
        <w:rPr>
          <w:rFonts w:ascii="Arial" w:hAnsi="Arial" w:cs="Arial"/>
        </w:rPr>
      </w:pPr>
      <w:r w:rsidRPr="00DF45C5">
        <w:t xml:space="preserve">Основное назначение </w:t>
      </w:r>
      <w:r w:rsidRPr="00EA7B4B">
        <w:rPr>
          <w:bCs/>
        </w:rPr>
        <w:t>Геометрического стандартного отклонения</w:t>
      </w:r>
      <w:r w:rsidRPr="00DF45C5">
        <w:t xml:space="preserve"> </w:t>
      </w:r>
      <w:r w:rsidR="00DF45C5" w:rsidRPr="00DF45C5">
        <w:t>(Geometric Standard Deviation GSD)</w:t>
      </w:r>
      <w:r w:rsidR="00DF45C5">
        <w:t xml:space="preserve"> </w:t>
      </w:r>
      <w:r>
        <w:t xml:space="preserve">то же, что и у арифметического, т.е. изучение разброса значений доходности вокруг своего геометрического среднего или CAGR. Использовать GSD </w:t>
      </w:r>
      <w:r w:rsidR="00DF45C5">
        <w:t>надо,</w:t>
      </w:r>
      <w:r>
        <w:t xml:space="preserve"> только если вы рассчитали геометрическое среднее (CAGR), а не арифметическое.</w:t>
      </w:r>
    </w:p>
    <w:p w:rsidR="002254C8" w:rsidRPr="00EA7B4B" w:rsidRDefault="00EA7B4B" w:rsidP="00807274">
      <w:pPr>
        <w:pStyle w:val="a3"/>
        <w:spacing w:before="0" w:beforeAutospacing="0" w:after="0" w:afterAutospacing="0"/>
        <w:ind w:firstLine="900"/>
        <w:jc w:val="both"/>
      </w:pPr>
      <w:r w:rsidRPr="00EA7B4B">
        <w:t xml:space="preserve">Многие аналитики </w:t>
      </w:r>
      <w:r w:rsidR="002254C8" w:rsidRPr="00EA7B4B">
        <w:t xml:space="preserve">даже </w:t>
      </w:r>
      <w:r w:rsidRPr="00EA7B4B">
        <w:t xml:space="preserve"> считают, что </w:t>
      </w:r>
      <w:r w:rsidR="002254C8" w:rsidRPr="00EA7B4B">
        <w:t>лучше в анализе какого-либо ряда данных (к примеру, ежемесячных доходностей) использовать Геометрическое среднее (CAGR) и геометрическое стандартное отклонение.</w:t>
      </w:r>
    </w:p>
    <w:p w:rsidR="002254C8" w:rsidRPr="00EA7B4B" w:rsidRDefault="002254C8" w:rsidP="00807274">
      <w:pPr>
        <w:pStyle w:val="a3"/>
        <w:spacing w:before="0" w:beforeAutospacing="0" w:after="0" w:afterAutospacing="0"/>
        <w:jc w:val="both"/>
      </w:pPr>
      <w:r w:rsidRPr="00EA7B4B">
        <w:t>Формула GSD:</w:t>
      </w:r>
    </w:p>
    <w:p w:rsidR="002254C8" w:rsidRPr="00EA7B4B" w:rsidRDefault="002254C8" w:rsidP="00807274">
      <w:pPr>
        <w:numPr>
          <w:ilvl w:val="0"/>
          <w:numId w:val="8"/>
        </w:numPr>
        <w:jc w:val="both"/>
      </w:pPr>
      <w:r w:rsidRPr="00EA7B4B">
        <w:t xml:space="preserve">Изначально трансформируйте ваши доходности в коэффициент, к примеру, доходность за период 20% разделим на 100 и прибавим 1, что даст 1.2 </w:t>
      </w:r>
    </w:p>
    <w:p w:rsidR="002254C8" w:rsidRPr="00EA7B4B" w:rsidRDefault="002254C8" w:rsidP="00807274">
      <w:pPr>
        <w:numPr>
          <w:ilvl w:val="0"/>
          <w:numId w:val="8"/>
        </w:numPr>
        <w:jc w:val="both"/>
      </w:pPr>
      <w:r w:rsidRPr="00EA7B4B">
        <w:t xml:space="preserve">Возьмите простые логарифмы (Log) из ваших коэффициетов и найдите сумму всех значений. </w:t>
      </w:r>
    </w:p>
    <w:p w:rsidR="002254C8" w:rsidRPr="00EA7B4B" w:rsidRDefault="002254C8" w:rsidP="00807274">
      <w:pPr>
        <w:numPr>
          <w:ilvl w:val="0"/>
          <w:numId w:val="8"/>
        </w:numPr>
        <w:jc w:val="both"/>
      </w:pPr>
      <w:r w:rsidRPr="00EA7B4B">
        <w:t xml:space="preserve">Найдите арифметическое среднее "Суммы всех значений логарифмов". </w:t>
      </w:r>
    </w:p>
    <w:p w:rsidR="002254C8" w:rsidRPr="00EA7B4B" w:rsidRDefault="002254C8" w:rsidP="00807274">
      <w:pPr>
        <w:numPr>
          <w:ilvl w:val="0"/>
          <w:numId w:val="8"/>
        </w:numPr>
        <w:jc w:val="both"/>
      </w:pPr>
      <w:r w:rsidRPr="00EA7B4B">
        <w:t xml:space="preserve">Найдите арифметическое стандартное отклонение логарифмов коэффициентов. </w:t>
      </w:r>
    </w:p>
    <w:p w:rsidR="002254C8" w:rsidRDefault="002254C8" w:rsidP="00807274">
      <w:pPr>
        <w:numPr>
          <w:ilvl w:val="0"/>
          <w:numId w:val="8"/>
        </w:numPr>
        <w:jc w:val="both"/>
      </w:pPr>
      <w:r w:rsidRPr="00EA7B4B">
        <w:t>Найдите антилогарифм арифметического стандартного отклонения: 10</w:t>
      </w:r>
      <w:r w:rsidRPr="00EA7B4B">
        <w:rPr>
          <w:vertAlign w:val="superscript"/>
        </w:rPr>
        <w:t>ариф.станд. отклонение</w:t>
      </w:r>
      <w:r w:rsidRPr="00EA7B4B">
        <w:t xml:space="preserve"> - что и даст вам GSD. </w:t>
      </w:r>
    </w:p>
    <w:p w:rsidR="00B5414B" w:rsidRPr="00EA7B4B" w:rsidRDefault="00B5414B" w:rsidP="00B5414B">
      <w:pPr>
        <w:ind w:left="360"/>
        <w:jc w:val="both"/>
      </w:pPr>
    </w:p>
    <w:p w:rsidR="002254C8" w:rsidRPr="00EA7B4B" w:rsidRDefault="002254C8" w:rsidP="00EA7B4B">
      <w:pPr>
        <w:pStyle w:val="6"/>
        <w:spacing w:before="0" w:after="0"/>
        <w:rPr>
          <w:sz w:val="24"/>
          <w:szCs w:val="24"/>
        </w:rPr>
      </w:pPr>
      <w:r w:rsidRPr="00EA7B4B">
        <w:rPr>
          <w:sz w:val="24"/>
          <w:szCs w:val="24"/>
        </w:rPr>
        <w:t>Пример</w:t>
      </w:r>
      <w:r w:rsidR="00B5414B">
        <w:rPr>
          <w:sz w:val="24"/>
          <w:szCs w:val="24"/>
        </w:rPr>
        <w:t>.</w:t>
      </w:r>
    </w:p>
    <w:p w:rsidR="002254C8" w:rsidRPr="00EA7B4B" w:rsidRDefault="002254C8" w:rsidP="00EA7B4B">
      <w:pPr>
        <w:pStyle w:val="a3"/>
        <w:spacing w:before="0" w:beforeAutospacing="0" w:after="0" w:afterAutospacing="0"/>
      </w:pPr>
      <w:r w:rsidRPr="00EA7B4B">
        <w:t>Есть ряд доходностей: 5%, 2.4%, 0.7%, 10%, -2%</w:t>
      </w:r>
    </w:p>
    <w:p w:rsidR="002254C8" w:rsidRPr="00EA7B4B" w:rsidRDefault="002254C8" w:rsidP="00EA7B4B">
      <w:pPr>
        <w:numPr>
          <w:ilvl w:val="0"/>
          <w:numId w:val="9"/>
        </w:numPr>
      </w:pPr>
      <w:r w:rsidRPr="00EA7B4B">
        <w:t xml:space="preserve">Преобразуем эти доходности в коэффиценты, что даст: 1.05 (5/100 + 1), 1.024, 1.007, 1.1, 0.98 </w:t>
      </w:r>
    </w:p>
    <w:p w:rsidR="002254C8" w:rsidRPr="00EA7B4B" w:rsidRDefault="002254C8" w:rsidP="00EA7B4B">
      <w:pPr>
        <w:numPr>
          <w:ilvl w:val="0"/>
          <w:numId w:val="9"/>
        </w:numPr>
      </w:pPr>
      <w:r w:rsidRPr="00EA7B4B">
        <w:t xml:space="preserve">Найдем их логарифмы: log (1.05) = 0.021, 0.01, 0.003, 0.041, -0.009 и далее их сумму: 0.021+0.01+0.003+0.041-0.009 = 0.066 </w:t>
      </w:r>
    </w:p>
    <w:p w:rsidR="002254C8" w:rsidRPr="00EA7B4B" w:rsidRDefault="002254C8" w:rsidP="00EA7B4B">
      <w:pPr>
        <w:numPr>
          <w:ilvl w:val="0"/>
          <w:numId w:val="9"/>
        </w:numPr>
      </w:pPr>
      <w:r w:rsidRPr="00EA7B4B">
        <w:t xml:space="preserve">Арифметическое среднее: 0.066 / 5 = 0.0132 </w:t>
      </w:r>
    </w:p>
    <w:p w:rsidR="002254C8" w:rsidRPr="00EA7B4B" w:rsidRDefault="002254C8" w:rsidP="00EA7B4B">
      <w:pPr>
        <w:numPr>
          <w:ilvl w:val="0"/>
          <w:numId w:val="9"/>
        </w:numPr>
      </w:pPr>
      <w:r w:rsidRPr="00EA7B4B">
        <w:t xml:space="preserve">Арифметическое станд. отклонение = 0.019 </w:t>
      </w:r>
    </w:p>
    <w:p w:rsidR="002254C8" w:rsidRPr="00EA7B4B" w:rsidRDefault="002254C8" w:rsidP="00EA7B4B">
      <w:pPr>
        <w:numPr>
          <w:ilvl w:val="0"/>
          <w:numId w:val="9"/>
        </w:numPr>
      </w:pPr>
      <w:r w:rsidRPr="00EA7B4B">
        <w:t xml:space="preserve">Геометрическое станд. отклонение = 10 </w:t>
      </w:r>
      <w:r w:rsidRPr="00EA7B4B">
        <w:rPr>
          <w:vertAlign w:val="superscript"/>
        </w:rPr>
        <w:t xml:space="preserve">0.019 </w:t>
      </w:r>
      <w:r w:rsidRPr="00EA7B4B">
        <w:t xml:space="preserve">= 1.045 или 4.5%. </w:t>
      </w:r>
    </w:p>
    <w:p w:rsidR="002254C8" w:rsidRDefault="002254C8" w:rsidP="002254C8">
      <w:pPr>
        <w:rPr>
          <w:rStyle w:val="cyfra"/>
        </w:rPr>
      </w:pPr>
    </w:p>
    <w:p w:rsidR="002254C8" w:rsidRPr="002254C8" w:rsidRDefault="002254C8" w:rsidP="00B5414B">
      <w:pPr>
        <w:spacing w:before="100" w:beforeAutospacing="1" w:after="20"/>
        <w:rPr>
          <w:b/>
          <w:sz w:val="28"/>
          <w:szCs w:val="28"/>
        </w:rPr>
      </w:pPr>
      <w:r>
        <w:tab/>
      </w:r>
    </w:p>
    <w:p w:rsidR="00CD74F2" w:rsidRPr="00F631CE" w:rsidRDefault="006F078B" w:rsidP="003E4657">
      <w:pPr>
        <w:numPr>
          <w:ilvl w:val="1"/>
          <w:numId w:val="5"/>
        </w:numPr>
        <w:jc w:val="center"/>
        <w:rPr>
          <w:b/>
          <w:sz w:val="28"/>
          <w:szCs w:val="28"/>
          <w:lang w:val="en-US"/>
        </w:rPr>
      </w:pPr>
      <w:r>
        <w:rPr>
          <w:b/>
          <w:sz w:val="28"/>
          <w:szCs w:val="28"/>
        </w:rPr>
        <w:t xml:space="preserve"> </w:t>
      </w:r>
      <w:r w:rsidR="00CD74F2">
        <w:rPr>
          <w:b/>
          <w:sz w:val="28"/>
          <w:szCs w:val="28"/>
        </w:rPr>
        <w:t>Недостатки стандартного отклонения.</w:t>
      </w:r>
    </w:p>
    <w:p w:rsidR="00F631CE" w:rsidRDefault="00F631CE" w:rsidP="00F631CE">
      <w:pPr>
        <w:ind w:left="180"/>
        <w:rPr>
          <w:b/>
          <w:sz w:val="28"/>
          <w:szCs w:val="28"/>
          <w:lang w:val="en-US"/>
        </w:rPr>
      </w:pPr>
    </w:p>
    <w:p w:rsidR="003E4657" w:rsidRPr="00F631CE" w:rsidRDefault="003E4657" w:rsidP="00F631CE">
      <w:pPr>
        <w:ind w:firstLine="900"/>
        <w:jc w:val="both"/>
      </w:pPr>
      <w:r w:rsidRPr="00F631CE">
        <w:rPr>
          <w:lang w:val="en-US"/>
        </w:rPr>
        <w:t>C</w:t>
      </w:r>
      <w:r w:rsidRPr="00F631CE">
        <w:rPr>
          <w:lang w:val="kk-KZ"/>
        </w:rPr>
        <w:t>читается</w:t>
      </w:r>
      <w:r w:rsidR="00F631CE" w:rsidRPr="00F631CE">
        <w:t>,</w:t>
      </w:r>
      <w:r w:rsidR="00F631CE">
        <w:t xml:space="preserve"> </w:t>
      </w:r>
      <w:r w:rsidR="00F631CE" w:rsidRPr="00F631CE">
        <w:t>что</w:t>
      </w:r>
      <w:r w:rsidRPr="00F631CE">
        <w:t xml:space="preserve"> стандартного </w:t>
      </w:r>
      <w:r w:rsidR="00F631CE" w:rsidRPr="00F631CE">
        <w:t xml:space="preserve">отклонения </w:t>
      </w:r>
      <w:r w:rsidR="00F631CE">
        <w:t>–</w:t>
      </w:r>
      <w:r w:rsidR="00F631CE" w:rsidRPr="00F631CE">
        <w:t xml:space="preserve"> </w:t>
      </w:r>
      <w:r w:rsidR="00F631CE">
        <w:t>это</w:t>
      </w:r>
      <w:r w:rsidRPr="00F631CE">
        <w:t xml:space="preserve"> </w:t>
      </w:r>
      <w:r w:rsidR="008361EA" w:rsidRPr="00F631CE">
        <w:t xml:space="preserve">те азы, которыми должен в совершенстве владеть любой аналитик на финансовом рынке. </w:t>
      </w:r>
    </w:p>
    <w:p w:rsidR="008361EA" w:rsidRPr="00F631CE" w:rsidRDefault="008361EA" w:rsidP="00F631CE">
      <w:pPr>
        <w:ind w:firstLine="900"/>
        <w:jc w:val="both"/>
      </w:pPr>
      <w:r w:rsidRPr="00F631CE">
        <w:t>Значение его очень велико. Оно лежит в основе многих моделей, применяемых  на финансовых рынках. Это не просто показатель риска актива</w:t>
      </w:r>
      <w:r w:rsidR="00F631CE">
        <w:t>. Н</w:t>
      </w:r>
      <w:r w:rsidRPr="00F631CE">
        <w:t xml:space="preserve">а основе значений, полученных от стандартного отклонения, строятся прогнозы, принимаются перспективные решения. Поэтому чем точнее будет информация от стандартного отклонения, тем более точные прогнозы и выводы смогут сделать аналитики.  </w:t>
      </w:r>
    </w:p>
    <w:p w:rsidR="00215611" w:rsidRDefault="008361EA" w:rsidP="005A0997">
      <w:pPr>
        <w:ind w:firstLine="900"/>
        <w:jc w:val="both"/>
      </w:pPr>
      <w:r w:rsidRPr="00F631CE">
        <w:t>Как известно, стандартное отклонение – это среднее отклонение от среднего, либо вверх, либо вниз. Если заглянуть в процесс счета стандартного отклонения, то видно, что оно считается на основе положительных и отрицательных доходностей актива (среди них находится среднее и так д</w:t>
      </w:r>
      <w:r w:rsidR="00874E67">
        <w:t>алее). Но невооруженным глазом</w:t>
      </w:r>
      <w:r w:rsidRPr="00F631CE">
        <w:t xml:space="preserve"> можно заметить, что значений положительных доходностей больше чем отрицательных, или наоборот</w:t>
      </w:r>
      <w:r w:rsidR="00874E67">
        <w:t xml:space="preserve"> (таблица1).</w:t>
      </w:r>
    </w:p>
    <w:p w:rsidR="00874E67" w:rsidRDefault="00874E67" w:rsidP="005A0997">
      <w:pPr>
        <w:ind w:firstLine="900"/>
        <w:jc w:val="both"/>
      </w:pPr>
    </w:p>
    <w:p w:rsidR="00874E67" w:rsidRDefault="00874E67" w:rsidP="005A0997">
      <w:pPr>
        <w:ind w:firstLine="900"/>
        <w:jc w:val="both"/>
      </w:pPr>
    </w:p>
    <w:tbl>
      <w:tblPr>
        <w:tblW w:w="6788" w:type="dxa"/>
        <w:jc w:val="center"/>
        <w:tblLook w:val="0000" w:firstRow="0" w:lastRow="0" w:firstColumn="0" w:lastColumn="0" w:noHBand="0" w:noVBand="0"/>
      </w:tblPr>
      <w:tblGrid>
        <w:gridCol w:w="1354"/>
        <w:gridCol w:w="927"/>
        <w:gridCol w:w="1420"/>
        <w:gridCol w:w="1074"/>
        <w:gridCol w:w="1247"/>
        <w:gridCol w:w="1309"/>
      </w:tblGrid>
      <w:tr w:rsidR="00874E67">
        <w:trPr>
          <w:trHeight w:val="780"/>
          <w:jc w:val="center"/>
        </w:trPr>
        <w:tc>
          <w:tcPr>
            <w:tcW w:w="1220" w:type="dxa"/>
            <w:tcBorders>
              <w:top w:val="single" w:sz="4" w:space="0" w:color="000000"/>
              <w:left w:val="single" w:sz="4" w:space="0" w:color="000000"/>
              <w:bottom w:val="single" w:sz="4" w:space="0" w:color="000000"/>
              <w:right w:val="nil"/>
            </w:tcBorders>
            <w:shd w:val="clear" w:color="auto" w:fill="auto"/>
            <w:noWrap/>
            <w:vAlign w:val="bottom"/>
          </w:tcPr>
          <w:p w:rsidR="00874E67" w:rsidRDefault="00874E67">
            <w:r>
              <w:t>&lt;TICKER&gt;</w:t>
            </w:r>
          </w:p>
        </w:tc>
        <w:tc>
          <w:tcPr>
            <w:tcW w:w="800" w:type="dxa"/>
            <w:tcBorders>
              <w:top w:val="single" w:sz="4" w:space="0" w:color="000000"/>
              <w:left w:val="single" w:sz="4" w:space="0" w:color="000000"/>
              <w:bottom w:val="single" w:sz="4" w:space="0" w:color="000000"/>
              <w:right w:val="nil"/>
            </w:tcBorders>
            <w:shd w:val="clear" w:color="auto" w:fill="auto"/>
            <w:noWrap/>
            <w:vAlign w:val="bottom"/>
          </w:tcPr>
          <w:p w:rsidR="00874E67" w:rsidRDefault="00874E67">
            <w:r>
              <w:t>&lt;PER&gt;</w:t>
            </w:r>
          </w:p>
        </w:tc>
        <w:tc>
          <w:tcPr>
            <w:tcW w:w="1420" w:type="dxa"/>
            <w:tcBorders>
              <w:top w:val="single" w:sz="4" w:space="0" w:color="000000"/>
              <w:left w:val="single" w:sz="4" w:space="0" w:color="000000"/>
              <w:bottom w:val="single" w:sz="4" w:space="0" w:color="000000"/>
              <w:right w:val="nil"/>
            </w:tcBorders>
            <w:shd w:val="clear" w:color="auto" w:fill="auto"/>
            <w:noWrap/>
            <w:vAlign w:val="bottom"/>
          </w:tcPr>
          <w:p w:rsidR="00874E67" w:rsidRDefault="00874E67">
            <w:r>
              <w:t>&lt;DATE&gt;</w:t>
            </w:r>
          </w:p>
        </w:tc>
        <w:tc>
          <w:tcPr>
            <w:tcW w:w="1020" w:type="dxa"/>
            <w:tcBorders>
              <w:top w:val="single" w:sz="4" w:space="0" w:color="000000"/>
              <w:left w:val="single" w:sz="4" w:space="0" w:color="000000"/>
              <w:bottom w:val="single" w:sz="4" w:space="0" w:color="000000"/>
              <w:right w:val="nil"/>
            </w:tcBorders>
            <w:shd w:val="clear" w:color="auto" w:fill="auto"/>
            <w:noWrap/>
            <w:vAlign w:val="bottom"/>
          </w:tcPr>
          <w:p w:rsidR="00874E67" w:rsidRDefault="00874E67">
            <w:r>
              <w:t>&lt;TIME&gt;</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74E67" w:rsidRDefault="00874E67">
            <w:r>
              <w:t>&lt;CLOSE&gt;</w:t>
            </w:r>
          </w:p>
        </w:tc>
        <w:tc>
          <w:tcPr>
            <w:tcW w:w="1228" w:type="dxa"/>
            <w:tcBorders>
              <w:top w:val="nil"/>
              <w:left w:val="nil"/>
              <w:bottom w:val="nil"/>
              <w:right w:val="nil"/>
            </w:tcBorders>
            <w:shd w:val="clear" w:color="auto" w:fill="auto"/>
            <w:noWrap/>
            <w:vAlign w:val="bottom"/>
          </w:tcPr>
          <w:p w:rsidR="00874E67" w:rsidRDefault="00874E67">
            <w:pPr>
              <w:rPr>
                <w:rFonts w:ascii="Arial" w:hAnsi="Arial" w:cs="Arial"/>
                <w:sz w:val="20"/>
                <w:szCs w:val="20"/>
              </w:rPr>
            </w:pPr>
            <w:r>
              <w:rPr>
                <w:rFonts w:ascii="Arial" w:hAnsi="Arial" w:cs="Arial"/>
                <w:sz w:val="20"/>
                <w:szCs w:val="20"/>
              </w:rPr>
              <w:t xml:space="preserve">Доходность </w:t>
            </w:r>
          </w:p>
        </w:tc>
      </w:tr>
      <w:tr w:rsidR="00874E67">
        <w:trPr>
          <w:trHeight w:val="315"/>
          <w:jc w:val="center"/>
        </w:trPr>
        <w:tc>
          <w:tcPr>
            <w:tcW w:w="1220" w:type="dxa"/>
            <w:tcBorders>
              <w:top w:val="nil"/>
              <w:left w:val="single" w:sz="4" w:space="0" w:color="000000"/>
              <w:bottom w:val="single" w:sz="4" w:space="0" w:color="000000"/>
              <w:right w:val="nil"/>
            </w:tcBorders>
            <w:shd w:val="clear" w:color="auto" w:fill="auto"/>
            <w:noWrap/>
            <w:vAlign w:val="bottom"/>
          </w:tcPr>
          <w:p w:rsidR="00874E67" w:rsidRDefault="00874E67">
            <w:r>
              <w:t>GAZP</w:t>
            </w:r>
          </w:p>
        </w:tc>
        <w:tc>
          <w:tcPr>
            <w:tcW w:w="80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5</w:t>
            </w:r>
          </w:p>
        </w:tc>
        <w:tc>
          <w:tcPr>
            <w:tcW w:w="14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20070907</w:t>
            </w:r>
          </w:p>
        </w:tc>
        <w:tc>
          <w:tcPr>
            <w:tcW w:w="10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103000</w:t>
            </w:r>
          </w:p>
        </w:tc>
        <w:tc>
          <w:tcPr>
            <w:tcW w:w="1100" w:type="dxa"/>
            <w:tcBorders>
              <w:top w:val="nil"/>
              <w:left w:val="single" w:sz="4" w:space="0" w:color="000000"/>
              <w:bottom w:val="single" w:sz="4" w:space="0" w:color="000000"/>
              <w:right w:val="single" w:sz="4" w:space="0" w:color="000000"/>
            </w:tcBorders>
            <w:shd w:val="clear" w:color="auto" w:fill="auto"/>
            <w:noWrap/>
            <w:vAlign w:val="bottom"/>
          </w:tcPr>
          <w:p w:rsidR="00874E67" w:rsidRDefault="00874E67">
            <w:pPr>
              <w:jc w:val="right"/>
            </w:pPr>
            <w:r>
              <w:t>265,69</w:t>
            </w:r>
          </w:p>
        </w:tc>
        <w:tc>
          <w:tcPr>
            <w:tcW w:w="1228" w:type="dxa"/>
            <w:tcBorders>
              <w:top w:val="nil"/>
              <w:left w:val="nil"/>
              <w:bottom w:val="nil"/>
              <w:right w:val="nil"/>
            </w:tcBorders>
            <w:shd w:val="clear" w:color="auto" w:fill="auto"/>
            <w:noWrap/>
            <w:vAlign w:val="bottom"/>
          </w:tcPr>
          <w:p w:rsidR="00874E67" w:rsidRDefault="00874E67">
            <w:pPr>
              <w:rPr>
                <w:rFonts w:ascii="Arial" w:hAnsi="Arial" w:cs="Arial"/>
                <w:sz w:val="20"/>
                <w:szCs w:val="20"/>
              </w:rPr>
            </w:pPr>
          </w:p>
        </w:tc>
      </w:tr>
      <w:tr w:rsidR="00874E67">
        <w:trPr>
          <w:trHeight w:val="315"/>
          <w:jc w:val="center"/>
        </w:trPr>
        <w:tc>
          <w:tcPr>
            <w:tcW w:w="1220" w:type="dxa"/>
            <w:tcBorders>
              <w:top w:val="nil"/>
              <w:left w:val="single" w:sz="4" w:space="0" w:color="000000"/>
              <w:bottom w:val="single" w:sz="4" w:space="0" w:color="000000"/>
              <w:right w:val="nil"/>
            </w:tcBorders>
            <w:shd w:val="clear" w:color="auto" w:fill="auto"/>
            <w:noWrap/>
            <w:vAlign w:val="bottom"/>
          </w:tcPr>
          <w:p w:rsidR="00874E67" w:rsidRDefault="00874E67">
            <w:r>
              <w:t>GAZP</w:t>
            </w:r>
          </w:p>
        </w:tc>
        <w:tc>
          <w:tcPr>
            <w:tcW w:w="80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5</w:t>
            </w:r>
          </w:p>
        </w:tc>
        <w:tc>
          <w:tcPr>
            <w:tcW w:w="14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20070907</w:t>
            </w:r>
          </w:p>
        </w:tc>
        <w:tc>
          <w:tcPr>
            <w:tcW w:w="10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103500</w:t>
            </w:r>
          </w:p>
        </w:tc>
        <w:tc>
          <w:tcPr>
            <w:tcW w:w="1100" w:type="dxa"/>
            <w:tcBorders>
              <w:top w:val="nil"/>
              <w:left w:val="single" w:sz="4" w:space="0" w:color="000000"/>
              <w:bottom w:val="single" w:sz="4" w:space="0" w:color="000000"/>
              <w:right w:val="single" w:sz="4" w:space="0" w:color="000000"/>
            </w:tcBorders>
            <w:shd w:val="clear" w:color="auto" w:fill="auto"/>
            <w:noWrap/>
            <w:vAlign w:val="bottom"/>
          </w:tcPr>
          <w:p w:rsidR="00874E67" w:rsidRDefault="00874E67">
            <w:pPr>
              <w:jc w:val="right"/>
            </w:pPr>
            <w:r>
              <w:t>265,99</w:t>
            </w:r>
          </w:p>
        </w:tc>
        <w:tc>
          <w:tcPr>
            <w:tcW w:w="1228" w:type="dxa"/>
            <w:tcBorders>
              <w:top w:val="nil"/>
              <w:left w:val="nil"/>
              <w:bottom w:val="nil"/>
              <w:right w:val="nil"/>
            </w:tcBorders>
            <w:shd w:val="clear" w:color="auto" w:fill="auto"/>
            <w:noWrap/>
            <w:vAlign w:val="bottom"/>
          </w:tcPr>
          <w:p w:rsidR="00874E67" w:rsidRDefault="00874E67">
            <w:pPr>
              <w:jc w:val="right"/>
              <w:rPr>
                <w:rFonts w:ascii="Arial" w:hAnsi="Arial" w:cs="Arial"/>
                <w:sz w:val="20"/>
                <w:szCs w:val="20"/>
              </w:rPr>
            </w:pPr>
            <w:r>
              <w:rPr>
                <w:rFonts w:ascii="Arial" w:hAnsi="Arial" w:cs="Arial"/>
                <w:sz w:val="20"/>
                <w:szCs w:val="20"/>
              </w:rPr>
              <w:t>0,00113</w:t>
            </w:r>
          </w:p>
        </w:tc>
      </w:tr>
      <w:tr w:rsidR="00874E67">
        <w:trPr>
          <w:trHeight w:val="315"/>
          <w:jc w:val="center"/>
        </w:trPr>
        <w:tc>
          <w:tcPr>
            <w:tcW w:w="1220" w:type="dxa"/>
            <w:tcBorders>
              <w:top w:val="nil"/>
              <w:left w:val="single" w:sz="4" w:space="0" w:color="000000"/>
              <w:bottom w:val="single" w:sz="4" w:space="0" w:color="000000"/>
              <w:right w:val="nil"/>
            </w:tcBorders>
            <w:shd w:val="clear" w:color="auto" w:fill="auto"/>
            <w:noWrap/>
            <w:vAlign w:val="bottom"/>
          </w:tcPr>
          <w:p w:rsidR="00874E67" w:rsidRDefault="00874E67">
            <w:r>
              <w:t>GAZP</w:t>
            </w:r>
          </w:p>
        </w:tc>
        <w:tc>
          <w:tcPr>
            <w:tcW w:w="80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5</w:t>
            </w:r>
          </w:p>
        </w:tc>
        <w:tc>
          <w:tcPr>
            <w:tcW w:w="14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20070907</w:t>
            </w:r>
          </w:p>
        </w:tc>
        <w:tc>
          <w:tcPr>
            <w:tcW w:w="10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104000</w:t>
            </w:r>
          </w:p>
        </w:tc>
        <w:tc>
          <w:tcPr>
            <w:tcW w:w="1100" w:type="dxa"/>
            <w:tcBorders>
              <w:top w:val="nil"/>
              <w:left w:val="single" w:sz="4" w:space="0" w:color="000000"/>
              <w:bottom w:val="single" w:sz="4" w:space="0" w:color="000000"/>
              <w:right w:val="single" w:sz="4" w:space="0" w:color="000000"/>
            </w:tcBorders>
            <w:shd w:val="clear" w:color="auto" w:fill="auto"/>
            <w:noWrap/>
            <w:vAlign w:val="bottom"/>
          </w:tcPr>
          <w:p w:rsidR="00874E67" w:rsidRDefault="00874E67">
            <w:pPr>
              <w:jc w:val="right"/>
            </w:pPr>
            <w:r>
              <w:t>265,72</w:t>
            </w:r>
          </w:p>
        </w:tc>
        <w:tc>
          <w:tcPr>
            <w:tcW w:w="1228" w:type="dxa"/>
            <w:tcBorders>
              <w:top w:val="nil"/>
              <w:left w:val="nil"/>
              <w:bottom w:val="nil"/>
              <w:right w:val="nil"/>
            </w:tcBorders>
            <w:shd w:val="clear" w:color="auto" w:fill="auto"/>
            <w:noWrap/>
            <w:vAlign w:val="bottom"/>
          </w:tcPr>
          <w:p w:rsidR="00874E67" w:rsidRDefault="00874E67">
            <w:pPr>
              <w:jc w:val="right"/>
              <w:rPr>
                <w:rFonts w:ascii="Arial" w:hAnsi="Arial" w:cs="Arial"/>
                <w:sz w:val="20"/>
                <w:szCs w:val="20"/>
              </w:rPr>
            </w:pPr>
            <w:r>
              <w:rPr>
                <w:rFonts w:ascii="Arial" w:hAnsi="Arial" w:cs="Arial"/>
                <w:sz w:val="20"/>
                <w:szCs w:val="20"/>
              </w:rPr>
              <w:t>-0,00102</w:t>
            </w:r>
          </w:p>
        </w:tc>
      </w:tr>
      <w:tr w:rsidR="00874E67">
        <w:trPr>
          <w:trHeight w:val="315"/>
          <w:jc w:val="center"/>
        </w:trPr>
        <w:tc>
          <w:tcPr>
            <w:tcW w:w="1220" w:type="dxa"/>
            <w:tcBorders>
              <w:top w:val="nil"/>
              <w:left w:val="single" w:sz="4" w:space="0" w:color="000000"/>
              <w:bottom w:val="single" w:sz="4" w:space="0" w:color="000000"/>
              <w:right w:val="nil"/>
            </w:tcBorders>
            <w:shd w:val="clear" w:color="auto" w:fill="auto"/>
            <w:noWrap/>
            <w:vAlign w:val="bottom"/>
          </w:tcPr>
          <w:p w:rsidR="00874E67" w:rsidRDefault="00874E67">
            <w:r>
              <w:t>GAZP</w:t>
            </w:r>
          </w:p>
        </w:tc>
        <w:tc>
          <w:tcPr>
            <w:tcW w:w="80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5</w:t>
            </w:r>
          </w:p>
        </w:tc>
        <w:tc>
          <w:tcPr>
            <w:tcW w:w="14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20070907</w:t>
            </w:r>
          </w:p>
        </w:tc>
        <w:tc>
          <w:tcPr>
            <w:tcW w:w="10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104500</w:t>
            </w:r>
          </w:p>
        </w:tc>
        <w:tc>
          <w:tcPr>
            <w:tcW w:w="1100" w:type="dxa"/>
            <w:tcBorders>
              <w:top w:val="nil"/>
              <w:left w:val="single" w:sz="4" w:space="0" w:color="000000"/>
              <w:bottom w:val="single" w:sz="4" w:space="0" w:color="000000"/>
              <w:right w:val="single" w:sz="4" w:space="0" w:color="000000"/>
            </w:tcBorders>
            <w:shd w:val="clear" w:color="auto" w:fill="auto"/>
            <w:noWrap/>
            <w:vAlign w:val="bottom"/>
          </w:tcPr>
          <w:p w:rsidR="00874E67" w:rsidRDefault="00874E67">
            <w:pPr>
              <w:jc w:val="right"/>
            </w:pPr>
            <w:r>
              <w:t>265,32</w:t>
            </w:r>
          </w:p>
        </w:tc>
        <w:tc>
          <w:tcPr>
            <w:tcW w:w="1228" w:type="dxa"/>
            <w:tcBorders>
              <w:top w:val="nil"/>
              <w:left w:val="nil"/>
              <w:bottom w:val="nil"/>
              <w:right w:val="nil"/>
            </w:tcBorders>
            <w:shd w:val="clear" w:color="auto" w:fill="auto"/>
            <w:noWrap/>
            <w:vAlign w:val="bottom"/>
          </w:tcPr>
          <w:p w:rsidR="00874E67" w:rsidRDefault="00874E67">
            <w:pPr>
              <w:jc w:val="right"/>
              <w:rPr>
                <w:rFonts w:ascii="Arial" w:hAnsi="Arial" w:cs="Arial"/>
                <w:sz w:val="20"/>
                <w:szCs w:val="20"/>
              </w:rPr>
            </w:pPr>
            <w:r>
              <w:rPr>
                <w:rFonts w:ascii="Arial" w:hAnsi="Arial" w:cs="Arial"/>
                <w:sz w:val="20"/>
                <w:szCs w:val="20"/>
              </w:rPr>
              <w:t>-0,00151</w:t>
            </w:r>
          </w:p>
        </w:tc>
      </w:tr>
      <w:tr w:rsidR="00874E67">
        <w:trPr>
          <w:trHeight w:val="315"/>
          <w:jc w:val="center"/>
        </w:trPr>
        <w:tc>
          <w:tcPr>
            <w:tcW w:w="1220" w:type="dxa"/>
            <w:tcBorders>
              <w:top w:val="nil"/>
              <w:left w:val="single" w:sz="4" w:space="0" w:color="000000"/>
              <w:bottom w:val="single" w:sz="4" w:space="0" w:color="000000"/>
              <w:right w:val="nil"/>
            </w:tcBorders>
            <w:shd w:val="clear" w:color="auto" w:fill="auto"/>
            <w:noWrap/>
            <w:vAlign w:val="bottom"/>
          </w:tcPr>
          <w:p w:rsidR="00874E67" w:rsidRDefault="00874E67">
            <w:r>
              <w:t>GAZP</w:t>
            </w:r>
          </w:p>
        </w:tc>
        <w:tc>
          <w:tcPr>
            <w:tcW w:w="80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5</w:t>
            </w:r>
          </w:p>
        </w:tc>
        <w:tc>
          <w:tcPr>
            <w:tcW w:w="14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20070907</w:t>
            </w:r>
          </w:p>
        </w:tc>
        <w:tc>
          <w:tcPr>
            <w:tcW w:w="10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105000</w:t>
            </w:r>
          </w:p>
        </w:tc>
        <w:tc>
          <w:tcPr>
            <w:tcW w:w="1100" w:type="dxa"/>
            <w:tcBorders>
              <w:top w:val="nil"/>
              <w:left w:val="single" w:sz="4" w:space="0" w:color="000000"/>
              <w:bottom w:val="single" w:sz="4" w:space="0" w:color="000000"/>
              <w:right w:val="single" w:sz="4" w:space="0" w:color="000000"/>
            </w:tcBorders>
            <w:shd w:val="clear" w:color="auto" w:fill="auto"/>
            <w:noWrap/>
            <w:vAlign w:val="bottom"/>
          </w:tcPr>
          <w:p w:rsidR="00874E67" w:rsidRDefault="00874E67">
            <w:pPr>
              <w:jc w:val="right"/>
            </w:pPr>
            <w:r>
              <w:t>265,49</w:t>
            </w:r>
          </w:p>
        </w:tc>
        <w:tc>
          <w:tcPr>
            <w:tcW w:w="1228" w:type="dxa"/>
            <w:tcBorders>
              <w:top w:val="nil"/>
              <w:left w:val="nil"/>
              <w:bottom w:val="nil"/>
              <w:right w:val="nil"/>
            </w:tcBorders>
            <w:shd w:val="clear" w:color="auto" w:fill="auto"/>
            <w:noWrap/>
            <w:vAlign w:val="bottom"/>
          </w:tcPr>
          <w:p w:rsidR="00874E67" w:rsidRDefault="00874E67">
            <w:pPr>
              <w:jc w:val="right"/>
              <w:rPr>
                <w:rFonts w:ascii="Arial" w:hAnsi="Arial" w:cs="Arial"/>
                <w:sz w:val="20"/>
                <w:szCs w:val="20"/>
              </w:rPr>
            </w:pPr>
            <w:r>
              <w:rPr>
                <w:rFonts w:ascii="Arial" w:hAnsi="Arial" w:cs="Arial"/>
                <w:sz w:val="20"/>
                <w:szCs w:val="20"/>
              </w:rPr>
              <w:t>0,00064</w:t>
            </w:r>
          </w:p>
        </w:tc>
      </w:tr>
      <w:tr w:rsidR="00874E67">
        <w:trPr>
          <w:trHeight w:val="315"/>
          <w:jc w:val="center"/>
        </w:trPr>
        <w:tc>
          <w:tcPr>
            <w:tcW w:w="1220" w:type="dxa"/>
            <w:tcBorders>
              <w:top w:val="nil"/>
              <w:left w:val="single" w:sz="4" w:space="0" w:color="000000"/>
              <w:bottom w:val="single" w:sz="4" w:space="0" w:color="000000"/>
              <w:right w:val="nil"/>
            </w:tcBorders>
            <w:shd w:val="clear" w:color="auto" w:fill="auto"/>
            <w:noWrap/>
            <w:vAlign w:val="bottom"/>
          </w:tcPr>
          <w:p w:rsidR="00874E67" w:rsidRDefault="00874E67">
            <w:r>
              <w:t>GAZP</w:t>
            </w:r>
          </w:p>
        </w:tc>
        <w:tc>
          <w:tcPr>
            <w:tcW w:w="80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5</w:t>
            </w:r>
          </w:p>
        </w:tc>
        <w:tc>
          <w:tcPr>
            <w:tcW w:w="14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20070907</w:t>
            </w:r>
          </w:p>
        </w:tc>
        <w:tc>
          <w:tcPr>
            <w:tcW w:w="10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105500</w:t>
            </w:r>
          </w:p>
        </w:tc>
        <w:tc>
          <w:tcPr>
            <w:tcW w:w="1100" w:type="dxa"/>
            <w:tcBorders>
              <w:top w:val="nil"/>
              <w:left w:val="single" w:sz="4" w:space="0" w:color="000000"/>
              <w:bottom w:val="single" w:sz="4" w:space="0" w:color="000000"/>
              <w:right w:val="single" w:sz="4" w:space="0" w:color="000000"/>
            </w:tcBorders>
            <w:shd w:val="clear" w:color="auto" w:fill="auto"/>
            <w:noWrap/>
            <w:vAlign w:val="bottom"/>
          </w:tcPr>
          <w:p w:rsidR="00874E67" w:rsidRDefault="00874E67">
            <w:pPr>
              <w:jc w:val="right"/>
            </w:pPr>
            <w:r>
              <w:t>265,86</w:t>
            </w:r>
          </w:p>
        </w:tc>
        <w:tc>
          <w:tcPr>
            <w:tcW w:w="1228" w:type="dxa"/>
            <w:tcBorders>
              <w:top w:val="nil"/>
              <w:left w:val="nil"/>
              <w:bottom w:val="nil"/>
              <w:right w:val="nil"/>
            </w:tcBorders>
            <w:shd w:val="clear" w:color="auto" w:fill="auto"/>
            <w:noWrap/>
            <w:vAlign w:val="bottom"/>
          </w:tcPr>
          <w:p w:rsidR="00874E67" w:rsidRDefault="00874E67">
            <w:pPr>
              <w:jc w:val="right"/>
              <w:rPr>
                <w:rFonts w:ascii="Arial" w:hAnsi="Arial" w:cs="Arial"/>
                <w:sz w:val="20"/>
                <w:szCs w:val="20"/>
              </w:rPr>
            </w:pPr>
            <w:r>
              <w:rPr>
                <w:rFonts w:ascii="Arial" w:hAnsi="Arial" w:cs="Arial"/>
                <w:sz w:val="20"/>
                <w:szCs w:val="20"/>
              </w:rPr>
              <w:t>0,00139</w:t>
            </w:r>
          </w:p>
        </w:tc>
      </w:tr>
      <w:tr w:rsidR="00874E67">
        <w:trPr>
          <w:trHeight w:val="315"/>
          <w:jc w:val="center"/>
        </w:trPr>
        <w:tc>
          <w:tcPr>
            <w:tcW w:w="1220" w:type="dxa"/>
            <w:tcBorders>
              <w:top w:val="nil"/>
              <w:left w:val="single" w:sz="4" w:space="0" w:color="000000"/>
              <w:bottom w:val="single" w:sz="4" w:space="0" w:color="000000"/>
              <w:right w:val="nil"/>
            </w:tcBorders>
            <w:shd w:val="clear" w:color="auto" w:fill="auto"/>
            <w:noWrap/>
            <w:vAlign w:val="bottom"/>
          </w:tcPr>
          <w:p w:rsidR="00874E67" w:rsidRDefault="00874E67">
            <w:r>
              <w:t>GAZP</w:t>
            </w:r>
          </w:p>
        </w:tc>
        <w:tc>
          <w:tcPr>
            <w:tcW w:w="80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5</w:t>
            </w:r>
          </w:p>
        </w:tc>
        <w:tc>
          <w:tcPr>
            <w:tcW w:w="14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20070907</w:t>
            </w:r>
          </w:p>
        </w:tc>
        <w:tc>
          <w:tcPr>
            <w:tcW w:w="10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110000</w:t>
            </w:r>
          </w:p>
        </w:tc>
        <w:tc>
          <w:tcPr>
            <w:tcW w:w="1100" w:type="dxa"/>
            <w:tcBorders>
              <w:top w:val="nil"/>
              <w:left w:val="single" w:sz="4" w:space="0" w:color="000000"/>
              <w:bottom w:val="single" w:sz="4" w:space="0" w:color="000000"/>
              <w:right w:val="single" w:sz="4" w:space="0" w:color="000000"/>
            </w:tcBorders>
            <w:shd w:val="clear" w:color="auto" w:fill="auto"/>
            <w:noWrap/>
            <w:vAlign w:val="bottom"/>
          </w:tcPr>
          <w:p w:rsidR="00874E67" w:rsidRDefault="00874E67">
            <w:pPr>
              <w:jc w:val="right"/>
            </w:pPr>
            <w:r>
              <w:t>265,36</w:t>
            </w:r>
          </w:p>
        </w:tc>
        <w:tc>
          <w:tcPr>
            <w:tcW w:w="1228" w:type="dxa"/>
            <w:tcBorders>
              <w:top w:val="nil"/>
              <w:left w:val="nil"/>
              <w:bottom w:val="nil"/>
              <w:right w:val="nil"/>
            </w:tcBorders>
            <w:shd w:val="clear" w:color="auto" w:fill="auto"/>
            <w:noWrap/>
            <w:vAlign w:val="bottom"/>
          </w:tcPr>
          <w:p w:rsidR="00874E67" w:rsidRDefault="00874E67">
            <w:pPr>
              <w:jc w:val="right"/>
              <w:rPr>
                <w:rFonts w:ascii="Arial" w:hAnsi="Arial" w:cs="Arial"/>
                <w:sz w:val="20"/>
                <w:szCs w:val="20"/>
              </w:rPr>
            </w:pPr>
            <w:r>
              <w:rPr>
                <w:rFonts w:ascii="Arial" w:hAnsi="Arial" w:cs="Arial"/>
                <w:sz w:val="20"/>
                <w:szCs w:val="20"/>
              </w:rPr>
              <w:t>-0,00188</w:t>
            </w:r>
          </w:p>
        </w:tc>
      </w:tr>
      <w:tr w:rsidR="00874E67">
        <w:trPr>
          <w:trHeight w:val="315"/>
          <w:jc w:val="center"/>
        </w:trPr>
        <w:tc>
          <w:tcPr>
            <w:tcW w:w="1220" w:type="dxa"/>
            <w:tcBorders>
              <w:top w:val="nil"/>
              <w:left w:val="single" w:sz="4" w:space="0" w:color="000000"/>
              <w:bottom w:val="single" w:sz="4" w:space="0" w:color="000000"/>
              <w:right w:val="nil"/>
            </w:tcBorders>
            <w:shd w:val="clear" w:color="auto" w:fill="auto"/>
            <w:noWrap/>
            <w:vAlign w:val="bottom"/>
          </w:tcPr>
          <w:p w:rsidR="00874E67" w:rsidRDefault="00874E67">
            <w:r>
              <w:t>GAZP</w:t>
            </w:r>
          </w:p>
        </w:tc>
        <w:tc>
          <w:tcPr>
            <w:tcW w:w="80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5</w:t>
            </w:r>
          </w:p>
        </w:tc>
        <w:tc>
          <w:tcPr>
            <w:tcW w:w="14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20070907</w:t>
            </w:r>
          </w:p>
        </w:tc>
        <w:tc>
          <w:tcPr>
            <w:tcW w:w="10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110500</w:t>
            </w:r>
          </w:p>
        </w:tc>
        <w:tc>
          <w:tcPr>
            <w:tcW w:w="1100" w:type="dxa"/>
            <w:tcBorders>
              <w:top w:val="nil"/>
              <w:left w:val="single" w:sz="4" w:space="0" w:color="000000"/>
              <w:bottom w:val="single" w:sz="4" w:space="0" w:color="000000"/>
              <w:right w:val="single" w:sz="4" w:space="0" w:color="000000"/>
            </w:tcBorders>
            <w:shd w:val="clear" w:color="auto" w:fill="auto"/>
            <w:noWrap/>
            <w:vAlign w:val="bottom"/>
          </w:tcPr>
          <w:p w:rsidR="00874E67" w:rsidRDefault="00874E67">
            <w:pPr>
              <w:jc w:val="right"/>
            </w:pPr>
            <w:r>
              <w:t>265,76</w:t>
            </w:r>
          </w:p>
        </w:tc>
        <w:tc>
          <w:tcPr>
            <w:tcW w:w="1228" w:type="dxa"/>
            <w:tcBorders>
              <w:top w:val="nil"/>
              <w:left w:val="nil"/>
              <w:bottom w:val="nil"/>
              <w:right w:val="nil"/>
            </w:tcBorders>
            <w:shd w:val="clear" w:color="auto" w:fill="auto"/>
            <w:noWrap/>
            <w:vAlign w:val="bottom"/>
          </w:tcPr>
          <w:p w:rsidR="00874E67" w:rsidRDefault="00874E67">
            <w:pPr>
              <w:jc w:val="right"/>
              <w:rPr>
                <w:rFonts w:ascii="Arial" w:hAnsi="Arial" w:cs="Arial"/>
                <w:sz w:val="20"/>
                <w:szCs w:val="20"/>
              </w:rPr>
            </w:pPr>
            <w:r>
              <w:rPr>
                <w:rFonts w:ascii="Arial" w:hAnsi="Arial" w:cs="Arial"/>
                <w:sz w:val="20"/>
                <w:szCs w:val="20"/>
              </w:rPr>
              <w:t>0,00151</w:t>
            </w:r>
          </w:p>
        </w:tc>
      </w:tr>
      <w:tr w:rsidR="00874E67">
        <w:trPr>
          <w:trHeight w:val="315"/>
          <w:jc w:val="center"/>
        </w:trPr>
        <w:tc>
          <w:tcPr>
            <w:tcW w:w="1220" w:type="dxa"/>
            <w:tcBorders>
              <w:top w:val="nil"/>
              <w:left w:val="single" w:sz="4" w:space="0" w:color="000000"/>
              <w:bottom w:val="single" w:sz="4" w:space="0" w:color="000000"/>
              <w:right w:val="nil"/>
            </w:tcBorders>
            <w:shd w:val="clear" w:color="auto" w:fill="auto"/>
            <w:noWrap/>
            <w:vAlign w:val="bottom"/>
          </w:tcPr>
          <w:p w:rsidR="00874E67" w:rsidRDefault="00874E67">
            <w:r>
              <w:t>GAZP</w:t>
            </w:r>
          </w:p>
        </w:tc>
        <w:tc>
          <w:tcPr>
            <w:tcW w:w="80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5</w:t>
            </w:r>
          </w:p>
        </w:tc>
        <w:tc>
          <w:tcPr>
            <w:tcW w:w="14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20070907</w:t>
            </w:r>
          </w:p>
        </w:tc>
        <w:tc>
          <w:tcPr>
            <w:tcW w:w="10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111000</w:t>
            </w:r>
          </w:p>
        </w:tc>
        <w:tc>
          <w:tcPr>
            <w:tcW w:w="1100" w:type="dxa"/>
            <w:tcBorders>
              <w:top w:val="nil"/>
              <w:left w:val="single" w:sz="4" w:space="0" w:color="000000"/>
              <w:bottom w:val="single" w:sz="4" w:space="0" w:color="000000"/>
              <w:right w:val="single" w:sz="4" w:space="0" w:color="000000"/>
            </w:tcBorders>
            <w:shd w:val="clear" w:color="auto" w:fill="auto"/>
            <w:noWrap/>
            <w:vAlign w:val="bottom"/>
          </w:tcPr>
          <w:p w:rsidR="00874E67" w:rsidRDefault="00874E67">
            <w:pPr>
              <w:jc w:val="right"/>
            </w:pPr>
            <w:r>
              <w:t>265,8</w:t>
            </w:r>
          </w:p>
        </w:tc>
        <w:tc>
          <w:tcPr>
            <w:tcW w:w="1228" w:type="dxa"/>
            <w:tcBorders>
              <w:top w:val="nil"/>
              <w:left w:val="nil"/>
              <w:bottom w:val="nil"/>
              <w:right w:val="nil"/>
            </w:tcBorders>
            <w:shd w:val="clear" w:color="auto" w:fill="auto"/>
            <w:noWrap/>
            <w:vAlign w:val="bottom"/>
          </w:tcPr>
          <w:p w:rsidR="00874E67" w:rsidRDefault="00874E67">
            <w:pPr>
              <w:jc w:val="right"/>
              <w:rPr>
                <w:rFonts w:ascii="Arial" w:hAnsi="Arial" w:cs="Arial"/>
                <w:sz w:val="20"/>
                <w:szCs w:val="20"/>
              </w:rPr>
            </w:pPr>
            <w:r>
              <w:rPr>
                <w:rFonts w:ascii="Arial" w:hAnsi="Arial" w:cs="Arial"/>
                <w:sz w:val="20"/>
                <w:szCs w:val="20"/>
              </w:rPr>
              <w:t>0,00015</w:t>
            </w:r>
          </w:p>
        </w:tc>
      </w:tr>
      <w:tr w:rsidR="00874E67">
        <w:trPr>
          <w:trHeight w:val="315"/>
          <w:jc w:val="center"/>
        </w:trPr>
        <w:tc>
          <w:tcPr>
            <w:tcW w:w="1220" w:type="dxa"/>
            <w:tcBorders>
              <w:top w:val="nil"/>
              <w:left w:val="single" w:sz="4" w:space="0" w:color="000000"/>
              <w:bottom w:val="single" w:sz="4" w:space="0" w:color="000000"/>
              <w:right w:val="nil"/>
            </w:tcBorders>
            <w:shd w:val="clear" w:color="auto" w:fill="auto"/>
            <w:noWrap/>
            <w:vAlign w:val="bottom"/>
          </w:tcPr>
          <w:p w:rsidR="00874E67" w:rsidRDefault="00874E67">
            <w:r>
              <w:t>GAZP</w:t>
            </w:r>
          </w:p>
        </w:tc>
        <w:tc>
          <w:tcPr>
            <w:tcW w:w="80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5</w:t>
            </w:r>
          </w:p>
        </w:tc>
        <w:tc>
          <w:tcPr>
            <w:tcW w:w="14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20070907</w:t>
            </w:r>
          </w:p>
        </w:tc>
        <w:tc>
          <w:tcPr>
            <w:tcW w:w="10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111500</w:t>
            </w:r>
          </w:p>
        </w:tc>
        <w:tc>
          <w:tcPr>
            <w:tcW w:w="1100" w:type="dxa"/>
            <w:tcBorders>
              <w:top w:val="nil"/>
              <w:left w:val="single" w:sz="4" w:space="0" w:color="000000"/>
              <w:bottom w:val="single" w:sz="4" w:space="0" w:color="000000"/>
              <w:right w:val="single" w:sz="4" w:space="0" w:color="000000"/>
            </w:tcBorders>
            <w:shd w:val="clear" w:color="auto" w:fill="auto"/>
            <w:noWrap/>
            <w:vAlign w:val="bottom"/>
          </w:tcPr>
          <w:p w:rsidR="00874E67" w:rsidRDefault="00874E67">
            <w:pPr>
              <w:jc w:val="right"/>
            </w:pPr>
            <w:r>
              <w:t>266,13</w:t>
            </w:r>
          </w:p>
        </w:tc>
        <w:tc>
          <w:tcPr>
            <w:tcW w:w="1228" w:type="dxa"/>
            <w:tcBorders>
              <w:top w:val="nil"/>
              <w:left w:val="nil"/>
              <w:bottom w:val="nil"/>
              <w:right w:val="nil"/>
            </w:tcBorders>
            <w:shd w:val="clear" w:color="auto" w:fill="auto"/>
            <w:noWrap/>
            <w:vAlign w:val="bottom"/>
          </w:tcPr>
          <w:p w:rsidR="00874E67" w:rsidRDefault="00874E67">
            <w:pPr>
              <w:jc w:val="right"/>
              <w:rPr>
                <w:rFonts w:ascii="Arial" w:hAnsi="Arial" w:cs="Arial"/>
                <w:sz w:val="20"/>
                <w:szCs w:val="20"/>
              </w:rPr>
            </w:pPr>
            <w:r>
              <w:rPr>
                <w:rFonts w:ascii="Arial" w:hAnsi="Arial" w:cs="Arial"/>
                <w:sz w:val="20"/>
                <w:szCs w:val="20"/>
              </w:rPr>
              <w:t>0,00124</w:t>
            </w:r>
          </w:p>
        </w:tc>
      </w:tr>
      <w:tr w:rsidR="00874E67">
        <w:trPr>
          <w:trHeight w:val="315"/>
          <w:jc w:val="center"/>
        </w:trPr>
        <w:tc>
          <w:tcPr>
            <w:tcW w:w="1220" w:type="dxa"/>
            <w:tcBorders>
              <w:top w:val="nil"/>
              <w:left w:val="single" w:sz="4" w:space="0" w:color="000000"/>
              <w:bottom w:val="single" w:sz="4" w:space="0" w:color="000000"/>
              <w:right w:val="nil"/>
            </w:tcBorders>
            <w:shd w:val="clear" w:color="auto" w:fill="auto"/>
            <w:noWrap/>
            <w:vAlign w:val="bottom"/>
          </w:tcPr>
          <w:p w:rsidR="00874E67" w:rsidRDefault="00874E67">
            <w:r>
              <w:t>GAZP</w:t>
            </w:r>
          </w:p>
        </w:tc>
        <w:tc>
          <w:tcPr>
            <w:tcW w:w="80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5</w:t>
            </w:r>
          </w:p>
        </w:tc>
        <w:tc>
          <w:tcPr>
            <w:tcW w:w="14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20070907</w:t>
            </w:r>
          </w:p>
        </w:tc>
        <w:tc>
          <w:tcPr>
            <w:tcW w:w="10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112000</w:t>
            </w:r>
          </w:p>
        </w:tc>
        <w:tc>
          <w:tcPr>
            <w:tcW w:w="1100" w:type="dxa"/>
            <w:tcBorders>
              <w:top w:val="nil"/>
              <w:left w:val="single" w:sz="4" w:space="0" w:color="000000"/>
              <w:bottom w:val="single" w:sz="4" w:space="0" w:color="000000"/>
              <w:right w:val="single" w:sz="4" w:space="0" w:color="000000"/>
            </w:tcBorders>
            <w:shd w:val="clear" w:color="auto" w:fill="auto"/>
            <w:noWrap/>
            <w:vAlign w:val="bottom"/>
          </w:tcPr>
          <w:p w:rsidR="00874E67" w:rsidRDefault="00874E67">
            <w:pPr>
              <w:jc w:val="right"/>
            </w:pPr>
            <w:r>
              <w:t>266,25</w:t>
            </w:r>
          </w:p>
        </w:tc>
        <w:tc>
          <w:tcPr>
            <w:tcW w:w="1228" w:type="dxa"/>
            <w:tcBorders>
              <w:top w:val="nil"/>
              <w:left w:val="nil"/>
              <w:bottom w:val="nil"/>
              <w:right w:val="nil"/>
            </w:tcBorders>
            <w:shd w:val="clear" w:color="auto" w:fill="auto"/>
            <w:noWrap/>
            <w:vAlign w:val="bottom"/>
          </w:tcPr>
          <w:p w:rsidR="00874E67" w:rsidRDefault="00874E67">
            <w:pPr>
              <w:jc w:val="right"/>
              <w:rPr>
                <w:rFonts w:ascii="Arial" w:hAnsi="Arial" w:cs="Arial"/>
                <w:sz w:val="20"/>
                <w:szCs w:val="20"/>
              </w:rPr>
            </w:pPr>
            <w:r>
              <w:rPr>
                <w:rFonts w:ascii="Arial" w:hAnsi="Arial" w:cs="Arial"/>
                <w:sz w:val="20"/>
                <w:szCs w:val="20"/>
              </w:rPr>
              <w:t>0,00045</w:t>
            </w:r>
          </w:p>
        </w:tc>
      </w:tr>
      <w:tr w:rsidR="00874E67">
        <w:trPr>
          <w:trHeight w:val="315"/>
          <w:jc w:val="center"/>
        </w:trPr>
        <w:tc>
          <w:tcPr>
            <w:tcW w:w="1220" w:type="dxa"/>
            <w:tcBorders>
              <w:top w:val="nil"/>
              <w:left w:val="single" w:sz="4" w:space="0" w:color="000000"/>
              <w:bottom w:val="single" w:sz="4" w:space="0" w:color="000000"/>
              <w:right w:val="nil"/>
            </w:tcBorders>
            <w:shd w:val="clear" w:color="auto" w:fill="auto"/>
            <w:noWrap/>
            <w:vAlign w:val="bottom"/>
          </w:tcPr>
          <w:p w:rsidR="00874E67" w:rsidRDefault="00874E67">
            <w:r>
              <w:t>GAZP</w:t>
            </w:r>
          </w:p>
        </w:tc>
        <w:tc>
          <w:tcPr>
            <w:tcW w:w="80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5</w:t>
            </w:r>
          </w:p>
        </w:tc>
        <w:tc>
          <w:tcPr>
            <w:tcW w:w="14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20070907</w:t>
            </w:r>
          </w:p>
        </w:tc>
        <w:tc>
          <w:tcPr>
            <w:tcW w:w="10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112500</w:t>
            </w:r>
          </w:p>
        </w:tc>
        <w:tc>
          <w:tcPr>
            <w:tcW w:w="1100" w:type="dxa"/>
            <w:tcBorders>
              <w:top w:val="nil"/>
              <w:left w:val="single" w:sz="4" w:space="0" w:color="000000"/>
              <w:bottom w:val="single" w:sz="4" w:space="0" w:color="000000"/>
              <w:right w:val="single" w:sz="4" w:space="0" w:color="000000"/>
            </w:tcBorders>
            <w:shd w:val="clear" w:color="auto" w:fill="auto"/>
            <w:noWrap/>
            <w:vAlign w:val="bottom"/>
          </w:tcPr>
          <w:p w:rsidR="00874E67" w:rsidRDefault="00874E67">
            <w:pPr>
              <w:jc w:val="right"/>
            </w:pPr>
            <w:r>
              <w:t>266</w:t>
            </w:r>
          </w:p>
        </w:tc>
        <w:tc>
          <w:tcPr>
            <w:tcW w:w="1228" w:type="dxa"/>
            <w:tcBorders>
              <w:top w:val="nil"/>
              <w:left w:val="nil"/>
              <w:bottom w:val="nil"/>
              <w:right w:val="nil"/>
            </w:tcBorders>
            <w:shd w:val="clear" w:color="auto" w:fill="auto"/>
            <w:noWrap/>
            <w:vAlign w:val="bottom"/>
          </w:tcPr>
          <w:p w:rsidR="00874E67" w:rsidRDefault="00874E67">
            <w:pPr>
              <w:jc w:val="right"/>
              <w:rPr>
                <w:rFonts w:ascii="Arial" w:hAnsi="Arial" w:cs="Arial"/>
                <w:sz w:val="20"/>
                <w:szCs w:val="20"/>
              </w:rPr>
            </w:pPr>
            <w:r>
              <w:rPr>
                <w:rFonts w:ascii="Arial" w:hAnsi="Arial" w:cs="Arial"/>
                <w:sz w:val="20"/>
                <w:szCs w:val="20"/>
              </w:rPr>
              <w:t>-0,00094</w:t>
            </w:r>
          </w:p>
        </w:tc>
      </w:tr>
      <w:tr w:rsidR="00874E67">
        <w:trPr>
          <w:trHeight w:val="315"/>
          <w:jc w:val="center"/>
        </w:trPr>
        <w:tc>
          <w:tcPr>
            <w:tcW w:w="1220" w:type="dxa"/>
            <w:tcBorders>
              <w:top w:val="nil"/>
              <w:left w:val="single" w:sz="4" w:space="0" w:color="000000"/>
              <w:bottom w:val="single" w:sz="4" w:space="0" w:color="000000"/>
              <w:right w:val="nil"/>
            </w:tcBorders>
            <w:shd w:val="clear" w:color="auto" w:fill="auto"/>
            <w:noWrap/>
            <w:vAlign w:val="bottom"/>
          </w:tcPr>
          <w:p w:rsidR="00874E67" w:rsidRDefault="00874E67">
            <w:r>
              <w:t>GAZP</w:t>
            </w:r>
          </w:p>
        </w:tc>
        <w:tc>
          <w:tcPr>
            <w:tcW w:w="80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5</w:t>
            </w:r>
          </w:p>
        </w:tc>
        <w:tc>
          <w:tcPr>
            <w:tcW w:w="14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20070907</w:t>
            </w:r>
          </w:p>
        </w:tc>
        <w:tc>
          <w:tcPr>
            <w:tcW w:w="10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113000</w:t>
            </w:r>
          </w:p>
        </w:tc>
        <w:tc>
          <w:tcPr>
            <w:tcW w:w="1100" w:type="dxa"/>
            <w:tcBorders>
              <w:top w:val="nil"/>
              <w:left w:val="single" w:sz="4" w:space="0" w:color="000000"/>
              <w:bottom w:val="single" w:sz="4" w:space="0" w:color="000000"/>
              <w:right w:val="single" w:sz="4" w:space="0" w:color="000000"/>
            </w:tcBorders>
            <w:shd w:val="clear" w:color="auto" w:fill="auto"/>
            <w:noWrap/>
            <w:vAlign w:val="bottom"/>
          </w:tcPr>
          <w:p w:rsidR="00874E67" w:rsidRDefault="00874E67">
            <w:pPr>
              <w:jc w:val="right"/>
            </w:pPr>
            <w:r>
              <w:t>265,93</w:t>
            </w:r>
          </w:p>
        </w:tc>
        <w:tc>
          <w:tcPr>
            <w:tcW w:w="1228" w:type="dxa"/>
            <w:tcBorders>
              <w:top w:val="nil"/>
              <w:left w:val="nil"/>
              <w:bottom w:val="nil"/>
              <w:right w:val="nil"/>
            </w:tcBorders>
            <w:shd w:val="clear" w:color="auto" w:fill="auto"/>
            <w:noWrap/>
            <w:vAlign w:val="bottom"/>
          </w:tcPr>
          <w:p w:rsidR="00874E67" w:rsidRDefault="00874E67">
            <w:pPr>
              <w:jc w:val="right"/>
              <w:rPr>
                <w:rFonts w:ascii="Arial" w:hAnsi="Arial" w:cs="Arial"/>
                <w:sz w:val="20"/>
                <w:szCs w:val="20"/>
              </w:rPr>
            </w:pPr>
            <w:r>
              <w:rPr>
                <w:rFonts w:ascii="Arial" w:hAnsi="Arial" w:cs="Arial"/>
                <w:sz w:val="20"/>
                <w:szCs w:val="20"/>
              </w:rPr>
              <w:t>-0,00026</w:t>
            </w:r>
          </w:p>
        </w:tc>
      </w:tr>
      <w:tr w:rsidR="00874E67">
        <w:trPr>
          <w:trHeight w:val="315"/>
          <w:jc w:val="center"/>
        </w:trPr>
        <w:tc>
          <w:tcPr>
            <w:tcW w:w="1220" w:type="dxa"/>
            <w:tcBorders>
              <w:top w:val="nil"/>
              <w:left w:val="single" w:sz="4" w:space="0" w:color="000000"/>
              <w:bottom w:val="single" w:sz="4" w:space="0" w:color="000000"/>
              <w:right w:val="nil"/>
            </w:tcBorders>
            <w:shd w:val="clear" w:color="auto" w:fill="auto"/>
            <w:noWrap/>
            <w:vAlign w:val="bottom"/>
          </w:tcPr>
          <w:p w:rsidR="00874E67" w:rsidRDefault="00874E67">
            <w:r>
              <w:t>GAZP</w:t>
            </w:r>
          </w:p>
        </w:tc>
        <w:tc>
          <w:tcPr>
            <w:tcW w:w="80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5</w:t>
            </w:r>
          </w:p>
        </w:tc>
        <w:tc>
          <w:tcPr>
            <w:tcW w:w="14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20070907</w:t>
            </w:r>
          </w:p>
        </w:tc>
        <w:tc>
          <w:tcPr>
            <w:tcW w:w="10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113500</w:t>
            </w:r>
          </w:p>
        </w:tc>
        <w:tc>
          <w:tcPr>
            <w:tcW w:w="1100" w:type="dxa"/>
            <w:tcBorders>
              <w:top w:val="nil"/>
              <w:left w:val="single" w:sz="4" w:space="0" w:color="000000"/>
              <w:bottom w:val="single" w:sz="4" w:space="0" w:color="000000"/>
              <w:right w:val="single" w:sz="4" w:space="0" w:color="000000"/>
            </w:tcBorders>
            <w:shd w:val="clear" w:color="auto" w:fill="auto"/>
            <w:noWrap/>
            <w:vAlign w:val="bottom"/>
          </w:tcPr>
          <w:p w:rsidR="00874E67" w:rsidRDefault="00874E67">
            <w:pPr>
              <w:jc w:val="right"/>
            </w:pPr>
            <w:r>
              <w:t>265,9</w:t>
            </w:r>
          </w:p>
        </w:tc>
        <w:tc>
          <w:tcPr>
            <w:tcW w:w="1228" w:type="dxa"/>
            <w:tcBorders>
              <w:top w:val="nil"/>
              <w:left w:val="nil"/>
              <w:bottom w:val="nil"/>
              <w:right w:val="nil"/>
            </w:tcBorders>
            <w:shd w:val="clear" w:color="auto" w:fill="auto"/>
            <w:noWrap/>
            <w:vAlign w:val="bottom"/>
          </w:tcPr>
          <w:p w:rsidR="00874E67" w:rsidRDefault="00874E67">
            <w:pPr>
              <w:jc w:val="right"/>
              <w:rPr>
                <w:rFonts w:ascii="Arial" w:hAnsi="Arial" w:cs="Arial"/>
                <w:sz w:val="20"/>
                <w:szCs w:val="20"/>
              </w:rPr>
            </w:pPr>
            <w:r>
              <w:rPr>
                <w:rFonts w:ascii="Arial" w:hAnsi="Arial" w:cs="Arial"/>
                <w:sz w:val="20"/>
                <w:szCs w:val="20"/>
              </w:rPr>
              <w:t>-0,00011</w:t>
            </w:r>
          </w:p>
        </w:tc>
      </w:tr>
      <w:tr w:rsidR="00874E67">
        <w:trPr>
          <w:trHeight w:val="315"/>
          <w:jc w:val="center"/>
        </w:trPr>
        <w:tc>
          <w:tcPr>
            <w:tcW w:w="1220" w:type="dxa"/>
            <w:tcBorders>
              <w:top w:val="nil"/>
              <w:left w:val="single" w:sz="4" w:space="0" w:color="000000"/>
              <w:bottom w:val="single" w:sz="4" w:space="0" w:color="000000"/>
              <w:right w:val="nil"/>
            </w:tcBorders>
            <w:shd w:val="clear" w:color="auto" w:fill="auto"/>
            <w:noWrap/>
            <w:vAlign w:val="bottom"/>
          </w:tcPr>
          <w:p w:rsidR="00874E67" w:rsidRDefault="00874E67">
            <w:r>
              <w:t>GAZP</w:t>
            </w:r>
          </w:p>
        </w:tc>
        <w:tc>
          <w:tcPr>
            <w:tcW w:w="80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5</w:t>
            </w:r>
          </w:p>
        </w:tc>
        <w:tc>
          <w:tcPr>
            <w:tcW w:w="14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20070907</w:t>
            </w:r>
          </w:p>
        </w:tc>
        <w:tc>
          <w:tcPr>
            <w:tcW w:w="10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114000</w:t>
            </w:r>
          </w:p>
        </w:tc>
        <w:tc>
          <w:tcPr>
            <w:tcW w:w="1100" w:type="dxa"/>
            <w:tcBorders>
              <w:top w:val="nil"/>
              <w:left w:val="single" w:sz="4" w:space="0" w:color="000000"/>
              <w:bottom w:val="single" w:sz="4" w:space="0" w:color="000000"/>
              <w:right w:val="single" w:sz="4" w:space="0" w:color="000000"/>
            </w:tcBorders>
            <w:shd w:val="clear" w:color="auto" w:fill="auto"/>
            <w:noWrap/>
            <w:vAlign w:val="bottom"/>
          </w:tcPr>
          <w:p w:rsidR="00874E67" w:rsidRDefault="00874E67">
            <w:pPr>
              <w:jc w:val="right"/>
            </w:pPr>
            <w:r>
              <w:t>266,15</w:t>
            </w:r>
          </w:p>
        </w:tc>
        <w:tc>
          <w:tcPr>
            <w:tcW w:w="1228" w:type="dxa"/>
            <w:tcBorders>
              <w:top w:val="nil"/>
              <w:left w:val="nil"/>
              <w:bottom w:val="nil"/>
              <w:right w:val="nil"/>
            </w:tcBorders>
            <w:shd w:val="clear" w:color="auto" w:fill="auto"/>
            <w:noWrap/>
            <w:vAlign w:val="bottom"/>
          </w:tcPr>
          <w:p w:rsidR="00874E67" w:rsidRDefault="00874E67">
            <w:pPr>
              <w:jc w:val="right"/>
              <w:rPr>
                <w:rFonts w:ascii="Arial" w:hAnsi="Arial" w:cs="Arial"/>
                <w:sz w:val="20"/>
                <w:szCs w:val="20"/>
              </w:rPr>
            </w:pPr>
            <w:r>
              <w:rPr>
                <w:rFonts w:ascii="Arial" w:hAnsi="Arial" w:cs="Arial"/>
                <w:sz w:val="20"/>
                <w:szCs w:val="20"/>
              </w:rPr>
              <w:t>0,00094</w:t>
            </w:r>
          </w:p>
        </w:tc>
      </w:tr>
      <w:tr w:rsidR="00874E67">
        <w:trPr>
          <w:trHeight w:val="315"/>
          <w:jc w:val="center"/>
        </w:trPr>
        <w:tc>
          <w:tcPr>
            <w:tcW w:w="1220" w:type="dxa"/>
            <w:tcBorders>
              <w:top w:val="nil"/>
              <w:left w:val="single" w:sz="4" w:space="0" w:color="000000"/>
              <w:bottom w:val="single" w:sz="4" w:space="0" w:color="000000"/>
              <w:right w:val="nil"/>
            </w:tcBorders>
            <w:shd w:val="clear" w:color="auto" w:fill="auto"/>
            <w:noWrap/>
            <w:vAlign w:val="bottom"/>
          </w:tcPr>
          <w:p w:rsidR="00874E67" w:rsidRDefault="00874E67">
            <w:r>
              <w:t>GAZP</w:t>
            </w:r>
          </w:p>
        </w:tc>
        <w:tc>
          <w:tcPr>
            <w:tcW w:w="80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5</w:t>
            </w:r>
          </w:p>
        </w:tc>
        <w:tc>
          <w:tcPr>
            <w:tcW w:w="14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20070907</w:t>
            </w:r>
          </w:p>
        </w:tc>
        <w:tc>
          <w:tcPr>
            <w:tcW w:w="10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114500</w:t>
            </w:r>
          </w:p>
        </w:tc>
        <w:tc>
          <w:tcPr>
            <w:tcW w:w="1100" w:type="dxa"/>
            <w:tcBorders>
              <w:top w:val="nil"/>
              <w:left w:val="single" w:sz="4" w:space="0" w:color="000000"/>
              <w:bottom w:val="single" w:sz="4" w:space="0" w:color="000000"/>
              <w:right w:val="single" w:sz="4" w:space="0" w:color="000000"/>
            </w:tcBorders>
            <w:shd w:val="clear" w:color="auto" w:fill="auto"/>
            <w:noWrap/>
            <w:vAlign w:val="bottom"/>
          </w:tcPr>
          <w:p w:rsidR="00874E67" w:rsidRDefault="00874E67">
            <w:pPr>
              <w:jc w:val="right"/>
            </w:pPr>
            <w:r>
              <w:t>266,22</w:t>
            </w:r>
          </w:p>
        </w:tc>
        <w:tc>
          <w:tcPr>
            <w:tcW w:w="1228" w:type="dxa"/>
            <w:tcBorders>
              <w:top w:val="nil"/>
              <w:left w:val="nil"/>
              <w:bottom w:val="nil"/>
              <w:right w:val="nil"/>
            </w:tcBorders>
            <w:shd w:val="clear" w:color="auto" w:fill="auto"/>
            <w:noWrap/>
            <w:vAlign w:val="bottom"/>
          </w:tcPr>
          <w:p w:rsidR="00874E67" w:rsidRDefault="00874E67">
            <w:pPr>
              <w:jc w:val="right"/>
              <w:rPr>
                <w:rFonts w:ascii="Arial" w:hAnsi="Arial" w:cs="Arial"/>
                <w:sz w:val="20"/>
                <w:szCs w:val="20"/>
              </w:rPr>
            </w:pPr>
            <w:r>
              <w:rPr>
                <w:rFonts w:ascii="Arial" w:hAnsi="Arial" w:cs="Arial"/>
                <w:sz w:val="20"/>
                <w:szCs w:val="20"/>
              </w:rPr>
              <w:t>0,00026</w:t>
            </w:r>
          </w:p>
        </w:tc>
      </w:tr>
      <w:tr w:rsidR="00874E67">
        <w:trPr>
          <w:trHeight w:val="315"/>
          <w:jc w:val="center"/>
        </w:trPr>
        <w:tc>
          <w:tcPr>
            <w:tcW w:w="1220" w:type="dxa"/>
            <w:tcBorders>
              <w:top w:val="nil"/>
              <w:left w:val="single" w:sz="4" w:space="0" w:color="000000"/>
              <w:bottom w:val="single" w:sz="4" w:space="0" w:color="000000"/>
              <w:right w:val="nil"/>
            </w:tcBorders>
            <w:shd w:val="clear" w:color="auto" w:fill="auto"/>
            <w:noWrap/>
            <w:vAlign w:val="bottom"/>
          </w:tcPr>
          <w:p w:rsidR="00874E67" w:rsidRDefault="00874E67">
            <w:r>
              <w:t>GAZP</w:t>
            </w:r>
          </w:p>
        </w:tc>
        <w:tc>
          <w:tcPr>
            <w:tcW w:w="80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5</w:t>
            </w:r>
          </w:p>
        </w:tc>
        <w:tc>
          <w:tcPr>
            <w:tcW w:w="14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20070907</w:t>
            </w:r>
          </w:p>
        </w:tc>
        <w:tc>
          <w:tcPr>
            <w:tcW w:w="10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115000</w:t>
            </w:r>
          </w:p>
        </w:tc>
        <w:tc>
          <w:tcPr>
            <w:tcW w:w="1100" w:type="dxa"/>
            <w:tcBorders>
              <w:top w:val="nil"/>
              <w:left w:val="single" w:sz="4" w:space="0" w:color="000000"/>
              <w:bottom w:val="single" w:sz="4" w:space="0" w:color="000000"/>
              <w:right w:val="single" w:sz="4" w:space="0" w:color="000000"/>
            </w:tcBorders>
            <w:shd w:val="clear" w:color="auto" w:fill="auto"/>
            <w:noWrap/>
            <w:vAlign w:val="bottom"/>
          </w:tcPr>
          <w:p w:rsidR="00874E67" w:rsidRDefault="00874E67">
            <w:pPr>
              <w:jc w:val="right"/>
            </w:pPr>
            <w:r>
              <w:t>266,25</w:t>
            </w:r>
          </w:p>
        </w:tc>
        <w:tc>
          <w:tcPr>
            <w:tcW w:w="1228" w:type="dxa"/>
            <w:tcBorders>
              <w:top w:val="nil"/>
              <w:left w:val="nil"/>
              <w:bottom w:val="nil"/>
              <w:right w:val="nil"/>
            </w:tcBorders>
            <w:shd w:val="clear" w:color="auto" w:fill="auto"/>
            <w:noWrap/>
            <w:vAlign w:val="bottom"/>
          </w:tcPr>
          <w:p w:rsidR="00874E67" w:rsidRDefault="00874E67">
            <w:pPr>
              <w:jc w:val="right"/>
              <w:rPr>
                <w:rFonts w:ascii="Arial" w:hAnsi="Arial" w:cs="Arial"/>
                <w:sz w:val="20"/>
                <w:szCs w:val="20"/>
              </w:rPr>
            </w:pPr>
            <w:r>
              <w:rPr>
                <w:rFonts w:ascii="Arial" w:hAnsi="Arial" w:cs="Arial"/>
                <w:sz w:val="20"/>
                <w:szCs w:val="20"/>
              </w:rPr>
              <w:t>0,00011</w:t>
            </w:r>
          </w:p>
        </w:tc>
      </w:tr>
      <w:tr w:rsidR="00874E67">
        <w:trPr>
          <w:trHeight w:val="315"/>
          <w:jc w:val="center"/>
        </w:trPr>
        <w:tc>
          <w:tcPr>
            <w:tcW w:w="1220" w:type="dxa"/>
            <w:tcBorders>
              <w:top w:val="nil"/>
              <w:left w:val="single" w:sz="4" w:space="0" w:color="000000"/>
              <w:bottom w:val="single" w:sz="4" w:space="0" w:color="000000"/>
              <w:right w:val="nil"/>
            </w:tcBorders>
            <w:shd w:val="clear" w:color="auto" w:fill="auto"/>
            <w:noWrap/>
            <w:vAlign w:val="bottom"/>
          </w:tcPr>
          <w:p w:rsidR="00874E67" w:rsidRDefault="00874E67">
            <w:r>
              <w:t>GAZP</w:t>
            </w:r>
          </w:p>
        </w:tc>
        <w:tc>
          <w:tcPr>
            <w:tcW w:w="80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5</w:t>
            </w:r>
          </w:p>
        </w:tc>
        <w:tc>
          <w:tcPr>
            <w:tcW w:w="14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20070907</w:t>
            </w:r>
          </w:p>
        </w:tc>
        <w:tc>
          <w:tcPr>
            <w:tcW w:w="10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115500</w:t>
            </w:r>
          </w:p>
        </w:tc>
        <w:tc>
          <w:tcPr>
            <w:tcW w:w="1100" w:type="dxa"/>
            <w:tcBorders>
              <w:top w:val="nil"/>
              <w:left w:val="single" w:sz="4" w:space="0" w:color="000000"/>
              <w:bottom w:val="single" w:sz="4" w:space="0" w:color="000000"/>
              <w:right w:val="single" w:sz="4" w:space="0" w:color="000000"/>
            </w:tcBorders>
            <w:shd w:val="clear" w:color="auto" w:fill="auto"/>
            <w:noWrap/>
            <w:vAlign w:val="bottom"/>
          </w:tcPr>
          <w:p w:rsidR="00874E67" w:rsidRDefault="00874E67">
            <w:pPr>
              <w:jc w:val="right"/>
            </w:pPr>
            <w:r>
              <w:t>265,95</w:t>
            </w:r>
          </w:p>
        </w:tc>
        <w:tc>
          <w:tcPr>
            <w:tcW w:w="1228" w:type="dxa"/>
            <w:tcBorders>
              <w:top w:val="nil"/>
              <w:left w:val="nil"/>
              <w:bottom w:val="nil"/>
              <w:right w:val="nil"/>
            </w:tcBorders>
            <w:shd w:val="clear" w:color="auto" w:fill="auto"/>
            <w:noWrap/>
            <w:vAlign w:val="bottom"/>
          </w:tcPr>
          <w:p w:rsidR="00874E67" w:rsidRDefault="00874E67">
            <w:pPr>
              <w:jc w:val="right"/>
              <w:rPr>
                <w:rFonts w:ascii="Arial" w:hAnsi="Arial" w:cs="Arial"/>
                <w:sz w:val="20"/>
                <w:szCs w:val="20"/>
              </w:rPr>
            </w:pPr>
            <w:r>
              <w:rPr>
                <w:rFonts w:ascii="Arial" w:hAnsi="Arial" w:cs="Arial"/>
                <w:sz w:val="20"/>
                <w:szCs w:val="20"/>
              </w:rPr>
              <w:t>-0,00113</w:t>
            </w:r>
          </w:p>
        </w:tc>
      </w:tr>
      <w:tr w:rsidR="00874E67">
        <w:trPr>
          <w:trHeight w:val="315"/>
          <w:jc w:val="center"/>
        </w:trPr>
        <w:tc>
          <w:tcPr>
            <w:tcW w:w="1220" w:type="dxa"/>
            <w:tcBorders>
              <w:top w:val="nil"/>
              <w:left w:val="single" w:sz="4" w:space="0" w:color="000000"/>
              <w:bottom w:val="single" w:sz="4" w:space="0" w:color="000000"/>
              <w:right w:val="nil"/>
            </w:tcBorders>
            <w:shd w:val="clear" w:color="auto" w:fill="auto"/>
            <w:noWrap/>
            <w:vAlign w:val="bottom"/>
          </w:tcPr>
          <w:p w:rsidR="00874E67" w:rsidRDefault="00874E67">
            <w:r>
              <w:t>GAZP</w:t>
            </w:r>
          </w:p>
        </w:tc>
        <w:tc>
          <w:tcPr>
            <w:tcW w:w="80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5</w:t>
            </w:r>
          </w:p>
        </w:tc>
        <w:tc>
          <w:tcPr>
            <w:tcW w:w="14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20070907</w:t>
            </w:r>
          </w:p>
        </w:tc>
        <w:tc>
          <w:tcPr>
            <w:tcW w:w="10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120000</w:t>
            </w:r>
          </w:p>
        </w:tc>
        <w:tc>
          <w:tcPr>
            <w:tcW w:w="1100" w:type="dxa"/>
            <w:tcBorders>
              <w:top w:val="nil"/>
              <w:left w:val="single" w:sz="4" w:space="0" w:color="000000"/>
              <w:bottom w:val="single" w:sz="4" w:space="0" w:color="000000"/>
              <w:right w:val="single" w:sz="4" w:space="0" w:color="000000"/>
            </w:tcBorders>
            <w:shd w:val="clear" w:color="auto" w:fill="auto"/>
            <w:noWrap/>
            <w:vAlign w:val="bottom"/>
          </w:tcPr>
          <w:p w:rsidR="00874E67" w:rsidRDefault="00874E67">
            <w:pPr>
              <w:jc w:val="right"/>
            </w:pPr>
            <w:r>
              <w:t>265,92</w:t>
            </w:r>
          </w:p>
        </w:tc>
        <w:tc>
          <w:tcPr>
            <w:tcW w:w="1228" w:type="dxa"/>
            <w:tcBorders>
              <w:top w:val="nil"/>
              <w:left w:val="nil"/>
              <w:bottom w:val="nil"/>
              <w:right w:val="nil"/>
            </w:tcBorders>
            <w:shd w:val="clear" w:color="auto" w:fill="auto"/>
            <w:noWrap/>
            <w:vAlign w:val="bottom"/>
          </w:tcPr>
          <w:p w:rsidR="00874E67" w:rsidRDefault="00874E67">
            <w:pPr>
              <w:jc w:val="right"/>
              <w:rPr>
                <w:rFonts w:ascii="Arial" w:hAnsi="Arial" w:cs="Arial"/>
                <w:sz w:val="20"/>
                <w:szCs w:val="20"/>
              </w:rPr>
            </w:pPr>
            <w:r>
              <w:rPr>
                <w:rFonts w:ascii="Arial" w:hAnsi="Arial" w:cs="Arial"/>
                <w:sz w:val="20"/>
                <w:szCs w:val="20"/>
              </w:rPr>
              <w:t>-0,00011</w:t>
            </w:r>
          </w:p>
        </w:tc>
      </w:tr>
      <w:tr w:rsidR="00874E67">
        <w:trPr>
          <w:trHeight w:val="315"/>
          <w:jc w:val="center"/>
        </w:trPr>
        <w:tc>
          <w:tcPr>
            <w:tcW w:w="1220" w:type="dxa"/>
            <w:tcBorders>
              <w:top w:val="nil"/>
              <w:left w:val="single" w:sz="4" w:space="0" w:color="000000"/>
              <w:bottom w:val="single" w:sz="4" w:space="0" w:color="000000"/>
              <w:right w:val="nil"/>
            </w:tcBorders>
            <w:shd w:val="clear" w:color="auto" w:fill="auto"/>
            <w:noWrap/>
            <w:vAlign w:val="bottom"/>
          </w:tcPr>
          <w:p w:rsidR="00874E67" w:rsidRDefault="00874E67">
            <w:r>
              <w:t>GAZP</w:t>
            </w:r>
          </w:p>
        </w:tc>
        <w:tc>
          <w:tcPr>
            <w:tcW w:w="80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5</w:t>
            </w:r>
          </w:p>
        </w:tc>
        <w:tc>
          <w:tcPr>
            <w:tcW w:w="14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20070907</w:t>
            </w:r>
          </w:p>
        </w:tc>
        <w:tc>
          <w:tcPr>
            <w:tcW w:w="10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120500</w:t>
            </w:r>
          </w:p>
        </w:tc>
        <w:tc>
          <w:tcPr>
            <w:tcW w:w="1100" w:type="dxa"/>
            <w:tcBorders>
              <w:top w:val="nil"/>
              <w:left w:val="single" w:sz="4" w:space="0" w:color="000000"/>
              <w:bottom w:val="single" w:sz="4" w:space="0" w:color="000000"/>
              <w:right w:val="single" w:sz="4" w:space="0" w:color="000000"/>
            </w:tcBorders>
            <w:shd w:val="clear" w:color="auto" w:fill="auto"/>
            <w:noWrap/>
            <w:vAlign w:val="bottom"/>
          </w:tcPr>
          <w:p w:rsidR="00874E67" w:rsidRDefault="00874E67">
            <w:pPr>
              <w:jc w:val="right"/>
            </w:pPr>
            <w:r>
              <w:t>265,93</w:t>
            </w:r>
          </w:p>
        </w:tc>
        <w:tc>
          <w:tcPr>
            <w:tcW w:w="1228" w:type="dxa"/>
            <w:tcBorders>
              <w:top w:val="nil"/>
              <w:left w:val="nil"/>
              <w:bottom w:val="nil"/>
              <w:right w:val="nil"/>
            </w:tcBorders>
            <w:shd w:val="clear" w:color="auto" w:fill="auto"/>
            <w:noWrap/>
            <w:vAlign w:val="bottom"/>
          </w:tcPr>
          <w:p w:rsidR="00874E67" w:rsidRDefault="00874E67">
            <w:pPr>
              <w:jc w:val="right"/>
              <w:rPr>
                <w:rFonts w:ascii="Arial" w:hAnsi="Arial" w:cs="Arial"/>
                <w:sz w:val="20"/>
                <w:szCs w:val="20"/>
              </w:rPr>
            </w:pPr>
            <w:r>
              <w:rPr>
                <w:rFonts w:ascii="Arial" w:hAnsi="Arial" w:cs="Arial"/>
                <w:sz w:val="20"/>
                <w:szCs w:val="20"/>
              </w:rPr>
              <w:t>0,00004</w:t>
            </w:r>
          </w:p>
        </w:tc>
      </w:tr>
      <w:tr w:rsidR="00874E67">
        <w:trPr>
          <w:trHeight w:val="315"/>
          <w:jc w:val="center"/>
        </w:trPr>
        <w:tc>
          <w:tcPr>
            <w:tcW w:w="1220" w:type="dxa"/>
            <w:tcBorders>
              <w:top w:val="nil"/>
              <w:left w:val="single" w:sz="4" w:space="0" w:color="000000"/>
              <w:bottom w:val="single" w:sz="4" w:space="0" w:color="000000"/>
              <w:right w:val="nil"/>
            </w:tcBorders>
            <w:shd w:val="clear" w:color="auto" w:fill="auto"/>
            <w:noWrap/>
            <w:vAlign w:val="bottom"/>
          </w:tcPr>
          <w:p w:rsidR="00874E67" w:rsidRDefault="00874E67">
            <w:r>
              <w:t>GAZP</w:t>
            </w:r>
          </w:p>
        </w:tc>
        <w:tc>
          <w:tcPr>
            <w:tcW w:w="80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5</w:t>
            </w:r>
          </w:p>
        </w:tc>
        <w:tc>
          <w:tcPr>
            <w:tcW w:w="14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20070907</w:t>
            </w:r>
          </w:p>
        </w:tc>
        <w:tc>
          <w:tcPr>
            <w:tcW w:w="1020" w:type="dxa"/>
            <w:tcBorders>
              <w:top w:val="nil"/>
              <w:left w:val="single" w:sz="4" w:space="0" w:color="000000"/>
              <w:bottom w:val="single" w:sz="4" w:space="0" w:color="000000"/>
              <w:right w:val="nil"/>
            </w:tcBorders>
            <w:shd w:val="clear" w:color="auto" w:fill="auto"/>
            <w:noWrap/>
            <w:vAlign w:val="bottom"/>
          </w:tcPr>
          <w:p w:rsidR="00874E67" w:rsidRDefault="00874E67">
            <w:pPr>
              <w:jc w:val="right"/>
            </w:pPr>
            <w:r>
              <w:t>121000</w:t>
            </w:r>
          </w:p>
        </w:tc>
        <w:tc>
          <w:tcPr>
            <w:tcW w:w="1100" w:type="dxa"/>
            <w:tcBorders>
              <w:top w:val="nil"/>
              <w:left w:val="single" w:sz="4" w:space="0" w:color="000000"/>
              <w:bottom w:val="single" w:sz="4" w:space="0" w:color="000000"/>
              <w:right w:val="single" w:sz="4" w:space="0" w:color="000000"/>
            </w:tcBorders>
            <w:shd w:val="clear" w:color="auto" w:fill="auto"/>
            <w:noWrap/>
            <w:vAlign w:val="bottom"/>
          </w:tcPr>
          <w:p w:rsidR="00874E67" w:rsidRDefault="00874E67">
            <w:pPr>
              <w:jc w:val="right"/>
            </w:pPr>
            <w:r>
              <w:t>266,16</w:t>
            </w:r>
          </w:p>
        </w:tc>
        <w:tc>
          <w:tcPr>
            <w:tcW w:w="1228" w:type="dxa"/>
            <w:tcBorders>
              <w:top w:val="nil"/>
              <w:left w:val="nil"/>
              <w:bottom w:val="nil"/>
              <w:right w:val="nil"/>
            </w:tcBorders>
            <w:shd w:val="clear" w:color="auto" w:fill="auto"/>
            <w:noWrap/>
            <w:vAlign w:val="bottom"/>
          </w:tcPr>
          <w:p w:rsidR="00874E67" w:rsidRDefault="00874E67">
            <w:pPr>
              <w:jc w:val="right"/>
              <w:rPr>
                <w:rFonts w:ascii="Arial" w:hAnsi="Arial" w:cs="Arial"/>
                <w:sz w:val="20"/>
                <w:szCs w:val="20"/>
              </w:rPr>
            </w:pPr>
            <w:r>
              <w:rPr>
                <w:rFonts w:ascii="Arial" w:hAnsi="Arial" w:cs="Arial"/>
                <w:sz w:val="20"/>
                <w:szCs w:val="20"/>
              </w:rPr>
              <w:t>0,00086</w:t>
            </w:r>
          </w:p>
        </w:tc>
      </w:tr>
    </w:tbl>
    <w:p w:rsidR="00874E67" w:rsidRDefault="00874E67" w:rsidP="005A0997">
      <w:pPr>
        <w:ind w:firstLine="900"/>
        <w:jc w:val="both"/>
      </w:pPr>
    </w:p>
    <w:p w:rsidR="00874E67" w:rsidRPr="00874E67" w:rsidRDefault="00874E67" w:rsidP="00874E67">
      <w:pPr>
        <w:ind w:firstLine="900"/>
        <w:jc w:val="center"/>
        <w:rPr>
          <w:i/>
        </w:rPr>
      </w:pPr>
      <w:r w:rsidRPr="00874E67">
        <w:rPr>
          <w:i/>
        </w:rPr>
        <w:t>Таблица 1</w:t>
      </w:r>
    </w:p>
    <w:p w:rsidR="00874E67" w:rsidRDefault="00874E67" w:rsidP="005A0997">
      <w:pPr>
        <w:ind w:firstLine="900"/>
        <w:jc w:val="both"/>
      </w:pPr>
    </w:p>
    <w:p w:rsidR="00215611" w:rsidRDefault="00215611" w:rsidP="005A0997">
      <w:pPr>
        <w:ind w:firstLine="900"/>
        <w:jc w:val="both"/>
      </w:pPr>
      <w:r>
        <w:t xml:space="preserve">Считается, что доходность нормально </w:t>
      </w:r>
      <w:r w:rsidR="00874E67">
        <w:t>распределена,</w:t>
      </w:r>
      <w:r>
        <w:t xml:space="preserve"> поэтому отклонение вверх будет зеркальным отклонением вниз. На практике можно установить, что это не так, просто построив два графика отдельно для отрицательного и отдельно для положительного значения доходности</w:t>
      </w:r>
      <w:r w:rsidR="00874E67">
        <w:t xml:space="preserve"> (рис 3,4). Отд</w:t>
      </w:r>
      <w:r w:rsidR="00231250">
        <w:t xml:space="preserve">ельно посчитанные стандартные отклонения (для пол. доходности и отр. доходности) по модулю будут также разными. </w:t>
      </w:r>
    </w:p>
    <w:p w:rsidR="008361EA" w:rsidRPr="00F631CE" w:rsidRDefault="008361EA" w:rsidP="005A0997">
      <w:pPr>
        <w:ind w:firstLine="900"/>
        <w:jc w:val="both"/>
      </w:pPr>
      <w:r w:rsidRPr="00F631CE">
        <w:t xml:space="preserve">Также, </w:t>
      </w:r>
      <w:r w:rsidR="00231250">
        <w:t xml:space="preserve">по графикам </w:t>
      </w:r>
      <w:r w:rsidR="00884A91" w:rsidRPr="00F631CE">
        <w:t xml:space="preserve"> видно, что иногда среди</w:t>
      </w:r>
      <w:r w:rsidR="00874E67">
        <w:t>,</w:t>
      </w:r>
      <w:r w:rsidR="00884A91" w:rsidRPr="00F631CE">
        <w:t xml:space="preserve"> допустим</w:t>
      </w:r>
      <w:r w:rsidR="00874E67">
        <w:t>,</w:t>
      </w:r>
      <w:r w:rsidR="00884A91" w:rsidRPr="00F631CE">
        <w:t xml:space="preserve"> чередующихся колебаний, возникает одно очень большое</w:t>
      </w:r>
      <w:r w:rsidR="00F631CE">
        <w:t xml:space="preserve"> </w:t>
      </w:r>
      <w:r w:rsidR="00884A91" w:rsidRPr="00F631CE">
        <w:t>(резкое)</w:t>
      </w:r>
      <w:r w:rsidR="00B21EA8">
        <w:t xml:space="preserve"> (рис.4)</w:t>
      </w:r>
      <w:r w:rsidR="00884A91" w:rsidRPr="00F631CE">
        <w:t>. Причем этот, возможно, случайный всплеск</w:t>
      </w:r>
      <w:r w:rsidRPr="00F631CE">
        <w:t xml:space="preserve"> </w:t>
      </w:r>
      <w:r w:rsidR="00884A91" w:rsidRPr="00F631CE">
        <w:t xml:space="preserve">не повторяется со временем, а его числовое </w:t>
      </w:r>
      <w:r w:rsidR="00B21EA8">
        <w:t xml:space="preserve">значение </w:t>
      </w:r>
      <w:r w:rsidR="00884A91" w:rsidRPr="00F631CE">
        <w:t>очень различается с другими. В математике такую ситуацию называют ошибкой или шумом. Их стараются не учитывать в последующих расчетах и каким-либо способом исключить. Считается, что подобная ошибка, как уже было сказано, могла возникнуть случайно. В</w:t>
      </w:r>
      <w:r w:rsidR="00F631CE">
        <w:t xml:space="preserve"> трейдинге за день </w:t>
      </w:r>
      <w:r w:rsidR="00884A91" w:rsidRPr="00F631CE">
        <w:t xml:space="preserve"> случается, что цена вдруг по каким-то причинам резко поднялась</w:t>
      </w:r>
      <w:r w:rsidR="00F631CE">
        <w:t xml:space="preserve"> или упала (пр</w:t>
      </w:r>
      <w:r w:rsidR="00884A91" w:rsidRPr="00F631CE">
        <w:t>ичины могут быть разными). Но суть заключается в том, что такие ошибки могут здорово подпортить результативное значение ст</w:t>
      </w:r>
      <w:r w:rsidR="00F631CE" w:rsidRPr="00F631CE">
        <w:t xml:space="preserve">андартного отклонения, так как на основе этой ошибки будет подсчитано среднее значение. И, разумеется, </w:t>
      </w:r>
      <w:r w:rsidR="00884A91" w:rsidRPr="00F631CE">
        <w:t>итоговый вывод</w:t>
      </w:r>
      <w:r w:rsidR="00F631CE" w:rsidRPr="00F631CE">
        <w:t>, который так важен, будет тоже не точным.</w:t>
      </w:r>
      <w:r w:rsidR="00884A91" w:rsidRPr="00F631CE">
        <w:t xml:space="preserve">  </w:t>
      </w:r>
      <w:r w:rsidRPr="00F631CE">
        <w:t xml:space="preserve">  </w:t>
      </w:r>
    </w:p>
    <w:p w:rsidR="003E4657" w:rsidRDefault="003E4657" w:rsidP="003E4657">
      <w:pPr>
        <w:jc w:val="center"/>
      </w:pPr>
    </w:p>
    <w:p w:rsidR="004D7EF2" w:rsidRDefault="004D7EF2" w:rsidP="003E4657">
      <w:pPr>
        <w:jc w:val="center"/>
      </w:pPr>
    </w:p>
    <w:p w:rsidR="004D7EF2" w:rsidRDefault="002B22E2" w:rsidP="003E4657">
      <w:pPr>
        <w:jc w:val="center"/>
      </w:pPr>
      <w:r>
        <w:pict>
          <v:shape id="_x0000_i1036" type="#_x0000_t75" style="width:453pt;height:267pt">
            <v:imagedata r:id="rId18" o:title=""/>
          </v:shape>
        </w:pict>
      </w:r>
    </w:p>
    <w:p w:rsidR="006F078B" w:rsidRPr="006F078B" w:rsidRDefault="006F078B" w:rsidP="003E4657">
      <w:pPr>
        <w:jc w:val="center"/>
        <w:rPr>
          <w:i/>
        </w:rPr>
      </w:pPr>
      <w:r w:rsidRPr="006F078B">
        <w:rPr>
          <w:i/>
        </w:rPr>
        <w:t>Рис.3</w:t>
      </w:r>
    </w:p>
    <w:p w:rsidR="004D7EF2" w:rsidRDefault="004D7EF2" w:rsidP="003E4657">
      <w:pPr>
        <w:jc w:val="center"/>
      </w:pPr>
    </w:p>
    <w:p w:rsidR="004D7EF2" w:rsidRDefault="002B22E2" w:rsidP="003E4657">
      <w:pPr>
        <w:jc w:val="center"/>
      </w:pPr>
      <w:r>
        <w:pict>
          <v:shape id="_x0000_i1037" type="#_x0000_t75" style="width:442.5pt;height:261pt">
            <v:imagedata r:id="rId19" o:title="Безымянный"/>
          </v:shape>
        </w:pict>
      </w:r>
    </w:p>
    <w:p w:rsidR="006F078B" w:rsidRPr="006F078B" w:rsidRDefault="006F078B" w:rsidP="003E4657">
      <w:pPr>
        <w:jc w:val="center"/>
        <w:rPr>
          <w:i/>
        </w:rPr>
      </w:pPr>
      <w:r w:rsidRPr="006F078B">
        <w:rPr>
          <w:i/>
        </w:rPr>
        <w:t>Рис. 4</w:t>
      </w:r>
    </w:p>
    <w:p w:rsidR="00D8138E" w:rsidRDefault="00D8138E" w:rsidP="00384FD0">
      <w:pPr>
        <w:jc w:val="center"/>
        <w:rPr>
          <w:b/>
          <w:sz w:val="28"/>
          <w:szCs w:val="28"/>
        </w:rPr>
      </w:pPr>
    </w:p>
    <w:p w:rsidR="00D8138E" w:rsidRDefault="00D8138E" w:rsidP="00384FD0">
      <w:pPr>
        <w:jc w:val="center"/>
        <w:rPr>
          <w:b/>
          <w:sz w:val="28"/>
          <w:szCs w:val="28"/>
        </w:rPr>
      </w:pPr>
    </w:p>
    <w:p w:rsidR="00B5414B" w:rsidRDefault="00B5414B" w:rsidP="00384FD0">
      <w:pPr>
        <w:jc w:val="center"/>
        <w:rPr>
          <w:b/>
          <w:sz w:val="28"/>
          <w:szCs w:val="28"/>
        </w:rPr>
      </w:pPr>
    </w:p>
    <w:p w:rsidR="00B5414B" w:rsidRDefault="00B5414B" w:rsidP="00384FD0">
      <w:pPr>
        <w:jc w:val="center"/>
        <w:rPr>
          <w:b/>
          <w:sz w:val="28"/>
          <w:szCs w:val="28"/>
        </w:rPr>
      </w:pPr>
    </w:p>
    <w:p w:rsidR="00B5414B" w:rsidRDefault="00B5414B" w:rsidP="00384FD0">
      <w:pPr>
        <w:jc w:val="center"/>
        <w:rPr>
          <w:b/>
          <w:sz w:val="28"/>
          <w:szCs w:val="28"/>
        </w:rPr>
      </w:pPr>
    </w:p>
    <w:p w:rsidR="00B5414B" w:rsidRDefault="00B5414B" w:rsidP="00384FD0">
      <w:pPr>
        <w:jc w:val="center"/>
        <w:rPr>
          <w:b/>
          <w:sz w:val="28"/>
          <w:szCs w:val="28"/>
        </w:rPr>
      </w:pPr>
    </w:p>
    <w:p w:rsidR="00E614D6" w:rsidRDefault="00217837" w:rsidP="00845945">
      <w:pPr>
        <w:numPr>
          <w:ilvl w:val="1"/>
          <w:numId w:val="5"/>
        </w:numPr>
        <w:jc w:val="center"/>
        <w:rPr>
          <w:b/>
          <w:sz w:val="28"/>
          <w:szCs w:val="28"/>
          <w:lang w:val="kk-KZ"/>
        </w:rPr>
      </w:pPr>
      <w:r>
        <w:rPr>
          <w:b/>
          <w:sz w:val="28"/>
          <w:szCs w:val="28"/>
        </w:rPr>
        <w:t>Опыт предшественников.</w:t>
      </w:r>
    </w:p>
    <w:p w:rsidR="00845945" w:rsidRPr="00845945" w:rsidRDefault="00845945" w:rsidP="00845945">
      <w:pPr>
        <w:ind w:left="180"/>
        <w:jc w:val="center"/>
        <w:rPr>
          <w:b/>
          <w:sz w:val="28"/>
          <w:szCs w:val="28"/>
          <w:lang w:val="kk-KZ"/>
        </w:rPr>
      </w:pPr>
    </w:p>
    <w:p w:rsidR="00845945" w:rsidRDefault="00B676A0" w:rsidP="00845945">
      <w:pPr>
        <w:ind w:firstLine="902"/>
        <w:jc w:val="both"/>
        <w:rPr>
          <w:rFonts w:ascii="Verdana" w:hAnsi="Verdana"/>
          <w:sz w:val="20"/>
          <w:szCs w:val="20"/>
          <w:lang w:val="kk-KZ"/>
        </w:rPr>
      </w:pPr>
      <w:r w:rsidRPr="00845945">
        <w:rPr>
          <w:color w:val="000000"/>
        </w:rPr>
        <w:t>Стандартное отклонение  как статистический способ измерения волатильности редко используется как самостоятельный индикатор, чаще всего в  качестве компонента других индикаторов. Можно ли это объяснить недоверием стандартному отклонению как мере риска, не знаю, но факт на лицо</w:t>
      </w:r>
      <w:r>
        <w:rPr>
          <w:rFonts w:ascii="Verdana" w:hAnsi="Verdana"/>
          <w:sz w:val="20"/>
          <w:szCs w:val="20"/>
        </w:rPr>
        <w:t xml:space="preserve">. </w:t>
      </w:r>
      <w:r w:rsidRPr="00AB3F7A">
        <w:rPr>
          <w:rFonts w:ascii="Verdana" w:hAnsi="Verdana"/>
          <w:sz w:val="20"/>
          <w:szCs w:val="20"/>
        </w:rPr>
        <w:t xml:space="preserve"> </w:t>
      </w:r>
    </w:p>
    <w:p w:rsidR="00845945" w:rsidRDefault="00375DB8" w:rsidP="00845945">
      <w:pPr>
        <w:ind w:firstLine="902"/>
        <w:jc w:val="both"/>
        <w:rPr>
          <w:lang w:val="kk-KZ"/>
        </w:rPr>
      </w:pPr>
      <w:r w:rsidRPr="003078CA">
        <w:t xml:space="preserve">Изучая работы и исследования, проводившиеся в данном направление, я не нашла ни один источник, указывающий на то, что стандартное отклонение нельзя применять в качестве меры риска актива. Нет ни одной работы (из </w:t>
      </w:r>
      <w:r w:rsidR="00B21EA8" w:rsidRPr="003078CA">
        <w:t>тех,</w:t>
      </w:r>
      <w:r w:rsidRPr="003078CA">
        <w:t xml:space="preserve"> что я изучила), </w:t>
      </w:r>
      <w:r w:rsidR="005705EA" w:rsidRPr="003078CA">
        <w:t>говорящих о том, что формулы стандартного отклонения нужно изменить полностью. Есть высказанные и обоснованные замечания, были выявлены некоторые неточности в конкретных примерах. И, разумеется, были предложены свои методы дополнения стандартного отклонения для оценки риска финансового актива и составления прогнозов.</w:t>
      </w:r>
    </w:p>
    <w:p w:rsidR="00845945" w:rsidRDefault="00207824" w:rsidP="00845945">
      <w:pPr>
        <w:ind w:firstLine="902"/>
        <w:jc w:val="both"/>
        <w:rPr>
          <w:lang w:val="kk-KZ"/>
        </w:rPr>
      </w:pPr>
      <w:r w:rsidRPr="003078CA">
        <w:t>Результатом одного из таких анализов является канал стандартных отклонений(Standard Deviation Channel).</w:t>
      </w:r>
    </w:p>
    <w:p w:rsidR="00845945" w:rsidRDefault="00207824" w:rsidP="00845945">
      <w:pPr>
        <w:ind w:firstLine="902"/>
        <w:jc w:val="both"/>
        <w:rPr>
          <w:lang w:val="kk-KZ"/>
        </w:rPr>
      </w:pPr>
      <w:r w:rsidRPr="003078CA">
        <w:t xml:space="preserve">Канал Стандартных Отклонений строится на основе Тренда Линейной Регрессии, которая представляет собой обыкновенную </w:t>
      </w:r>
      <w:r w:rsidRPr="002B22E2">
        <w:t>линию тренда</w:t>
      </w:r>
      <w:r w:rsidRPr="003078CA">
        <w:t xml:space="preserve">, построенную между двумя точками на ценовом графике методом наименьших квадратов. В результате эта линия оказывается точной средней линией изменяющейся цены. Ее можно рассматривать как линию "равновесной" цены, а любое отклонение от нее вверх или вниз указывает на повышенную активность соответственно покупателей или продавцов. </w:t>
      </w:r>
    </w:p>
    <w:p w:rsidR="00845945" w:rsidRDefault="00207824" w:rsidP="00845945">
      <w:pPr>
        <w:ind w:firstLine="902"/>
        <w:jc w:val="both"/>
        <w:rPr>
          <w:color w:val="000000"/>
          <w:lang w:val="kk-KZ"/>
        </w:rPr>
      </w:pPr>
      <w:r w:rsidRPr="003078CA">
        <w:rPr>
          <w:color w:val="000000"/>
        </w:rPr>
        <w:t>Standard Deviation Channel состоит из двух параллельных линий, равноудаленных вверх и вниз от Тренда Линейной Регрессии. Расстояние между границами канала и линией регрессии равно величине стандартного отклонения цены закрытия от линии регрессии</w:t>
      </w:r>
      <w:r w:rsidR="00B21EA8">
        <w:rPr>
          <w:color w:val="000000"/>
        </w:rPr>
        <w:t xml:space="preserve"> (рис.5)</w:t>
      </w:r>
      <w:r w:rsidRPr="003078CA">
        <w:rPr>
          <w:color w:val="000000"/>
        </w:rPr>
        <w:t xml:space="preserve">. Все ценовые изменения происходят в границах Standard Deviation Channel, где нижняя граница играет роль </w:t>
      </w:r>
      <w:r w:rsidRPr="002B22E2">
        <w:t>линии поддержки</w:t>
      </w:r>
      <w:r w:rsidRPr="003078CA">
        <w:rPr>
          <w:color w:val="000000"/>
        </w:rPr>
        <w:t xml:space="preserve">, а верхняя — </w:t>
      </w:r>
      <w:r w:rsidRPr="002B22E2">
        <w:t>линии сопротивления</w:t>
      </w:r>
      <w:r w:rsidR="004B25C2">
        <w:rPr>
          <w:color w:val="000000"/>
        </w:rPr>
        <w:t xml:space="preserve"> (рис.6)</w:t>
      </w:r>
      <w:r w:rsidRPr="003078CA">
        <w:rPr>
          <w:color w:val="000000"/>
        </w:rPr>
        <w:t xml:space="preserve">. Обычно цены выходят за границы канала лишь на короткое время. Если же они остаются за пределами канала дольше обычного, то это предвещает возможность разворота </w:t>
      </w:r>
      <w:r w:rsidRPr="002B22E2">
        <w:t>тенденции</w:t>
      </w:r>
      <w:r w:rsidR="00145C43" w:rsidRPr="00145C43">
        <w:rPr>
          <w:color w:val="000000"/>
        </w:rPr>
        <w:t xml:space="preserve"> [9]</w:t>
      </w:r>
      <w:r w:rsidRPr="003078CA">
        <w:rPr>
          <w:color w:val="000000"/>
        </w:rPr>
        <w:t>.</w:t>
      </w:r>
    </w:p>
    <w:p w:rsidR="00845945" w:rsidRDefault="00845945" w:rsidP="00845945">
      <w:pPr>
        <w:ind w:firstLine="902"/>
        <w:jc w:val="both"/>
        <w:rPr>
          <w:color w:val="000000"/>
          <w:lang w:val="kk-KZ"/>
        </w:rPr>
      </w:pPr>
      <w:r>
        <w:rPr>
          <w:color w:val="000000"/>
        </w:rPr>
        <w:t>Линии сопротивления и поддержки называются еще линиями Боллинджера</w:t>
      </w:r>
      <w:r w:rsidRPr="00207824">
        <w:rPr>
          <w:color w:val="000000"/>
        </w:rPr>
        <w:t xml:space="preserve">. Поддержка (Support) — это уровень, при котором цены контролируют покупатели (быки, bulls), не допускающие их дальнейшего снижения. </w:t>
      </w:r>
    </w:p>
    <w:p w:rsidR="00845945" w:rsidRDefault="00845945" w:rsidP="00845945">
      <w:pPr>
        <w:ind w:firstLine="902"/>
        <w:jc w:val="both"/>
        <w:rPr>
          <w:color w:val="000000"/>
          <w:lang w:val="kk-KZ"/>
        </w:rPr>
      </w:pPr>
      <w:r w:rsidRPr="00207824">
        <w:rPr>
          <w:color w:val="000000"/>
        </w:rPr>
        <w:t>Сопротивление (Resistance), наоборот — уровень, при котором цены контролируют продавцы (медведи, bears), не допускающие их дальнейшего подъема. Цена, по которой совершается сделка, — это цена, устраивающая и быка, и медведя. Она отражает совпадение их ожиданий</w:t>
      </w:r>
      <w:r w:rsidR="00145C43">
        <w:rPr>
          <w:color w:val="000000"/>
          <w:lang w:val="en-US"/>
        </w:rPr>
        <w:t xml:space="preserve"> [10]</w:t>
      </w:r>
      <w:r w:rsidRPr="00207824">
        <w:rPr>
          <w:color w:val="000000"/>
        </w:rPr>
        <w:t xml:space="preserve">. </w:t>
      </w:r>
    </w:p>
    <w:p w:rsidR="00845945" w:rsidRDefault="00845945" w:rsidP="00845945">
      <w:pPr>
        <w:ind w:firstLine="902"/>
        <w:jc w:val="both"/>
        <w:rPr>
          <w:color w:val="000000"/>
        </w:rPr>
      </w:pPr>
      <w:r w:rsidRPr="00207824">
        <w:rPr>
          <w:color w:val="000000"/>
        </w:rPr>
        <w:t>Уровни поддержки показывают цену, при которой большинство инвесторов рассчитывают на ее повышение. Уровни сопротивления показывают цену, при которой большинство инвесторов считают, что она снизится.</w:t>
      </w:r>
    </w:p>
    <w:p w:rsidR="00845945" w:rsidRPr="00DE5CBB" w:rsidRDefault="00845945" w:rsidP="00845945">
      <w:pPr>
        <w:pStyle w:val="a3"/>
        <w:spacing w:before="0" w:beforeAutospacing="0" w:after="0" w:afterAutospacing="0"/>
        <w:ind w:firstLine="902"/>
        <w:jc w:val="both"/>
      </w:pPr>
      <w:r w:rsidRPr="00DE5CBB">
        <w:t>Стандартное отклонение может быть построено на графике, используя индикатор ширины Полос Боллинджера в большинстве графических программ. Так как ширина Полос Боллинджера формирует два стандартных отклонения выше и ниже Сколь</w:t>
      </w:r>
      <w:r>
        <w:t xml:space="preserve">зящей средней, то </w:t>
      </w:r>
      <w:r>
        <w:rPr>
          <w:lang w:val="kk-KZ"/>
        </w:rPr>
        <w:t xml:space="preserve">значение </w:t>
      </w:r>
      <w:r w:rsidR="006E4E91">
        <w:rPr>
          <w:lang w:val="kk-KZ"/>
        </w:rPr>
        <w:t xml:space="preserve">общего </w:t>
      </w:r>
      <w:r>
        <w:rPr>
          <w:lang w:val="kk-KZ"/>
        </w:rPr>
        <w:t xml:space="preserve">стандартного отклонения будет </w:t>
      </w:r>
      <w:r w:rsidRPr="00DE5CBB">
        <w:t xml:space="preserve"> делить ширину Полос Болли</w:t>
      </w:r>
      <w:r>
        <w:t>нджера на две</w:t>
      </w:r>
      <w:r>
        <w:rPr>
          <w:lang w:val="kk-KZ"/>
        </w:rPr>
        <w:t xml:space="preserve"> абсолютно одинаковые ширины</w:t>
      </w:r>
      <w:r w:rsidR="00145C43" w:rsidRPr="00145C43">
        <w:t xml:space="preserve"> [11]</w:t>
      </w:r>
      <w:r w:rsidRPr="00DE5CBB">
        <w:t>.</w:t>
      </w:r>
    </w:p>
    <w:p w:rsidR="00845945" w:rsidRPr="00845945" w:rsidRDefault="00845945" w:rsidP="00845945">
      <w:pPr>
        <w:spacing w:before="100" w:beforeAutospacing="1" w:after="100" w:afterAutospacing="1"/>
        <w:ind w:firstLine="900"/>
        <w:jc w:val="both"/>
        <w:rPr>
          <w:color w:val="000000"/>
        </w:rPr>
      </w:pPr>
    </w:p>
    <w:p w:rsidR="00207824" w:rsidRPr="00207824" w:rsidRDefault="002B22E2" w:rsidP="00163DFB">
      <w:pPr>
        <w:spacing w:before="225"/>
        <w:ind w:firstLine="375"/>
        <w:jc w:val="center"/>
        <w:rPr>
          <w:sz w:val="28"/>
          <w:szCs w:val="28"/>
        </w:rPr>
      </w:pPr>
      <w:r>
        <w:rPr>
          <w:color w:val="000000"/>
        </w:rPr>
        <w:pict>
          <v:shape id="_x0000_i1038" type="#_x0000_t75" style="width:318.75pt;height:259.5pt">
            <v:imagedata r:id="rId20" o:title="standard_deviation_channel"/>
          </v:shape>
        </w:pict>
      </w:r>
    </w:p>
    <w:p w:rsidR="00E11D79" w:rsidRPr="00DF45C5" w:rsidRDefault="00DF45C5" w:rsidP="00DF45C5">
      <w:pPr>
        <w:spacing w:before="225"/>
        <w:jc w:val="center"/>
        <w:rPr>
          <w:i/>
          <w:color w:val="000000"/>
        </w:rPr>
      </w:pPr>
      <w:r w:rsidRPr="00DF45C5">
        <w:rPr>
          <w:i/>
          <w:color w:val="000000"/>
          <w:lang w:val="kk-KZ"/>
        </w:rPr>
        <w:t>Рис</w:t>
      </w:r>
      <w:r w:rsidRPr="00DF45C5">
        <w:rPr>
          <w:i/>
          <w:color w:val="000000"/>
        </w:rPr>
        <w:t>. 5</w:t>
      </w:r>
    </w:p>
    <w:p w:rsidR="00DF45C5" w:rsidRDefault="00DF45C5" w:rsidP="00E11D79">
      <w:pPr>
        <w:spacing w:before="225"/>
        <w:jc w:val="both"/>
        <w:rPr>
          <w:color w:val="000000"/>
          <w:lang w:val="kk-KZ"/>
        </w:rPr>
      </w:pPr>
    </w:p>
    <w:p w:rsidR="00207824" w:rsidRPr="00207824" w:rsidRDefault="00207824" w:rsidP="005705EA">
      <w:pPr>
        <w:jc w:val="both"/>
        <w:rPr>
          <w:sz w:val="28"/>
          <w:szCs w:val="28"/>
        </w:rPr>
      </w:pPr>
    </w:p>
    <w:p w:rsidR="00207824" w:rsidRDefault="00207824" w:rsidP="00DF45C5">
      <w:pPr>
        <w:jc w:val="center"/>
        <w:rPr>
          <w:color w:val="000000"/>
        </w:rPr>
      </w:pPr>
    </w:p>
    <w:p w:rsidR="00B21EA8" w:rsidRDefault="002B22E2" w:rsidP="00DF45C5">
      <w:pPr>
        <w:jc w:val="center"/>
        <w:rPr>
          <w:sz w:val="28"/>
          <w:szCs w:val="28"/>
        </w:rPr>
      </w:pPr>
      <w:r>
        <w:rPr>
          <w:color w:val="000000"/>
        </w:rPr>
        <w:pict>
          <v:shape id="_x0000_i1039" type="#_x0000_t75" style="width:327pt;height:270pt">
            <v:imagedata r:id="rId21" o:title="support"/>
          </v:shape>
        </w:pict>
      </w:r>
    </w:p>
    <w:p w:rsidR="000B0190" w:rsidRPr="00DF45C5" w:rsidRDefault="00DF45C5" w:rsidP="00DF45C5">
      <w:pPr>
        <w:pStyle w:val="a3"/>
        <w:jc w:val="center"/>
        <w:rPr>
          <w:i/>
          <w:color w:val="626363"/>
          <w:sz w:val="19"/>
          <w:szCs w:val="19"/>
        </w:rPr>
      </w:pPr>
      <w:r w:rsidRPr="00DF45C5">
        <w:rPr>
          <w:i/>
        </w:rPr>
        <w:t>Рис.6</w:t>
      </w:r>
    </w:p>
    <w:p w:rsidR="00207824" w:rsidRDefault="00207824" w:rsidP="005705EA">
      <w:pPr>
        <w:jc w:val="both"/>
        <w:rPr>
          <w:sz w:val="28"/>
          <w:szCs w:val="28"/>
        </w:rPr>
      </w:pPr>
    </w:p>
    <w:p w:rsidR="00207824" w:rsidRDefault="00207824" w:rsidP="005705EA">
      <w:pPr>
        <w:jc w:val="both"/>
        <w:rPr>
          <w:sz w:val="28"/>
          <w:szCs w:val="28"/>
          <w:lang w:val="en-US"/>
        </w:rPr>
      </w:pPr>
    </w:p>
    <w:p w:rsidR="00DA4D6A" w:rsidRDefault="00DA4D6A" w:rsidP="005705EA">
      <w:pPr>
        <w:jc w:val="both"/>
        <w:rPr>
          <w:sz w:val="28"/>
          <w:szCs w:val="28"/>
          <w:lang w:val="en-US"/>
        </w:rPr>
      </w:pPr>
    </w:p>
    <w:p w:rsidR="00DA4D6A" w:rsidRDefault="00DA4D6A" w:rsidP="005705EA">
      <w:pPr>
        <w:jc w:val="both"/>
        <w:rPr>
          <w:sz w:val="28"/>
          <w:szCs w:val="28"/>
          <w:lang w:val="en-US"/>
        </w:rPr>
      </w:pPr>
    </w:p>
    <w:p w:rsidR="00DA4D6A" w:rsidRDefault="00DA4D6A" w:rsidP="005705EA">
      <w:pPr>
        <w:jc w:val="both"/>
        <w:rPr>
          <w:sz w:val="28"/>
          <w:szCs w:val="28"/>
          <w:lang w:val="en-US"/>
        </w:rPr>
      </w:pPr>
    </w:p>
    <w:p w:rsidR="00DA4D6A" w:rsidRDefault="00DA4D6A" w:rsidP="005705EA">
      <w:pPr>
        <w:jc w:val="both"/>
        <w:rPr>
          <w:sz w:val="28"/>
          <w:szCs w:val="28"/>
          <w:lang w:val="en-US"/>
        </w:rPr>
      </w:pPr>
    </w:p>
    <w:p w:rsidR="00DA4D6A" w:rsidRDefault="00DA4D6A" w:rsidP="005705EA">
      <w:pPr>
        <w:jc w:val="both"/>
        <w:rPr>
          <w:sz w:val="28"/>
          <w:szCs w:val="28"/>
          <w:lang w:val="en-US"/>
        </w:rPr>
      </w:pPr>
    </w:p>
    <w:p w:rsidR="00DA4D6A" w:rsidRDefault="00DA4D6A" w:rsidP="005705EA">
      <w:pPr>
        <w:jc w:val="both"/>
        <w:rPr>
          <w:sz w:val="28"/>
          <w:szCs w:val="28"/>
          <w:lang w:val="en-US"/>
        </w:rPr>
      </w:pPr>
    </w:p>
    <w:p w:rsidR="00DA4D6A" w:rsidRDefault="00DA4D6A" w:rsidP="005705EA">
      <w:pPr>
        <w:jc w:val="both"/>
        <w:rPr>
          <w:sz w:val="28"/>
          <w:szCs w:val="28"/>
          <w:lang w:val="en-US"/>
        </w:rPr>
      </w:pPr>
    </w:p>
    <w:p w:rsidR="00DA4D6A" w:rsidRDefault="00DA4D6A" w:rsidP="005705EA">
      <w:pPr>
        <w:jc w:val="both"/>
        <w:rPr>
          <w:sz w:val="28"/>
          <w:szCs w:val="28"/>
          <w:lang w:val="en-US"/>
        </w:rPr>
      </w:pPr>
    </w:p>
    <w:p w:rsidR="00DA4D6A" w:rsidRDefault="00DA4D6A" w:rsidP="005705EA">
      <w:pPr>
        <w:jc w:val="both"/>
        <w:rPr>
          <w:sz w:val="28"/>
          <w:szCs w:val="28"/>
          <w:lang w:val="en-US"/>
        </w:rPr>
      </w:pPr>
    </w:p>
    <w:p w:rsidR="00DA4D6A" w:rsidRDefault="00DA4D6A" w:rsidP="005705EA">
      <w:pPr>
        <w:jc w:val="both"/>
        <w:rPr>
          <w:sz w:val="28"/>
          <w:szCs w:val="28"/>
          <w:lang w:val="en-US"/>
        </w:rPr>
      </w:pPr>
    </w:p>
    <w:p w:rsidR="00DA4D6A" w:rsidRDefault="00DA4D6A" w:rsidP="005705EA">
      <w:pPr>
        <w:jc w:val="both"/>
        <w:rPr>
          <w:sz w:val="28"/>
          <w:szCs w:val="28"/>
          <w:lang w:val="en-US"/>
        </w:rPr>
      </w:pPr>
    </w:p>
    <w:p w:rsidR="00DA4D6A" w:rsidRDefault="00DA4D6A" w:rsidP="005705EA">
      <w:pPr>
        <w:jc w:val="both"/>
        <w:rPr>
          <w:sz w:val="28"/>
          <w:szCs w:val="28"/>
          <w:lang w:val="en-US"/>
        </w:rPr>
      </w:pPr>
    </w:p>
    <w:p w:rsidR="00DA4D6A" w:rsidRDefault="00DA4D6A" w:rsidP="005705EA">
      <w:pPr>
        <w:jc w:val="both"/>
        <w:rPr>
          <w:sz w:val="28"/>
          <w:szCs w:val="28"/>
          <w:lang w:val="en-US"/>
        </w:rPr>
      </w:pPr>
    </w:p>
    <w:p w:rsidR="00DA4D6A" w:rsidRDefault="00DA4D6A" w:rsidP="005705EA">
      <w:pPr>
        <w:jc w:val="both"/>
        <w:rPr>
          <w:sz w:val="28"/>
          <w:szCs w:val="28"/>
          <w:lang w:val="en-US"/>
        </w:rPr>
      </w:pPr>
    </w:p>
    <w:p w:rsidR="00DA4D6A" w:rsidRDefault="00DA4D6A" w:rsidP="005705EA">
      <w:pPr>
        <w:jc w:val="both"/>
        <w:rPr>
          <w:sz w:val="28"/>
          <w:szCs w:val="28"/>
          <w:lang w:val="en-US"/>
        </w:rPr>
      </w:pPr>
    </w:p>
    <w:p w:rsidR="00DA4D6A" w:rsidRDefault="00DA4D6A" w:rsidP="005705EA">
      <w:pPr>
        <w:jc w:val="both"/>
        <w:rPr>
          <w:sz w:val="28"/>
          <w:szCs w:val="28"/>
          <w:lang w:val="en-US"/>
        </w:rPr>
      </w:pPr>
    </w:p>
    <w:p w:rsidR="00DA4D6A" w:rsidRDefault="00DA4D6A" w:rsidP="005705EA">
      <w:pPr>
        <w:jc w:val="both"/>
        <w:rPr>
          <w:sz w:val="28"/>
          <w:szCs w:val="28"/>
          <w:lang w:val="en-US"/>
        </w:rPr>
      </w:pPr>
    </w:p>
    <w:p w:rsidR="00DA4D6A" w:rsidRDefault="00DA4D6A" w:rsidP="005705EA">
      <w:pPr>
        <w:jc w:val="both"/>
        <w:rPr>
          <w:sz w:val="28"/>
          <w:szCs w:val="28"/>
          <w:lang w:val="en-US"/>
        </w:rPr>
      </w:pPr>
    </w:p>
    <w:p w:rsidR="00DA4D6A" w:rsidRDefault="00DA4D6A" w:rsidP="005705EA">
      <w:pPr>
        <w:jc w:val="both"/>
        <w:rPr>
          <w:sz w:val="28"/>
          <w:szCs w:val="28"/>
          <w:lang w:val="en-US"/>
        </w:rPr>
      </w:pPr>
    </w:p>
    <w:p w:rsidR="00DA4D6A" w:rsidRDefault="00DA4D6A" w:rsidP="005705EA">
      <w:pPr>
        <w:jc w:val="both"/>
        <w:rPr>
          <w:sz w:val="28"/>
          <w:szCs w:val="28"/>
          <w:lang w:val="en-US"/>
        </w:rPr>
      </w:pPr>
    </w:p>
    <w:p w:rsidR="00DA4D6A" w:rsidRDefault="00DA4D6A" w:rsidP="005705EA">
      <w:pPr>
        <w:jc w:val="both"/>
        <w:rPr>
          <w:sz w:val="28"/>
          <w:szCs w:val="28"/>
          <w:lang w:val="en-US"/>
        </w:rPr>
      </w:pPr>
    </w:p>
    <w:p w:rsidR="00DA4D6A" w:rsidRDefault="00DA4D6A" w:rsidP="005705EA">
      <w:pPr>
        <w:jc w:val="both"/>
        <w:rPr>
          <w:sz w:val="28"/>
          <w:szCs w:val="28"/>
          <w:lang w:val="en-US"/>
        </w:rPr>
      </w:pPr>
    </w:p>
    <w:p w:rsidR="00DA4D6A" w:rsidRDefault="00DA4D6A" w:rsidP="005705EA">
      <w:pPr>
        <w:jc w:val="both"/>
        <w:rPr>
          <w:sz w:val="28"/>
          <w:szCs w:val="28"/>
          <w:lang w:val="en-US"/>
        </w:rPr>
      </w:pPr>
    </w:p>
    <w:p w:rsidR="003606A2" w:rsidRDefault="00163DFB" w:rsidP="00473573">
      <w:pPr>
        <w:jc w:val="center"/>
        <w:rPr>
          <w:b/>
          <w:lang w:val="kk-KZ"/>
        </w:rPr>
      </w:pPr>
      <w:r w:rsidRPr="00163DFB">
        <w:rPr>
          <w:b/>
          <w:sz w:val="28"/>
          <w:szCs w:val="28"/>
          <w:lang w:val="en-US"/>
        </w:rPr>
        <w:t>II</w:t>
      </w:r>
      <w:r w:rsidRPr="00163DFB">
        <w:rPr>
          <w:b/>
          <w:sz w:val="28"/>
          <w:szCs w:val="28"/>
        </w:rPr>
        <w:t xml:space="preserve"> Глава</w:t>
      </w:r>
      <w:r w:rsidRPr="003606A2">
        <w:rPr>
          <w:b/>
          <w:sz w:val="28"/>
          <w:szCs w:val="28"/>
        </w:rPr>
        <w:t xml:space="preserve">. </w:t>
      </w:r>
      <w:r w:rsidR="00AC38B5" w:rsidRPr="003606A2">
        <w:rPr>
          <w:b/>
          <w:sz w:val="28"/>
          <w:szCs w:val="28"/>
        </w:rPr>
        <w:t xml:space="preserve"> </w:t>
      </w:r>
      <w:r w:rsidR="003606A2" w:rsidRPr="003606A2">
        <w:rPr>
          <w:b/>
          <w:sz w:val="28"/>
          <w:szCs w:val="28"/>
          <w:lang w:val="kk-KZ"/>
        </w:rPr>
        <w:t>Корректировка стандартного отклонения и ее последствия</w:t>
      </w:r>
      <w:r w:rsidR="00473573">
        <w:rPr>
          <w:b/>
          <w:sz w:val="28"/>
          <w:szCs w:val="28"/>
          <w:lang w:val="kk-KZ"/>
        </w:rPr>
        <w:t>.</w:t>
      </w:r>
    </w:p>
    <w:p w:rsidR="00522397" w:rsidRDefault="00522397" w:rsidP="00AC38B5">
      <w:pPr>
        <w:jc w:val="center"/>
        <w:rPr>
          <w:b/>
          <w:sz w:val="28"/>
          <w:szCs w:val="28"/>
        </w:rPr>
      </w:pPr>
    </w:p>
    <w:p w:rsidR="00522397" w:rsidRPr="00217837" w:rsidRDefault="00473573" w:rsidP="00522397">
      <w:pPr>
        <w:jc w:val="center"/>
        <w:rPr>
          <w:b/>
          <w:sz w:val="28"/>
          <w:szCs w:val="28"/>
        </w:rPr>
      </w:pPr>
      <w:r>
        <w:rPr>
          <w:b/>
          <w:sz w:val="28"/>
          <w:szCs w:val="28"/>
        </w:rPr>
        <w:t>2.1.</w:t>
      </w:r>
      <w:r w:rsidR="00522397" w:rsidRPr="00217837">
        <w:rPr>
          <w:b/>
          <w:sz w:val="28"/>
          <w:szCs w:val="28"/>
        </w:rPr>
        <w:t xml:space="preserve"> </w:t>
      </w:r>
      <w:r>
        <w:rPr>
          <w:b/>
          <w:sz w:val="28"/>
          <w:szCs w:val="28"/>
        </w:rPr>
        <w:t>Метод к</w:t>
      </w:r>
      <w:r w:rsidR="00522397" w:rsidRPr="00217837">
        <w:rPr>
          <w:b/>
          <w:sz w:val="28"/>
          <w:szCs w:val="28"/>
        </w:rPr>
        <w:t>орре</w:t>
      </w:r>
      <w:r>
        <w:rPr>
          <w:b/>
          <w:sz w:val="28"/>
          <w:szCs w:val="28"/>
        </w:rPr>
        <w:t>ктировки</w:t>
      </w:r>
      <w:r w:rsidR="00522397">
        <w:rPr>
          <w:b/>
          <w:sz w:val="28"/>
          <w:szCs w:val="28"/>
        </w:rPr>
        <w:t xml:space="preserve"> стандартного отклонения</w:t>
      </w:r>
      <w:r w:rsidR="00522397" w:rsidRPr="00217837">
        <w:rPr>
          <w:b/>
          <w:sz w:val="28"/>
          <w:szCs w:val="28"/>
        </w:rPr>
        <w:t>.</w:t>
      </w:r>
    </w:p>
    <w:p w:rsidR="00522397" w:rsidRDefault="00522397" w:rsidP="00522397">
      <w:pPr>
        <w:jc w:val="both"/>
        <w:rPr>
          <w:sz w:val="28"/>
          <w:szCs w:val="28"/>
        </w:rPr>
      </w:pPr>
      <w:r>
        <w:rPr>
          <w:sz w:val="28"/>
          <w:szCs w:val="28"/>
        </w:rPr>
        <w:t xml:space="preserve"> </w:t>
      </w:r>
    </w:p>
    <w:p w:rsidR="00522397" w:rsidRPr="005B1865" w:rsidRDefault="00522397" w:rsidP="00522397">
      <w:pPr>
        <w:ind w:firstLine="900"/>
        <w:jc w:val="both"/>
        <w:rPr>
          <w:color w:val="000000"/>
        </w:rPr>
      </w:pPr>
      <w:r w:rsidRPr="00015864">
        <w:rPr>
          <w:color w:val="000000"/>
        </w:rPr>
        <w:t xml:space="preserve">Как известно, главная функция традиционного стандартного отклонения заключается в определении диапазона изменчивости цены вокруг среднего скользящего и определения текущей диспозиции цены по отношению к среднему скользящему и границам диапазона. </w:t>
      </w:r>
      <w:r w:rsidRPr="005B1865">
        <w:rPr>
          <w:color w:val="000000"/>
        </w:rPr>
        <w:t>Так называемый приближенный статистический метод позволяет определить диапазон изменчивости цены вокруг МА как приблизительно 4СО с вероятность около 95.5 %. Согласно этому правило верхняя граница диапазона будет составлять примерно 2СО над средним скользящим, соответственно нижняя граница диапазона будет составлять 2СО под средним скользящим. Иногда для придания большей статистической значимости полученному диапазону его границы расширяют до 3 СО в каждую сторону. Вероятность того, что реальная цена будет колебаться в границах +/- трех стандартных отклонений от среднего составляет 99.7 %.</w:t>
      </w:r>
    </w:p>
    <w:p w:rsidR="00522397" w:rsidRDefault="00522397" w:rsidP="00522397">
      <w:pPr>
        <w:ind w:firstLine="900"/>
        <w:jc w:val="both"/>
        <w:rPr>
          <w:color w:val="000000"/>
        </w:rPr>
      </w:pPr>
      <w:r>
        <w:rPr>
          <w:color w:val="000000"/>
        </w:rPr>
        <w:t xml:space="preserve">В 1.3. пункте данной работы уже было сказано о том, что очень в редких случаях стандартное отклонение вниз и вверх от среднего значения будет одинаковым, что можно объяснить количеством положительных и отрицательных доходностей. Поэтому, думаю, имеет смысл рассматривать отрицательную и положительную доходности отдельно.   </w:t>
      </w:r>
    </w:p>
    <w:p w:rsidR="00522397" w:rsidRDefault="00522397" w:rsidP="00522397">
      <w:pPr>
        <w:ind w:firstLine="900"/>
        <w:jc w:val="both"/>
        <w:rPr>
          <w:color w:val="000000"/>
        </w:rPr>
      </w:pPr>
      <w:r>
        <w:rPr>
          <w:color w:val="000000"/>
        </w:rPr>
        <w:t>Чтобы избежать появления шумов (ошибок) в наших расчетах, а также для более точных итоговых выводов нужно будет последовательно взять два средних значения положительной и отрицательной доходности.</w:t>
      </w:r>
      <w:r w:rsidRPr="006E4E91">
        <w:rPr>
          <w:color w:val="000000"/>
        </w:rPr>
        <w:t xml:space="preserve"> </w:t>
      </w:r>
      <w:r>
        <w:rPr>
          <w:color w:val="000000"/>
        </w:rPr>
        <w:t xml:space="preserve">Первое среднее значение служит вспомогательным значением для нахождения второго. Цель последнего непосредственно сгладить шумы.  </w:t>
      </w:r>
    </w:p>
    <w:p w:rsidR="00522397" w:rsidRDefault="00522397" w:rsidP="00522397">
      <w:pPr>
        <w:ind w:firstLine="900"/>
        <w:jc w:val="both"/>
        <w:rPr>
          <w:color w:val="000000"/>
        </w:rPr>
      </w:pPr>
      <w:r>
        <w:rPr>
          <w:color w:val="000000"/>
        </w:rPr>
        <w:t xml:space="preserve">В итоге мы получим два средних значения отдельно для положительной и отдельно для отрицательной доходности (рис.7). Диапазон, необходимый нам для подсчета общего стандартного отклонения равен расстоянию от второго среднего значения  отрицательной доходности (самая нижняя линия на графике 7) до второго среднего значения положительной доходности (самая верхняя линия на графике 7). </w:t>
      </w:r>
    </w:p>
    <w:p w:rsidR="00522397" w:rsidRDefault="00522397" w:rsidP="00522397">
      <w:pPr>
        <w:ind w:firstLine="900"/>
        <w:jc w:val="both"/>
        <w:rPr>
          <w:color w:val="000000"/>
        </w:rPr>
      </w:pPr>
      <w:r>
        <w:rPr>
          <w:color w:val="000000"/>
        </w:rPr>
        <w:t xml:space="preserve">Этот метод позволяет нам достичь сглаженного стандартного отклонения, которое будет более точно отражать ситуацию на рынке. </w:t>
      </w:r>
    </w:p>
    <w:p w:rsidR="00522397" w:rsidRPr="006E4E91" w:rsidRDefault="00522397" w:rsidP="00522397">
      <w:pPr>
        <w:ind w:firstLine="900"/>
        <w:jc w:val="both"/>
        <w:rPr>
          <w:color w:val="000000"/>
        </w:rPr>
      </w:pPr>
      <w:r>
        <w:rPr>
          <w:color w:val="000000"/>
        </w:rPr>
        <w:t xml:space="preserve">Как и в методе канала стандартных отклонений, мы можем рассмотреть два стандартных отклонений. Однако в нашем случае они окажутся разными, потому что положительную и отрицательную доходности мы рассматривали отдельно . Для нашего примера (акции Газпрома за 2007 год, ММВБ), значение стандартного отклонения положительной доходности будет равным 0,563%, а значение стандартного отклонения отрицательной доходности будет равным 0,540%. Общее стандартное отклонение получается равным 1, 143%. Ранее, когда мы считали общее стандартное отклонение ежедневной доходности простым способ, не выделяя для этого специального диапазона (пункт 1.2), оно получилось равным 1,615%.  Разница составляет 0, 572%.    </w:t>
      </w:r>
    </w:p>
    <w:p w:rsidR="00522397" w:rsidRDefault="00522397" w:rsidP="00522397">
      <w:pPr>
        <w:ind w:firstLine="900"/>
        <w:jc w:val="both"/>
        <w:rPr>
          <w:color w:val="000000"/>
        </w:rPr>
      </w:pPr>
      <w:r>
        <w:rPr>
          <w:color w:val="000000"/>
        </w:rPr>
        <w:t xml:space="preserve"> </w:t>
      </w:r>
    </w:p>
    <w:p w:rsidR="00522397" w:rsidRDefault="00522397" w:rsidP="00522397">
      <w:pPr>
        <w:ind w:firstLine="900"/>
        <w:jc w:val="center"/>
        <w:rPr>
          <w:color w:val="000000"/>
        </w:rPr>
      </w:pPr>
    </w:p>
    <w:p w:rsidR="00522397" w:rsidRDefault="00522397" w:rsidP="00522397">
      <w:pPr>
        <w:ind w:firstLine="900"/>
        <w:jc w:val="both"/>
        <w:rPr>
          <w:color w:val="000000"/>
        </w:rPr>
      </w:pPr>
    </w:p>
    <w:p w:rsidR="00522397" w:rsidRPr="00A561F1" w:rsidRDefault="002B22E2" w:rsidP="00522397">
      <w:pPr>
        <w:ind w:firstLine="900"/>
        <w:jc w:val="both"/>
        <w:rPr>
          <w:i/>
          <w:color w:val="000000"/>
        </w:rPr>
      </w:pPr>
      <w:r>
        <w:rPr>
          <w:i/>
          <w:color w:val="000000"/>
        </w:rPr>
        <w:pict>
          <v:shape id="_x0000_i1040" type="#_x0000_t75" style="width:394.5pt;height:264.75pt">
            <v:imagedata r:id="rId22" o:title="Безымянный 1"/>
          </v:shape>
        </w:pict>
      </w:r>
    </w:p>
    <w:p w:rsidR="00522397" w:rsidRDefault="00522397" w:rsidP="00522397">
      <w:pPr>
        <w:ind w:firstLine="900"/>
        <w:jc w:val="both"/>
        <w:rPr>
          <w:color w:val="000000"/>
        </w:rPr>
      </w:pPr>
    </w:p>
    <w:p w:rsidR="00522397" w:rsidRDefault="00522397" w:rsidP="00522397">
      <w:pPr>
        <w:ind w:firstLine="900"/>
        <w:jc w:val="both"/>
        <w:rPr>
          <w:b/>
          <w:color w:val="000000"/>
        </w:rPr>
      </w:pPr>
      <w:r w:rsidRPr="00D40264">
        <w:rPr>
          <w:b/>
          <w:color w:val="000000"/>
        </w:rPr>
        <w:t>Ход выполнения корректировки:</w:t>
      </w:r>
    </w:p>
    <w:p w:rsidR="00522397" w:rsidRDefault="00522397" w:rsidP="00522397">
      <w:pPr>
        <w:ind w:firstLine="900"/>
        <w:jc w:val="both"/>
        <w:rPr>
          <w:b/>
          <w:color w:val="000000"/>
        </w:rPr>
      </w:pPr>
    </w:p>
    <w:p w:rsidR="00522397" w:rsidRDefault="00522397" w:rsidP="00522397">
      <w:pPr>
        <w:numPr>
          <w:ilvl w:val="0"/>
          <w:numId w:val="13"/>
        </w:numPr>
        <w:jc w:val="both"/>
        <w:rPr>
          <w:color w:val="000000"/>
        </w:rPr>
      </w:pPr>
      <w:r>
        <w:rPr>
          <w:color w:val="000000"/>
        </w:rPr>
        <w:t xml:space="preserve">Через экспорт данных находим цены закрытия какого либо актива за определенный период. В нашем случае мы выбрали акции Газпрома на ММВБ, период - </w:t>
      </w:r>
      <w:smartTag w:uri="urn:schemas-microsoft-com:office:smarttags" w:element="metricconverter">
        <w:smartTagPr>
          <w:attr w:name="ProductID" w:val="2007 г"/>
        </w:smartTagPr>
        <w:r>
          <w:rPr>
            <w:color w:val="000000"/>
          </w:rPr>
          <w:t>2007 г</w:t>
        </w:r>
      </w:smartTag>
      <w:r>
        <w:rPr>
          <w:color w:val="000000"/>
        </w:rPr>
        <w:t>., периодичность – день.</w:t>
      </w:r>
    </w:p>
    <w:p w:rsidR="00522397" w:rsidRDefault="00522397" w:rsidP="00522397">
      <w:pPr>
        <w:numPr>
          <w:ilvl w:val="0"/>
          <w:numId w:val="13"/>
        </w:numPr>
        <w:jc w:val="both"/>
        <w:rPr>
          <w:color w:val="000000"/>
        </w:rPr>
      </w:pPr>
      <w:r>
        <w:rPr>
          <w:color w:val="000000"/>
        </w:rPr>
        <w:t>Находим  доходность цен закрытия на весь период.</w:t>
      </w:r>
    </w:p>
    <w:p w:rsidR="00522397" w:rsidRPr="00D40264" w:rsidRDefault="00522397" w:rsidP="00522397">
      <w:pPr>
        <w:numPr>
          <w:ilvl w:val="0"/>
          <w:numId w:val="13"/>
        </w:numPr>
        <w:jc w:val="both"/>
        <w:rPr>
          <w:color w:val="000000"/>
        </w:rPr>
      </w:pPr>
      <w:r>
        <w:rPr>
          <w:color w:val="000000"/>
        </w:rPr>
        <w:t>Считаем среднее значение доходности. В нашем случае это ноль, впрочем, в любом случае значение должно быть близко к нулю.</w:t>
      </w:r>
    </w:p>
    <w:p w:rsidR="00522397" w:rsidRDefault="00522397" w:rsidP="00522397">
      <w:pPr>
        <w:numPr>
          <w:ilvl w:val="0"/>
          <w:numId w:val="13"/>
        </w:numPr>
        <w:jc w:val="both"/>
        <w:rPr>
          <w:color w:val="000000"/>
        </w:rPr>
      </w:pPr>
      <w:r>
        <w:rPr>
          <w:color w:val="000000"/>
        </w:rPr>
        <w:t>Выделяем отдельно значения положительной и отрицательной доходности.</w:t>
      </w:r>
    </w:p>
    <w:p w:rsidR="00522397" w:rsidRDefault="00522397" w:rsidP="00522397">
      <w:pPr>
        <w:numPr>
          <w:ilvl w:val="0"/>
          <w:numId w:val="13"/>
        </w:numPr>
        <w:jc w:val="both"/>
        <w:rPr>
          <w:color w:val="000000"/>
        </w:rPr>
      </w:pPr>
      <w:r>
        <w:rPr>
          <w:color w:val="000000"/>
        </w:rPr>
        <w:t>Находим средние значения отдельно для положительной и отрицательной доходности. (Первое среднее значение)</w:t>
      </w:r>
    </w:p>
    <w:p w:rsidR="00522397" w:rsidRDefault="00522397" w:rsidP="00522397">
      <w:pPr>
        <w:numPr>
          <w:ilvl w:val="0"/>
          <w:numId w:val="13"/>
        </w:numPr>
        <w:jc w:val="both"/>
        <w:rPr>
          <w:color w:val="000000"/>
        </w:rPr>
      </w:pPr>
      <w:r>
        <w:rPr>
          <w:color w:val="000000"/>
        </w:rPr>
        <w:t>Находим точку максимума для значений положительной доходности и точку минимума для значений отрицательной доходности.</w:t>
      </w:r>
    </w:p>
    <w:p w:rsidR="00522397" w:rsidRDefault="00522397" w:rsidP="00522397">
      <w:pPr>
        <w:numPr>
          <w:ilvl w:val="0"/>
          <w:numId w:val="13"/>
        </w:numPr>
        <w:jc w:val="both"/>
        <w:rPr>
          <w:color w:val="000000"/>
        </w:rPr>
      </w:pPr>
      <w:r>
        <w:rPr>
          <w:color w:val="000000"/>
        </w:rPr>
        <w:t>Считаем второе среднее значение для положительной доходности между расстоянием от первого среднего значения и точкой максимума. Аналогично для отрицательной доходности, только расстояние нужно будет брать от первого среднего значения до точки минимума.</w:t>
      </w:r>
    </w:p>
    <w:p w:rsidR="00522397" w:rsidRDefault="00522397" w:rsidP="00522397">
      <w:pPr>
        <w:numPr>
          <w:ilvl w:val="0"/>
          <w:numId w:val="13"/>
        </w:numPr>
        <w:jc w:val="both"/>
        <w:rPr>
          <w:color w:val="000000"/>
        </w:rPr>
      </w:pPr>
      <w:r>
        <w:rPr>
          <w:color w:val="000000"/>
        </w:rPr>
        <w:t>Находим стандартное отклонение для диапазона между двумя вторыми средними значениями положительной и отрицательной доходности.</w:t>
      </w:r>
    </w:p>
    <w:p w:rsidR="00522397" w:rsidRDefault="00522397" w:rsidP="00522397">
      <w:pPr>
        <w:jc w:val="both"/>
        <w:rPr>
          <w:color w:val="000000"/>
        </w:rPr>
      </w:pPr>
      <w:r>
        <w:rPr>
          <w:color w:val="000000"/>
        </w:rPr>
        <w:t xml:space="preserve"> </w:t>
      </w:r>
    </w:p>
    <w:p w:rsidR="00522397" w:rsidRDefault="00522397" w:rsidP="00522397">
      <w:pPr>
        <w:ind w:firstLine="900"/>
        <w:jc w:val="both"/>
        <w:rPr>
          <w:color w:val="000000"/>
        </w:rPr>
      </w:pPr>
    </w:p>
    <w:p w:rsidR="00522397" w:rsidRDefault="00522397" w:rsidP="00522397">
      <w:pPr>
        <w:ind w:firstLine="900"/>
        <w:jc w:val="both"/>
        <w:rPr>
          <w:color w:val="000000"/>
        </w:rPr>
      </w:pPr>
    </w:p>
    <w:p w:rsidR="00522397" w:rsidRDefault="00522397" w:rsidP="00522397">
      <w:pPr>
        <w:ind w:firstLine="900"/>
        <w:jc w:val="both"/>
        <w:rPr>
          <w:color w:val="000000"/>
        </w:rPr>
      </w:pPr>
    </w:p>
    <w:p w:rsidR="00522397" w:rsidRDefault="00522397" w:rsidP="00522397">
      <w:pPr>
        <w:ind w:firstLine="900"/>
        <w:jc w:val="both"/>
        <w:rPr>
          <w:color w:val="000000"/>
        </w:rPr>
      </w:pPr>
    </w:p>
    <w:p w:rsidR="00522397" w:rsidRDefault="00522397" w:rsidP="00522397">
      <w:pPr>
        <w:ind w:firstLine="900"/>
        <w:jc w:val="both"/>
        <w:rPr>
          <w:color w:val="000000"/>
        </w:rPr>
      </w:pPr>
    </w:p>
    <w:p w:rsidR="00522397" w:rsidRDefault="00522397" w:rsidP="00522397">
      <w:pPr>
        <w:ind w:firstLine="900"/>
        <w:jc w:val="both"/>
        <w:rPr>
          <w:color w:val="000000"/>
        </w:rPr>
      </w:pPr>
    </w:p>
    <w:p w:rsidR="00522397" w:rsidRDefault="00522397" w:rsidP="00522397">
      <w:pPr>
        <w:ind w:firstLine="900"/>
        <w:jc w:val="both"/>
        <w:rPr>
          <w:color w:val="000000"/>
        </w:rPr>
      </w:pPr>
    </w:p>
    <w:p w:rsidR="00522397" w:rsidRDefault="00522397" w:rsidP="00522397">
      <w:pPr>
        <w:ind w:firstLine="900"/>
        <w:jc w:val="both"/>
        <w:rPr>
          <w:color w:val="000000"/>
        </w:rPr>
      </w:pPr>
    </w:p>
    <w:p w:rsidR="00522397" w:rsidRDefault="00522397" w:rsidP="00522397">
      <w:pPr>
        <w:ind w:firstLine="900"/>
        <w:jc w:val="both"/>
        <w:rPr>
          <w:color w:val="000000"/>
        </w:rPr>
      </w:pPr>
    </w:p>
    <w:p w:rsidR="00522397" w:rsidRDefault="00522397" w:rsidP="00522397">
      <w:pPr>
        <w:ind w:firstLine="900"/>
        <w:jc w:val="both"/>
        <w:rPr>
          <w:color w:val="000000"/>
        </w:rPr>
      </w:pPr>
    </w:p>
    <w:p w:rsidR="00522397" w:rsidRDefault="00522397" w:rsidP="00522397">
      <w:pPr>
        <w:ind w:firstLine="900"/>
        <w:jc w:val="both"/>
        <w:rPr>
          <w:color w:val="000000"/>
        </w:rPr>
      </w:pPr>
    </w:p>
    <w:p w:rsidR="00AC38B5" w:rsidRDefault="00522397" w:rsidP="00AC38B5">
      <w:pPr>
        <w:jc w:val="center"/>
        <w:rPr>
          <w:b/>
          <w:sz w:val="28"/>
          <w:szCs w:val="28"/>
        </w:rPr>
      </w:pPr>
      <w:r>
        <w:rPr>
          <w:b/>
          <w:sz w:val="28"/>
          <w:szCs w:val="28"/>
        </w:rPr>
        <w:t xml:space="preserve">2.2 </w:t>
      </w:r>
      <w:r w:rsidR="00AC38B5" w:rsidRPr="00AC38B5">
        <w:rPr>
          <w:b/>
          <w:sz w:val="28"/>
          <w:szCs w:val="28"/>
        </w:rPr>
        <w:t>Последствия корректировки стандартного отклонения в модели САРМ</w:t>
      </w:r>
    </w:p>
    <w:p w:rsidR="00AC38B5" w:rsidRPr="00AC38B5" w:rsidRDefault="00AC38B5" w:rsidP="00AC38B5">
      <w:pPr>
        <w:rPr>
          <w:b/>
          <w:sz w:val="28"/>
          <w:szCs w:val="28"/>
        </w:rPr>
      </w:pPr>
    </w:p>
    <w:p w:rsidR="0032209F" w:rsidRPr="00522397" w:rsidRDefault="0043484E" w:rsidP="00015864">
      <w:pPr>
        <w:ind w:firstLine="900"/>
        <w:jc w:val="both"/>
        <w:rPr>
          <w:b/>
          <w:color w:val="000000"/>
        </w:rPr>
      </w:pPr>
      <w:r w:rsidRPr="00A94E2A">
        <w:rPr>
          <w:b/>
          <w:color w:val="000000"/>
        </w:rPr>
        <w:t>Допущения, при которых работает модель САРМ (</w:t>
      </w:r>
      <w:r w:rsidRPr="00A94E2A">
        <w:rPr>
          <w:b/>
          <w:color w:val="000000"/>
          <w:lang w:val="en-US"/>
        </w:rPr>
        <w:t>Capital</w:t>
      </w:r>
      <w:r w:rsidRPr="00A94E2A">
        <w:rPr>
          <w:b/>
          <w:color w:val="000000"/>
        </w:rPr>
        <w:t xml:space="preserve"> </w:t>
      </w:r>
      <w:r w:rsidRPr="00A94E2A">
        <w:rPr>
          <w:b/>
          <w:color w:val="000000"/>
          <w:lang w:val="en-US"/>
        </w:rPr>
        <w:t>Asset</w:t>
      </w:r>
      <w:r w:rsidRPr="00A94E2A">
        <w:rPr>
          <w:b/>
          <w:color w:val="000000"/>
        </w:rPr>
        <w:t xml:space="preserve"> </w:t>
      </w:r>
      <w:r w:rsidRPr="00A94E2A">
        <w:rPr>
          <w:b/>
          <w:color w:val="000000"/>
          <w:lang w:val="en-US"/>
        </w:rPr>
        <w:t>Pricing</w:t>
      </w:r>
      <w:r w:rsidRPr="00A94E2A">
        <w:rPr>
          <w:b/>
          <w:color w:val="000000"/>
        </w:rPr>
        <w:t xml:space="preserve"> </w:t>
      </w:r>
      <w:r w:rsidRPr="00A94E2A">
        <w:rPr>
          <w:b/>
          <w:color w:val="000000"/>
          <w:lang w:val="en-US"/>
        </w:rPr>
        <w:t>Model</w:t>
      </w:r>
      <w:r w:rsidR="00A94E2A">
        <w:rPr>
          <w:b/>
          <w:color w:val="000000"/>
        </w:rPr>
        <w:t>)</w:t>
      </w:r>
      <w:r w:rsidR="00A94E2A" w:rsidRPr="00A94E2A">
        <w:rPr>
          <w:b/>
          <w:color w:val="000000"/>
        </w:rPr>
        <w:t xml:space="preserve">: </w:t>
      </w:r>
    </w:p>
    <w:p w:rsidR="00E672E5" w:rsidRPr="00E7037D" w:rsidRDefault="0032209F" w:rsidP="0032209F">
      <w:pPr>
        <w:numPr>
          <w:ilvl w:val="0"/>
          <w:numId w:val="16"/>
        </w:numPr>
        <w:jc w:val="both"/>
        <w:rPr>
          <w:color w:val="000000"/>
        </w:rPr>
      </w:pPr>
      <w:r w:rsidRPr="00E7037D">
        <w:rPr>
          <w:color w:val="000000"/>
        </w:rPr>
        <w:t>Ожидания инвесторов однородны, то есть все они обладают одинаковой информацией и воспринимают ее одинаковым образом.</w:t>
      </w:r>
    </w:p>
    <w:p w:rsidR="0032209F" w:rsidRPr="00E7037D" w:rsidRDefault="0032209F" w:rsidP="0032209F">
      <w:pPr>
        <w:numPr>
          <w:ilvl w:val="0"/>
          <w:numId w:val="16"/>
        </w:numPr>
        <w:jc w:val="both"/>
        <w:rPr>
          <w:color w:val="000000"/>
        </w:rPr>
      </w:pPr>
      <w:r w:rsidRPr="00E7037D">
        <w:rPr>
          <w:color w:val="000000"/>
        </w:rPr>
        <w:t>Отсутствие транзакционных издержек, то есть для инвесторов не существует препятствий в покупке тех бумаг, которые они хотят приобрести.</w:t>
      </w:r>
    </w:p>
    <w:p w:rsidR="0032209F" w:rsidRPr="00E7037D" w:rsidRDefault="0032209F" w:rsidP="0032209F">
      <w:pPr>
        <w:numPr>
          <w:ilvl w:val="0"/>
          <w:numId w:val="16"/>
        </w:numPr>
        <w:jc w:val="both"/>
        <w:rPr>
          <w:color w:val="000000"/>
        </w:rPr>
      </w:pPr>
      <w:r w:rsidRPr="00E7037D">
        <w:rPr>
          <w:color w:val="000000"/>
        </w:rPr>
        <w:t>Инвесторы рациональны и стремятся максимизировать свои индивидуальные функции полезности, что означает, что они склонны избегать риск.</w:t>
      </w:r>
    </w:p>
    <w:p w:rsidR="0032209F" w:rsidRPr="00E7037D" w:rsidRDefault="0032209F" w:rsidP="0032209F">
      <w:pPr>
        <w:numPr>
          <w:ilvl w:val="0"/>
          <w:numId w:val="16"/>
        </w:numPr>
        <w:jc w:val="both"/>
        <w:rPr>
          <w:color w:val="000000"/>
        </w:rPr>
      </w:pPr>
      <w:r w:rsidRPr="00E7037D">
        <w:rPr>
          <w:color w:val="000000"/>
        </w:rPr>
        <w:t xml:space="preserve">Инвестиции рассчитаны только на один период, таким образом, долгосрочные стратегии не влияют на текущие цены. </w:t>
      </w:r>
    </w:p>
    <w:p w:rsidR="0032209F" w:rsidRPr="00E7037D" w:rsidRDefault="0032209F" w:rsidP="0032209F">
      <w:pPr>
        <w:numPr>
          <w:ilvl w:val="0"/>
          <w:numId w:val="16"/>
        </w:numPr>
        <w:jc w:val="both"/>
        <w:rPr>
          <w:color w:val="000000"/>
        </w:rPr>
      </w:pPr>
      <w:r w:rsidRPr="00E7037D">
        <w:rPr>
          <w:color w:val="000000"/>
        </w:rPr>
        <w:t>Все инвесторы имеют возможность брать и давать деньги в долг по безрисковой ставке, что обеспечивает линейную зависимость между риском и доходностью.</w:t>
      </w:r>
    </w:p>
    <w:p w:rsidR="0032209F" w:rsidRPr="00E7037D" w:rsidRDefault="0032209F" w:rsidP="0032209F">
      <w:pPr>
        <w:numPr>
          <w:ilvl w:val="0"/>
          <w:numId w:val="16"/>
        </w:numPr>
        <w:jc w:val="both"/>
        <w:rPr>
          <w:color w:val="000000"/>
        </w:rPr>
      </w:pPr>
      <w:r w:rsidRPr="00E7037D">
        <w:rPr>
          <w:color w:val="000000"/>
        </w:rPr>
        <w:t xml:space="preserve">Все активы абсолютно делимы и совершенно ликвидные, то есть всегда могут быть проданы на рынке по существующей цене. </w:t>
      </w:r>
    </w:p>
    <w:p w:rsidR="0032209F" w:rsidRPr="00E7037D" w:rsidRDefault="0032209F" w:rsidP="0032209F">
      <w:pPr>
        <w:numPr>
          <w:ilvl w:val="0"/>
          <w:numId w:val="16"/>
        </w:numPr>
        <w:jc w:val="both"/>
        <w:rPr>
          <w:color w:val="000000"/>
        </w:rPr>
      </w:pPr>
      <w:r w:rsidRPr="00E7037D">
        <w:rPr>
          <w:color w:val="000000"/>
        </w:rPr>
        <w:t>Количество всех финансовых активов заранее определено и фиксировано.</w:t>
      </w:r>
    </w:p>
    <w:p w:rsidR="0032209F" w:rsidRPr="00E7037D" w:rsidRDefault="0032209F" w:rsidP="0032209F">
      <w:pPr>
        <w:numPr>
          <w:ilvl w:val="0"/>
          <w:numId w:val="16"/>
        </w:numPr>
        <w:jc w:val="both"/>
        <w:rPr>
          <w:color w:val="000000"/>
        </w:rPr>
      </w:pPr>
      <w:r w:rsidRPr="00E7037D">
        <w:rPr>
          <w:color w:val="000000"/>
        </w:rPr>
        <w:t>Не принимаются во внимание налоги.</w:t>
      </w:r>
    </w:p>
    <w:p w:rsidR="0032209F" w:rsidRPr="00E7037D" w:rsidRDefault="0032209F" w:rsidP="0032209F">
      <w:pPr>
        <w:numPr>
          <w:ilvl w:val="0"/>
          <w:numId w:val="16"/>
        </w:numPr>
        <w:jc w:val="both"/>
        <w:rPr>
          <w:color w:val="000000"/>
        </w:rPr>
      </w:pPr>
      <w:r w:rsidRPr="00E7037D">
        <w:rPr>
          <w:color w:val="000000"/>
        </w:rPr>
        <w:t xml:space="preserve">Все инвесторы принимают цену как экзогенно заданную величину, то есть предполагая их действия по покупке и продаже </w:t>
      </w:r>
      <w:r w:rsidR="00E7037D" w:rsidRPr="00E7037D">
        <w:rPr>
          <w:color w:val="000000"/>
        </w:rPr>
        <w:t xml:space="preserve">ценных бумаг не оказывает влияния на уровень их цен. </w:t>
      </w:r>
    </w:p>
    <w:p w:rsidR="00E7037D" w:rsidRPr="00E7037D" w:rsidRDefault="00E7037D" w:rsidP="00E7037D">
      <w:pPr>
        <w:jc w:val="both"/>
        <w:rPr>
          <w:color w:val="000000"/>
        </w:rPr>
      </w:pPr>
    </w:p>
    <w:p w:rsidR="00E7037D" w:rsidRPr="00E7037D" w:rsidRDefault="00E7037D" w:rsidP="00E7037D">
      <w:pPr>
        <w:ind w:firstLine="900"/>
        <w:jc w:val="both"/>
        <w:rPr>
          <w:color w:val="000000"/>
        </w:rPr>
      </w:pPr>
      <w:r w:rsidRPr="00E7037D">
        <w:rPr>
          <w:color w:val="000000"/>
        </w:rPr>
        <w:t xml:space="preserve">САРМ основана на наличии идеального рынка капитала. В центре внимания коллективное  поведение всех инвесторов на рынке, что позволяет выявить характер конечной равновесной зависимости между риском и доходность каждой ценной бумаги.  </w:t>
      </w:r>
    </w:p>
    <w:p w:rsidR="00101FB5" w:rsidRDefault="00A7001A" w:rsidP="00015864">
      <w:pPr>
        <w:jc w:val="both"/>
        <w:rPr>
          <w:color w:val="000000"/>
        </w:rPr>
      </w:pPr>
      <w:r>
        <w:rPr>
          <w:color w:val="000000"/>
          <w:lang w:val="kk-KZ"/>
        </w:rPr>
        <w:t xml:space="preserve">Модель САРМ базируется на формуле зависимости доходности актива </w:t>
      </w:r>
      <w:r w:rsidRPr="00A7001A">
        <w:rPr>
          <w:color w:val="000000"/>
        </w:rPr>
        <w:t>(</w:t>
      </w:r>
      <w:r>
        <w:rPr>
          <w:color w:val="000000"/>
          <w:lang w:val="en-US"/>
        </w:rPr>
        <w:t>r</w:t>
      </w:r>
      <w:r>
        <w:rPr>
          <w:color w:val="000000"/>
          <w:vertAlign w:val="subscript"/>
          <w:lang w:val="en-US"/>
        </w:rPr>
        <w:t>i</w:t>
      </w:r>
      <w:r w:rsidRPr="00A7001A">
        <w:rPr>
          <w:color w:val="000000"/>
        </w:rPr>
        <w:t xml:space="preserve">) </w:t>
      </w:r>
      <w:r>
        <w:rPr>
          <w:color w:val="000000"/>
        </w:rPr>
        <w:t>от коэффициента Бета, доходности рынка и безрискового актива</w:t>
      </w:r>
      <w:r w:rsidR="009F2F8E" w:rsidRPr="009F2F8E">
        <w:rPr>
          <w:color w:val="000000"/>
        </w:rPr>
        <w:t xml:space="preserve"> [12]</w:t>
      </w:r>
      <w:r>
        <w:rPr>
          <w:color w:val="000000"/>
        </w:rPr>
        <w:t xml:space="preserve">. </w:t>
      </w:r>
    </w:p>
    <w:p w:rsidR="00A7001A" w:rsidRDefault="00A7001A" w:rsidP="00015864">
      <w:pPr>
        <w:jc w:val="both"/>
        <w:rPr>
          <w:color w:val="000000"/>
        </w:rPr>
      </w:pPr>
    </w:p>
    <w:p w:rsidR="00A7001A" w:rsidRPr="00071299" w:rsidRDefault="00A7001A" w:rsidP="00A7001A">
      <w:pPr>
        <w:jc w:val="center"/>
        <w:rPr>
          <w:b/>
          <w:color w:val="000000"/>
          <w:lang w:val="en-US"/>
        </w:rPr>
      </w:pPr>
      <w:r w:rsidRPr="00071299">
        <w:rPr>
          <w:b/>
          <w:color w:val="000000"/>
          <w:lang w:val="en-US"/>
        </w:rPr>
        <w:t>r</w:t>
      </w:r>
      <w:r w:rsidRPr="00071299">
        <w:rPr>
          <w:b/>
          <w:color w:val="000000"/>
          <w:vertAlign w:val="subscript"/>
          <w:lang w:val="en-US"/>
        </w:rPr>
        <w:t>i</w:t>
      </w:r>
      <w:r w:rsidRPr="00071299">
        <w:rPr>
          <w:b/>
          <w:color w:val="000000"/>
          <w:lang w:val="en-US"/>
        </w:rPr>
        <w:t xml:space="preserve"> = r</w:t>
      </w:r>
      <w:r w:rsidRPr="00071299">
        <w:rPr>
          <w:b/>
          <w:color w:val="000000"/>
          <w:vertAlign w:val="subscript"/>
          <w:lang w:val="en-US"/>
        </w:rPr>
        <w:t>m</w:t>
      </w:r>
      <w:r w:rsidRPr="00071299">
        <w:rPr>
          <w:b/>
          <w:color w:val="000000"/>
          <w:lang w:val="en-US"/>
        </w:rPr>
        <w:t xml:space="preserve"> + β * (r</w:t>
      </w:r>
      <w:r w:rsidRPr="00071299">
        <w:rPr>
          <w:b/>
          <w:color w:val="000000"/>
          <w:vertAlign w:val="subscript"/>
          <w:lang w:val="en-US"/>
        </w:rPr>
        <w:t>m</w:t>
      </w:r>
      <w:r w:rsidRPr="00071299">
        <w:rPr>
          <w:b/>
          <w:color w:val="000000"/>
          <w:lang w:val="en-US"/>
        </w:rPr>
        <w:t xml:space="preserve"> – r</w:t>
      </w:r>
      <w:r w:rsidRPr="00071299">
        <w:rPr>
          <w:b/>
          <w:color w:val="000000"/>
          <w:vertAlign w:val="subscript"/>
          <w:lang w:val="en-US"/>
        </w:rPr>
        <w:t>0</w:t>
      </w:r>
      <w:r w:rsidRPr="00071299">
        <w:rPr>
          <w:b/>
          <w:color w:val="000000"/>
          <w:lang w:val="en-US"/>
        </w:rPr>
        <w:t>)</w:t>
      </w:r>
    </w:p>
    <w:p w:rsidR="008638BC" w:rsidRPr="00071299" w:rsidRDefault="008638BC" w:rsidP="008638BC">
      <w:pPr>
        <w:rPr>
          <w:b/>
          <w:color w:val="000000"/>
          <w:lang w:val="en-US"/>
        </w:rPr>
      </w:pPr>
    </w:p>
    <w:p w:rsidR="008638BC" w:rsidRPr="001D2D55" w:rsidRDefault="008638BC" w:rsidP="008638BC">
      <w:pPr>
        <w:rPr>
          <w:b/>
          <w:color w:val="000000"/>
          <w:vertAlign w:val="subscript"/>
          <w:lang w:val="en-US"/>
        </w:rPr>
      </w:pPr>
      <w:r w:rsidRPr="00071299">
        <w:rPr>
          <w:b/>
          <w:color w:val="000000"/>
          <w:lang w:val="en-US"/>
        </w:rPr>
        <w:t>β=Cov</w:t>
      </w:r>
      <w:r w:rsidRPr="00071299">
        <w:rPr>
          <w:b/>
          <w:color w:val="000000"/>
          <w:vertAlign w:val="subscript"/>
          <w:lang w:val="en-US"/>
        </w:rPr>
        <w:t>im</w:t>
      </w:r>
      <w:r w:rsidRPr="00071299">
        <w:rPr>
          <w:b/>
          <w:color w:val="000000"/>
          <w:lang w:val="en-US"/>
        </w:rPr>
        <w:t>/σ</w:t>
      </w:r>
      <w:r w:rsidRPr="00071299">
        <w:rPr>
          <w:b/>
          <w:color w:val="000000"/>
          <w:vertAlign w:val="subscript"/>
          <w:lang w:val="en-US"/>
        </w:rPr>
        <w:t>m</w:t>
      </w:r>
      <w:r w:rsidR="00071299" w:rsidRPr="00071299">
        <w:rPr>
          <w:b/>
          <w:color w:val="000000"/>
          <w:lang w:val="en-US"/>
        </w:rPr>
        <w:t>, или</w:t>
      </w:r>
      <w:r w:rsidRPr="00071299">
        <w:rPr>
          <w:b/>
          <w:color w:val="000000"/>
          <w:lang w:val="en-US"/>
        </w:rPr>
        <w:t xml:space="preserve"> </w:t>
      </w:r>
      <w:r w:rsidRPr="00071299">
        <w:rPr>
          <w:b/>
          <w:color w:val="000000"/>
          <w:vertAlign w:val="subscript"/>
          <w:lang w:val="kk-KZ"/>
        </w:rPr>
        <w:t xml:space="preserve"> </w:t>
      </w:r>
      <w:r w:rsidRPr="00071299">
        <w:rPr>
          <w:b/>
          <w:color w:val="000000"/>
          <w:lang w:val="en-US"/>
        </w:rPr>
        <w:t>β= σ</w:t>
      </w:r>
      <w:r w:rsidRPr="00071299">
        <w:rPr>
          <w:b/>
          <w:color w:val="000000"/>
          <w:vertAlign w:val="subscript"/>
          <w:lang w:val="en-US"/>
        </w:rPr>
        <w:t>i</w:t>
      </w:r>
      <w:r w:rsidRPr="00071299">
        <w:rPr>
          <w:b/>
          <w:color w:val="000000"/>
          <w:lang w:val="en-US"/>
        </w:rPr>
        <w:t>/σ</w:t>
      </w:r>
      <w:r w:rsidRPr="00071299">
        <w:rPr>
          <w:b/>
          <w:color w:val="000000"/>
          <w:vertAlign w:val="subscript"/>
          <w:lang w:val="en-US"/>
        </w:rPr>
        <w:t xml:space="preserve">m * </w:t>
      </w:r>
      <w:r w:rsidRPr="00071299">
        <w:rPr>
          <w:b/>
          <w:color w:val="000000"/>
          <w:lang w:val="en-US"/>
        </w:rPr>
        <w:t>Corr</w:t>
      </w:r>
      <w:r w:rsidRPr="00071299">
        <w:rPr>
          <w:b/>
          <w:color w:val="000000"/>
          <w:vertAlign w:val="subscript"/>
          <w:lang w:val="en-US"/>
        </w:rPr>
        <w:t>im</w:t>
      </w:r>
      <w:r w:rsidR="001D2D55" w:rsidRPr="001D2D55">
        <w:rPr>
          <w:b/>
          <w:color w:val="000000"/>
          <w:vertAlign w:val="subscript"/>
          <w:lang w:val="en-US"/>
        </w:rPr>
        <w:t xml:space="preserve">   </w:t>
      </w:r>
      <w:r w:rsidR="001D2D55" w:rsidRPr="001D2D55">
        <w:rPr>
          <w:color w:val="000000"/>
          <w:lang w:val="en-US"/>
        </w:rPr>
        <w:t>[</w:t>
      </w:r>
      <w:r w:rsidR="001D2D55">
        <w:rPr>
          <w:color w:val="000000"/>
          <w:lang w:val="en-US"/>
        </w:rPr>
        <w:t>1</w:t>
      </w:r>
      <w:r w:rsidR="001D2D55" w:rsidRPr="001D2D55">
        <w:rPr>
          <w:color w:val="000000"/>
          <w:lang w:val="en-US"/>
        </w:rPr>
        <w:t>3].</w:t>
      </w:r>
    </w:p>
    <w:p w:rsidR="008638BC" w:rsidRPr="00071299" w:rsidRDefault="008638BC" w:rsidP="008638BC">
      <w:pPr>
        <w:rPr>
          <w:b/>
          <w:color w:val="000000"/>
          <w:lang w:val="en-US"/>
        </w:rPr>
      </w:pPr>
    </w:p>
    <w:p w:rsidR="008638BC" w:rsidRPr="00071299" w:rsidRDefault="008638BC" w:rsidP="008638BC">
      <w:pPr>
        <w:rPr>
          <w:b/>
          <w:color w:val="000000"/>
          <w:vertAlign w:val="subscript"/>
          <w:lang w:val="en-US"/>
        </w:rPr>
      </w:pPr>
      <w:r w:rsidRPr="00071299">
        <w:rPr>
          <w:b/>
          <w:color w:val="000000"/>
          <w:lang w:val="en-US"/>
        </w:rPr>
        <w:t>σ</w:t>
      </w:r>
      <w:r w:rsidRPr="00071299">
        <w:rPr>
          <w:b/>
          <w:color w:val="000000"/>
          <w:vertAlign w:val="subscript"/>
          <w:lang w:val="en-US"/>
        </w:rPr>
        <w:t>i</w:t>
      </w:r>
      <w:r w:rsidRPr="00071299">
        <w:rPr>
          <w:b/>
          <w:color w:val="000000"/>
          <w:lang w:val="en-US"/>
        </w:rPr>
        <w:t>= σ</w:t>
      </w:r>
      <w:r w:rsidRPr="00071299">
        <w:rPr>
          <w:b/>
          <w:color w:val="000000"/>
          <w:vertAlign w:val="subscript"/>
          <w:lang w:val="en-US"/>
        </w:rPr>
        <w:t xml:space="preserve">m </w:t>
      </w:r>
      <w:r w:rsidRPr="00071299">
        <w:rPr>
          <w:b/>
          <w:color w:val="000000"/>
          <w:lang w:val="en-US"/>
        </w:rPr>
        <w:t>+ ⌂ σ</w:t>
      </w:r>
      <w:r w:rsidRPr="00071299">
        <w:rPr>
          <w:b/>
          <w:color w:val="000000"/>
          <w:vertAlign w:val="subscript"/>
          <w:lang w:val="en-US"/>
        </w:rPr>
        <w:t>i</w:t>
      </w:r>
    </w:p>
    <w:p w:rsidR="008638BC" w:rsidRDefault="008638BC" w:rsidP="008638BC">
      <w:pPr>
        <w:rPr>
          <w:color w:val="000000"/>
          <w:sz w:val="28"/>
          <w:szCs w:val="28"/>
        </w:rPr>
      </w:pPr>
    </w:p>
    <w:p w:rsidR="008638BC" w:rsidRPr="001D2D55" w:rsidRDefault="008638BC" w:rsidP="00A53ACE">
      <w:pPr>
        <w:ind w:firstLine="900"/>
        <w:rPr>
          <w:color w:val="000000"/>
        </w:rPr>
      </w:pPr>
      <w:r w:rsidRPr="00071299">
        <w:rPr>
          <w:color w:val="000000"/>
        </w:rPr>
        <w:t>Риск актива</w:t>
      </w:r>
      <w:r w:rsidR="00071299" w:rsidRPr="00071299">
        <w:rPr>
          <w:color w:val="000000"/>
        </w:rPr>
        <w:t xml:space="preserve"> (</w:t>
      </w:r>
      <w:r w:rsidR="00071299" w:rsidRPr="00071299">
        <w:rPr>
          <w:color w:val="000000"/>
          <w:lang w:val="en-US"/>
        </w:rPr>
        <w:t>σ</w:t>
      </w:r>
      <w:r w:rsidR="00071299" w:rsidRPr="00071299">
        <w:rPr>
          <w:color w:val="000000"/>
          <w:vertAlign w:val="subscript"/>
          <w:lang w:val="en-US"/>
        </w:rPr>
        <w:t>i</w:t>
      </w:r>
      <w:r w:rsidR="00071299" w:rsidRPr="00071299">
        <w:rPr>
          <w:color w:val="000000"/>
        </w:rPr>
        <w:t>)</w:t>
      </w:r>
      <w:r w:rsidRPr="00071299">
        <w:rPr>
          <w:color w:val="000000"/>
        </w:rPr>
        <w:t xml:space="preserve"> состоит из системного риска</w:t>
      </w:r>
      <w:r w:rsidR="00071299" w:rsidRPr="00071299">
        <w:rPr>
          <w:color w:val="000000"/>
        </w:rPr>
        <w:t xml:space="preserve"> (</w:t>
      </w:r>
      <w:r w:rsidR="00071299" w:rsidRPr="00071299">
        <w:rPr>
          <w:color w:val="000000"/>
          <w:lang w:val="en-US"/>
        </w:rPr>
        <w:t>σ</w:t>
      </w:r>
      <w:r w:rsidR="00071299" w:rsidRPr="00071299">
        <w:rPr>
          <w:color w:val="000000"/>
          <w:vertAlign w:val="subscript"/>
          <w:lang w:val="en-US"/>
        </w:rPr>
        <w:t>m</w:t>
      </w:r>
      <w:r w:rsidR="00071299" w:rsidRPr="00071299">
        <w:rPr>
          <w:color w:val="000000"/>
        </w:rPr>
        <w:t>)</w:t>
      </w:r>
      <w:r w:rsidRPr="00071299">
        <w:rPr>
          <w:color w:val="000000"/>
        </w:rPr>
        <w:t>, он одинаков для всех эмитентов</w:t>
      </w:r>
      <w:r w:rsidR="00071299" w:rsidRPr="00071299">
        <w:rPr>
          <w:color w:val="000000"/>
        </w:rPr>
        <w:t xml:space="preserve">, и специфического риска (⌂ </w:t>
      </w:r>
      <w:r w:rsidR="00071299" w:rsidRPr="00071299">
        <w:rPr>
          <w:color w:val="000000"/>
          <w:lang w:val="en-US"/>
        </w:rPr>
        <w:t>σ</w:t>
      </w:r>
      <w:r w:rsidR="00071299" w:rsidRPr="00071299">
        <w:rPr>
          <w:color w:val="000000"/>
          <w:vertAlign w:val="subscript"/>
          <w:lang w:val="en-US"/>
        </w:rPr>
        <w:t>i</w:t>
      </w:r>
      <w:r w:rsidR="00071299" w:rsidRPr="00071299">
        <w:rPr>
          <w:color w:val="000000"/>
        </w:rPr>
        <w:t>), присущего только данной компании</w:t>
      </w:r>
      <w:r w:rsidR="001D2D55">
        <w:rPr>
          <w:color w:val="000000"/>
        </w:rPr>
        <w:t xml:space="preserve"> </w:t>
      </w:r>
      <w:r w:rsidR="001D2D55" w:rsidRPr="001D2D55">
        <w:rPr>
          <w:color w:val="000000"/>
        </w:rPr>
        <w:t>[14].</w:t>
      </w:r>
    </w:p>
    <w:p w:rsidR="00A73C82" w:rsidRDefault="00A73C82" w:rsidP="00A53ACE">
      <w:pPr>
        <w:ind w:firstLine="900"/>
        <w:rPr>
          <w:color w:val="000000"/>
        </w:rPr>
      </w:pPr>
      <w:r>
        <w:rPr>
          <w:color w:val="000000"/>
          <w:lang w:val="kk-KZ"/>
        </w:rPr>
        <w:t xml:space="preserve">В предыдущей главе, учитывая нашу корректировку, мы нашли  </w:t>
      </w:r>
      <w:r w:rsidRPr="00653195">
        <w:rPr>
          <w:color w:val="000000"/>
        </w:rPr>
        <w:t xml:space="preserve">⌂ </w:t>
      </w:r>
      <w:r w:rsidRPr="00653195">
        <w:rPr>
          <w:color w:val="000000"/>
          <w:lang w:val="en-US"/>
        </w:rPr>
        <w:t>σ</w:t>
      </w:r>
      <w:r w:rsidRPr="00653195">
        <w:rPr>
          <w:color w:val="000000"/>
          <w:vertAlign w:val="subscript"/>
          <w:lang w:val="en-US"/>
        </w:rPr>
        <w:t>i</w:t>
      </w:r>
      <w:r w:rsidRPr="00653195">
        <w:rPr>
          <w:color w:val="000000"/>
          <w:vertAlign w:val="subscript"/>
        </w:rPr>
        <w:t xml:space="preserve">. </w:t>
      </w:r>
      <w:r w:rsidRPr="00653195">
        <w:rPr>
          <w:color w:val="000000"/>
        </w:rPr>
        <w:t xml:space="preserve">Теперь нам нужно найти </w:t>
      </w:r>
      <w:r w:rsidRPr="00653195">
        <w:rPr>
          <w:color w:val="000000"/>
          <w:lang w:val="en-US"/>
        </w:rPr>
        <w:t>σ</w:t>
      </w:r>
      <w:r w:rsidRPr="00653195">
        <w:rPr>
          <w:color w:val="000000"/>
          <w:vertAlign w:val="subscript"/>
          <w:lang w:val="en-US"/>
        </w:rPr>
        <w:t>m</w:t>
      </w:r>
      <w:r w:rsidRPr="00653195">
        <w:rPr>
          <w:color w:val="000000"/>
          <w:vertAlign w:val="subscript"/>
        </w:rPr>
        <w:t xml:space="preserve"> </w:t>
      </w:r>
      <w:r w:rsidRPr="00653195">
        <w:rPr>
          <w:color w:val="000000"/>
        </w:rPr>
        <w:t>(системный риск, то есть рыночный). Так как ранее мы использовали</w:t>
      </w:r>
      <w:r>
        <w:rPr>
          <w:color w:val="000000"/>
        </w:rPr>
        <w:t xml:space="preserve"> акции Газпрома на ММВБ, то и в этот раз для подсчета системного риска будем доходность индекса ММВБ за тот же период. Система </w:t>
      </w:r>
      <w:r w:rsidR="0078289A">
        <w:rPr>
          <w:color w:val="000000"/>
        </w:rPr>
        <w:t xml:space="preserve">подсчета </w:t>
      </w:r>
      <w:r>
        <w:rPr>
          <w:color w:val="000000"/>
        </w:rPr>
        <w:t xml:space="preserve">стандартного отклонения индекса </w:t>
      </w:r>
      <w:r>
        <w:rPr>
          <w:color w:val="000000"/>
          <w:lang w:val="en-US"/>
        </w:rPr>
        <w:t>MICEX</w:t>
      </w:r>
      <w:r w:rsidRPr="0078289A">
        <w:rPr>
          <w:color w:val="000000"/>
        </w:rPr>
        <w:t xml:space="preserve"> </w:t>
      </w:r>
      <w:r w:rsidR="0078289A">
        <w:rPr>
          <w:color w:val="000000"/>
        </w:rPr>
        <w:t xml:space="preserve">согласно нашей корректировке </w:t>
      </w:r>
      <w:r>
        <w:rPr>
          <w:color w:val="000000"/>
        </w:rPr>
        <w:t>та же самая</w:t>
      </w:r>
      <w:r w:rsidR="0078289A">
        <w:rPr>
          <w:color w:val="000000"/>
        </w:rPr>
        <w:t xml:space="preserve">, что мы использовали в предыдущей главе. Находится два средних значения отдельно для отрицательной и положительной доходности, считается стандартное отклонение от диапазона между двумя крайними средними  значениями. </w:t>
      </w:r>
      <w:r w:rsidR="00A53ACE">
        <w:rPr>
          <w:color w:val="000000"/>
        </w:rPr>
        <w:t>(рис.8)</w:t>
      </w:r>
    </w:p>
    <w:p w:rsidR="0078289A" w:rsidRDefault="0078289A" w:rsidP="00A53ACE">
      <w:pPr>
        <w:ind w:firstLine="900"/>
        <w:rPr>
          <w:color w:val="000000"/>
        </w:rPr>
      </w:pPr>
      <w:r>
        <w:rPr>
          <w:color w:val="000000"/>
        </w:rPr>
        <w:t xml:space="preserve">Согласно нашим расчетам скорректированное </w:t>
      </w:r>
      <w:r w:rsidRPr="006C4389">
        <w:rPr>
          <w:b/>
          <w:color w:val="000000"/>
          <w:lang w:val="en-US"/>
        </w:rPr>
        <w:t>σ</w:t>
      </w:r>
      <w:r w:rsidRPr="006C4389">
        <w:rPr>
          <w:b/>
          <w:color w:val="000000"/>
          <w:vertAlign w:val="subscript"/>
          <w:lang w:val="en-US"/>
        </w:rPr>
        <w:t>m</w:t>
      </w:r>
      <w:r w:rsidRPr="006C4389">
        <w:rPr>
          <w:b/>
          <w:color w:val="000000"/>
          <w:vertAlign w:val="subscript"/>
        </w:rPr>
        <w:t xml:space="preserve"> </w:t>
      </w:r>
      <w:r w:rsidR="00653195" w:rsidRPr="006C4389">
        <w:rPr>
          <w:b/>
          <w:color w:val="000000"/>
        </w:rPr>
        <w:t>равно 0,964%</w:t>
      </w:r>
      <w:r w:rsidR="00653195">
        <w:rPr>
          <w:color w:val="000000"/>
        </w:rPr>
        <w:t xml:space="preserve">, не скорректированное- </w:t>
      </w:r>
      <w:r w:rsidR="00653195" w:rsidRPr="006C4389">
        <w:rPr>
          <w:b/>
          <w:color w:val="000000"/>
        </w:rPr>
        <w:t>1,422%.</w:t>
      </w:r>
      <w:r w:rsidR="00653195">
        <w:rPr>
          <w:color w:val="000000"/>
        </w:rPr>
        <w:t xml:space="preserve"> Разница 0,458%. </w:t>
      </w:r>
    </w:p>
    <w:p w:rsidR="00653195" w:rsidRPr="006C4389" w:rsidRDefault="00653195" w:rsidP="00A53ACE">
      <w:pPr>
        <w:ind w:firstLine="900"/>
        <w:rPr>
          <w:b/>
          <w:color w:val="000000"/>
        </w:rPr>
      </w:pPr>
      <w:r>
        <w:rPr>
          <w:color w:val="000000"/>
        </w:rPr>
        <w:t xml:space="preserve">Отсюда </w:t>
      </w:r>
      <w:r w:rsidR="00A53ACE">
        <w:rPr>
          <w:color w:val="000000"/>
        </w:rPr>
        <w:t xml:space="preserve"> скорректированное </w:t>
      </w:r>
      <w:r w:rsidRPr="006C4389">
        <w:rPr>
          <w:b/>
          <w:color w:val="000000"/>
          <w:lang w:val="en-US"/>
        </w:rPr>
        <w:t>σ</w:t>
      </w:r>
      <w:r w:rsidRPr="006C4389">
        <w:rPr>
          <w:b/>
          <w:color w:val="000000"/>
          <w:vertAlign w:val="subscript"/>
          <w:lang w:val="en-US"/>
        </w:rPr>
        <w:t>i</w:t>
      </w:r>
      <w:r w:rsidR="00A53ACE" w:rsidRPr="006C4389">
        <w:rPr>
          <w:b/>
          <w:color w:val="000000"/>
          <w:vertAlign w:val="subscript"/>
        </w:rPr>
        <w:t xml:space="preserve"> </w:t>
      </w:r>
      <w:r w:rsidR="00A53ACE" w:rsidRPr="006C4389">
        <w:rPr>
          <w:b/>
          <w:color w:val="000000"/>
        </w:rPr>
        <w:t xml:space="preserve"> = </w:t>
      </w:r>
      <w:r w:rsidRPr="006C4389">
        <w:rPr>
          <w:b/>
          <w:color w:val="000000"/>
        </w:rPr>
        <w:t xml:space="preserve">0,964% + 1, 143% = </w:t>
      </w:r>
      <w:r w:rsidR="00A53ACE" w:rsidRPr="006C4389">
        <w:rPr>
          <w:b/>
          <w:color w:val="000000"/>
        </w:rPr>
        <w:t>2, 107%.</w:t>
      </w:r>
      <w:r w:rsidR="00A53ACE">
        <w:rPr>
          <w:color w:val="000000"/>
        </w:rPr>
        <w:t xml:space="preserve"> Не скорректированное </w:t>
      </w:r>
      <w:r w:rsidR="00A53ACE" w:rsidRPr="006C4389">
        <w:rPr>
          <w:b/>
          <w:color w:val="000000"/>
          <w:lang w:val="en-US"/>
        </w:rPr>
        <w:t>σ</w:t>
      </w:r>
      <w:r w:rsidR="00A53ACE" w:rsidRPr="006C4389">
        <w:rPr>
          <w:b/>
          <w:color w:val="000000"/>
          <w:vertAlign w:val="subscript"/>
          <w:lang w:val="en-US"/>
        </w:rPr>
        <w:t>i</w:t>
      </w:r>
      <w:r w:rsidR="00A53ACE" w:rsidRPr="006C4389">
        <w:rPr>
          <w:b/>
          <w:color w:val="000000"/>
          <w:vertAlign w:val="subscript"/>
        </w:rPr>
        <w:t xml:space="preserve"> </w:t>
      </w:r>
      <w:r w:rsidR="00A53ACE" w:rsidRPr="006C4389">
        <w:rPr>
          <w:b/>
          <w:color w:val="000000"/>
        </w:rPr>
        <w:t xml:space="preserve"> = 1,422% + 1, 615% = 3,037%</w:t>
      </w:r>
    </w:p>
    <w:p w:rsidR="00A53ACE" w:rsidRPr="00653195" w:rsidRDefault="00A53ACE" w:rsidP="00A53ACE">
      <w:pPr>
        <w:ind w:firstLine="900"/>
        <w:rPr>
          <w:color w:val="000000"/>
        </w:rPr>
      </w:pPr>
      <w:r>
        <w:rPr>
          <w:color w:val="000000"/>
        </w:rPr>
        <w:t xml:space="preserve">Можно заметить, что скорректированные значения всегда получаются меньше чем нескорректированные, что можно объяснить сглаживаем стандартного отклонения от шумов. </w:t>
      </w:r>
    </w:p>
    <w:p w:rsidR="00A73C82" w:rsidRPr="00A73C82" w:rsidRDefault="00A73C82" w:rsidP="008638BC">
      <w:pPr>
        <w:rPr>
          <w:color w:val="000000"/>
        </w:rPr>
      </w:pPr>
    </w:p>
    <w:p w:rsidR="008638BC" w:rsidRPr="00071299" w:rsidRDefault="008638BC" w:rsidP="008638BC">
      <w:pPr>
        <w:rPr>
          <w:color w:val="000000"/>
          <w:vertAlign w:val="subscript"/>
        </w:rPr>
      </w:pPr>
    </w:p>
    <w:p w:rsidR="00101FB5" w:rsidRPr="00071299" w:rsidRDefault="002B22E2" w:rsidP="00A7001A">
      <w:pPr>
        <w:jc w:val="center"/>
        <w:rPr>
          <w:color w:val="000000"/>
        </w:rPr>
      </w:pPr>
      <w:r>
        <w:rPr>
          <w:color w:val="000000"/>
        </w:rPr>
        <w:pict>
          <v:shape id="_x0000_i1041" type="#_x0000_t75" style="width:358.5pt;height:213pt">
            <v:imagedata r:id="rId23" o:title="Безымянный 2"/>
          </v:shape>
        </w:pict>
      </w:r>
    </w:p>
    <w:p w:rsidR="00A7001A" w:rsidRPr="00071299" w:rsidRDefault="00A7001A" w:rsidP="00A7001A">
      <w:pPr>
        <w:jc w:val="center"/>
        <w:rPr>
          <w:color w:val="000000"/>
        </w:rPr>
      </w:pPr>
    </w:p>
    <w:p w:rsidR="00101FB5" w:rsidRPr="007C72F6" w:rsidRDefault="007C72F6" w:rsidP="007C72F6">
      <w:pPr>
        <w:jc w:val="center"/>
        <w:rPr>
          <w:i/>
          <w:color w:val="000000"/>
        </w:rPr>
      </w:pPr>
      <w:r w:rsidRPr="007C72F6">
        <w:rPr>
          <w:i/>
          <w:color w:val="000000"/>
        </w:rPr>
        <w:t>Рис. 8</w:t>
      </w:r>
    </w:p>
    <w:p w:rsidR="00101FB5" w:rsidRPr="00071299" w:rsidRDefault="00101FB5" w:rsidP="00015864">
      <w:pPr>
        <w:jc w:val="both"/>
        <w:rPr>
          <w:color w:val="000000"/>
        </w:rPr>
      </w:pPr>
    </w:p>
    <w:p w:rsidR="00A53ACE" w:rsidRDefault="00A53ACE" w:rsidP="00A53ACE">
      <w:pPr>
        <w:rPr>
          <w:b/>
          <w:color w:val="000000"/>
          <w:vertAlign w:val="subscript"/>
        </w:rPr>
      </w:pPr>
      <w:r>
        <w:rPr>
          <w:color w:val="000000"/>
        </w:rPr>
        <w:t xml:space="preserve">Для нахождения </w:t>
      </w:r>
      <w:r w:rsidRPr="00071299">
        <w:rPr>
          <w:b/>
          <w:color w:val="000000"/>
          <w:lang w:val="en-US"/>
        </w:rPr>
        <w:t>β</w:t>
      </w:r>
      <w:r>
        <w:rPr>
          <w:b/>
          <w:color w:val="000000"/>
        </w:rPr>
        <w:t xml:space="preserve"> </w:t>
      </w:r>
      <w:r>
        <w:rPr>
          <w:color w:val="000000"/>
        </w:rPr>
        <w:t xml:space="preserve">воспользуемся формулой </w:t>
      </w:r>
      <w:r w:rsidRPr="00071299">
        <w:rPr>
          <w:b/>
          <w:color w:val="000000"/>
          <w:lang w:val="en-US"/>
        </w:rPr>
        <w:t>β</w:t>
      </w:r>
      <w:r w:rsidRPr="00A53ACE">
        <w:rPr>
          <w:b/>
          <w:color w:val="000000"/>
        </w:rPr>
        <w:t xml:space="preserve">= </w:t>
      </w:r>
      <w:r w:rsidRPr="00071299">
        <w:rPr>
          <w:b/>
          <w:color w:val="000000"/>
          <w:lang w:val="en-US"/>
        </w:rPr>
        <w:t>σ</w:t>
      </w:r>
      <w:r w:rsidRPr="00071299">
        <w:rPr>
          <w:b/>
          <w:color w:val="000000"/>
          <w:vertAlign w:val="subscript"/>
          <w:lang w:val="en-US"/>
        </w:rPr>
        <w:t>i</w:t>
      </w:r>
      <w:r w:rsidRPr="00A53ACE">
        <w:rPr>
          <w:b/>
          <w:color w:val="000000"/>
        </w:rPr>
        <w:t>/</w:t>
      </w:r>
      <w:r w:rsidRPr="00071299">
        <w:rPr>
          <w:b/>
          <w:color w:val="000000"/>
          <w:lang w:val="en-US"/>
        </w:rPr>
        <w:t>σ</w:t>
      </w:r>
      <w:r w:rsidRPr="00071299">
        <w:rPr>
          <w:b/>
          <w:color w:val="000000"/>
          <w:vertAlign w:val="subscript"/>
          <w:lang w:val="en-US"/>
        </w:rPr>
        <w:t>m</w:t>
      </w:r>
      <w:r w:rsidRPr="00A53ACE">
        <w:rPr>
          <w:b/>
          <w:color w:val="000000"/>
          <w:vertAlign w:val="subscript"/>
        </w:rPr>
        <w:t xml:space="preserve"> * </w:t>
      </w:r>
      <w:r w:rsidRPr="00071299">
        <w:rPr>
          <w:b/>
          <w:color w:val="000000"/>
          <w:lang w:val="en-US"/>
        </w:rPr>
        <w:t>Corr</w:t>
      </w:r>
      <w:r w:rsidRPr="00071299">
        <w:rPr>
          <w:b/>
          <w:color w:val="000000"/>
          <w:vertAlign w:val="subscript"/>
          <w:lang w:val="en-US"/>
        </w:rPr>
        <w:t>im</w:t>
      </w:r>
      <w:r>
        <w:rPr>
          <w:b/>
          <w:color w:val="000000"/>
          <w:vertAlign w:val="subscript"/>
        </w:rPr>
        <w:t>.</w:t>
      </w:r>
    </w:p>
    <w:p w:rsidR="00AD1D15" w:rsidRPr="00342546" w:rsidRDefault="00AD1D15" w:rsidP="00AD1D15">
      <w:pPr>
        <w:jc w:val="both"/>
        <w:rPr>
          <w:color w:val="000000"/>
          <w:vertAlign w:val="subscript"/>
        </w:rPr>
      </w:pPr>
      <w:r w:rsidRPr="00AD1D15">
        <w:rPr>
          <w:color w:val="000000"/>
          <w:lang w:val="en-US"/>
        </w:rPr>
        <w:t>β</w:t>
      </w:r>
      <w:r w:rsidRPr="00AD1D15">
        <w:rPr>
          <w:color w:val="000000"/>
        </w:rPr>
        <w:t xml:space="preserve"> - коэффициент характеризует степень риска, с которым связано владение конкретной ценной бумаги, а также измеряет изменчивость данной акции по сравнению</w:t>
      </w:r>
      <w:r w:rsidR="00342546">
        <w:rPr>
          <w:color w:val="000000"/>
        </w:rPr>
        <w:t xml:space="preserve"> со средней акцией или рынком</w:t>
      </w:r>
      <w:r w:rsidR="00342546" w:rsidRPr="00342546">
        <w:rPr>
          <w:color w:val="000000"/>
        </w:rPr>
        <w:t xml:space="preserve"> [15].</w:t>
      </w:r>
    </w:p>
    <w:p w:rsidR="002A6E38" w:rsidRDefault="00A53ACE" w:rsidP="00A53ACE">
      <w:pPr>
        <w:rPr>
          <w:color w:val="000000"/>
        </w:rPr>
      </w:pPr>
      <w:r>
        <w:rPr>
          <w:color w:val="000000"/>
        </w:rPr>
        <w:t xml:space="preserve">Корреляция является статистической мерой взаимодействия двух случайных переменных. </w:t>
      </w:r>
    </w:p>
    <w:p w:rsidR="002A6E38" w:rsidRPr="00342546" w:rsidRDefault="002A6E38" w:rsidP="00A53ACE">
      <w:pPr>
        <w:rPr>
          <w:color w:val="000000"/>
        </w:rPr>
      </w:pPr>
      <w:r>
        <w:rPr>
          <w:color w:val="000000"/>
        </w:rPr>
        <w:t>Коэффициент корреляции считается по формуле</w:t>
      </w:r>
      <w:r w:rsidR="00342546" w:rsidRPr="00342546">
        <w:rPr>
          <w:color w:val="000000"/>
        </w:rPr>
        <w:t>[16].</w:t>
      </w:r>
    </w:p>
    <w:p w:rsidR="00A53ACE" w:rsidRDefault="002B22E2" w:rsidP="00D51A31">
      <w:pPr>
        <w:jc w:val="center"/>
        <w:rPr>
          <w:color w:val="000000"/>
          <w:lang w:val="en-US"/>
        </w:rPr>
      </w:pPr>
      <w:r>
        <w:rPr>
          <w:color w:val="000000"/>
        </w:rPr>
        <w:pict>
          <v:shape id="_x0000_i1042" type="#_x0000_t75" style="width:138.75pt;height:38.25pt">
            <v:imagedata r:id="rId24" o:title=""/>
          </v:shape>
        </w:pict>
      </w:r>
    </w:p>
    <w:p w:rsidR="000312FE" w:rsidRDefault="005B22D8" w:rsidP="000312FE">
      <w:pPr>
        <w:ind w:firstLine="900"/>
        <w:jc w:val="both"/>
        <w:rPr>
          <w:color w:val="000000"/>
        </w:rPr>
      </w:pPr>
      <w:r>
        <w:rPr>
          <w:color w:val="000000"/>
        </w:rPr>
        <w:t>Как видно, в формуле коэффициента корреляции содержатся два значения стандартного отклонения, актива и рыночного индекса. Поэтому, считая коэффициент корреляции можно было бы тоже применить корректировку стандартного отклонения, о</w:t>
      </w:r>
      <w:r w:rsidR="001E476C">
        <w:rPr>
          <w:color w:val="000000"/>
        </w:rPr>
        <w:t>днако здесь возникает сложность. Корректируя стандартное отклонения, мы брали определенные диапазоны доходности и уже по ним считали ст. отклонение. Дело в том, что диапазоны для  актива и индекса получаются разными, у актива он чуть меньше чем у индекса. Из этого представляется невозможным подсчет корреляции, так как требуемы</w:t>
      </w:r>
      <w:r w:rsidR="00AD1D15">
        <w:rPr>
          <w:color w:val="000000"/>
          <w:lang w:val="kk-KZ"/>
        </w:rPr>
        <w:t>е</w:t>
      </w:r>
      <w:r w:rsidR="001E476C">
        <w:rPr>
          <w:color w:val="000000"/>
        </w:rPr>
        <w:t xml:space="preserve"> массивы должны быть одинаковыми, а у нас они разные. Исходя из всего вышеперечисленного, для дальнейших расчетов мы будем использовать коэффициент корреляции, посчитанный простым способом. </w:t>
      </w:r>
    </w:p>
    <w:p w:rsidR="005B22D8" w:rsidRDefault="001E476C" w:rsidP="000312FE">
      <w:pPr>
        <w:ind w:firstLine="900"/>
        <w:jc w:val="both"/>
        <w:rPr>
          <w:color w:val="000000"/>
        </w:rPr>
      </w:pPr>
      <w:r>
        <w:rPr>
          <w:color w:val="000000"/>
        </w:rPr>
        <w:t xml:space="preserve">Коэффициент корреляции равен </w:t>
      </w:r>
      <w:r w:rsidR="000312FE" w:rsidRPr="006C4389">
        <w:rPr>
          <w:b/>
          <w:color w:val="000000"/>
        </w:rPr>
        <w:t>0,</w:t>
      </w:r>
      <w:r w:rsidRPr="006C4389">
        <w:rPr>
          <w:b/>
          <w:color w:val="000000"/>
        </w:rPr>
        <w:t>86</w:t>
      </w:r>
      <w:r w:rsidR="000312FE" w:rsidRPr="006C4389">
        <w:rPr>
          <w:b/>
          <w:color w:val="000000"/>
        </w:rPr>
        <w:t>2</w:t>
      </w:r>
      <w:r>
        <w:rPr>
          <w:color w:val="000000"/>
        </w:rPr>
        <w:t xml:space="preserve"> (высокая положительная корреляция).</w:t>
      </w:r>
      <w:r w:rsidR="000312FE">
        <w:rPr>
          <w:color w:val="000000"/>
        </w:rPr>
        <w:t xml:space="preserve"> Отсюда </w:t>
      </w:r>
      <w:r w:rsidR="000312FE" w:rsidRPr="006C4389">
        <w:rPr>
          <w:b/>
          <w:color w:val="000000"/>
          <w:lang w:val="en-US"/>
        </w:rPr>
        <w:t>β</w:t>
      </w:r>
      <w:r w:rsidR="000312FE" w:rsidRPr="006C4389">
        <w:rPr>
          <w:b/>
          <w:color w:val="000000"/>
        </w:rPr>
        <w:t>=</w:t>
      </w:r>
      <w:r w:rsidR="00B95049" w:rsidRPr="006C4389">
        <w:rPr>
          <w:b/>
          <w:color w:val="000000"/>
        </w:rPr>
        <w:t>2,107</w:t>
      </w:r>
      <w:r w:rsidR="000312FE" w:rsidRPr="006C4389">
        <w:rPr>
          <w:b/>
          <w:color w:val="000000"/>
        </w:rPr>
        <w:t>/0,964 + 0,862=</w:t>
      </w:r>
      <w:r w:rsidR="00B95049" w:rsidRPr="006C4389">
        <w:rPr>
          <w:b/>
          <w:color w:val="000000"/>
        </w:rPr>
        <w:t>3</w:t>
      </w:r>
      <w:r w:rsidR="000312FE" w:rsidRPr="006C4389">
        <w:rPr>
          <w:b/>
          <w:color w:val="000000"/>
        </w:rPr>
        <w:t>,047.</w:t>
      </w:r>
      <w:r w:rsidR="000312FE">
        <w:rPr>
          <w:color w:val="000000"/>
        </w:rPr>
        <w:t xml:space="preserve"> Это значит, что, если доходность рынка ММВБ вырастит на 1%, доходно</w:t>
      </w:r>
      <w:r w:rsidR="00B95049">
        <w:rPr>
          <w:color w:val="000000"/>
        </w:rPr>
        <w:t>сть акций Газпрома вырастит на 3</w:t>
      </w:r>
      <w:r w:rsidR="000312FE">
        <w:rPr>
          <w:color w:val="000000"/>
        </w:rPr>
        <w:t xml:space="preserve">,047%.   </w:t>
      </w:r>
    </w:p>
    <w:p w:rsidR="000312FE" w:rsidRPr="008C7156" w:rsidRDefault="00D66DB2" w:rsidP="000312FE">
      <w:pPr>
        <w:ind w:firstLine="900"/>
        <w:jc w:val="both"/>
        <w:rPr>
          <w:color w:val="000000"/>
        </w:rPr>
      </w:pPr>
      <w:r>
        <w:rPr>
          <w:color w:val="000000"/>
        </w:rPr>
        <w:t xml:space="preserve">Если посчитать </w:t>
      </w:r>
      <w:r w:rsidRPr="000312FE">
        <w:rPr>
          <w:color w:val="000000"/>
          <w:lang w:val="en-US"/>
        </w:rPr>
        <w:t>β</w:t>
      </w:r>
      <w:r>
        <w:rPr>
          <w:color w:val="000000"/>
        </w:rPr>
        <w:t xml:space="preserve"> со стандартными отклонениями, посчитанными обычным способом, то  </w:t>
      </w:r>
      <w:r w:rsidRPr="006C4389">
        <w:rPr>
          <w:b/>
          <w:color w:val="000000"/>
          <w:lang w:val="en-US"/>
        </w:rPr>
        <w:t>β</w:t>
      </w:r>
      <w:r w:rsidRPr="006C4389">
        <w:rPr>
          <w:b/>
          <w:color w:val="000000"/>
        </w:rPr>
        <w:t>=</w:t>
      </w:r>
      <w:r w:rsidR="00B95049" w:rsidRPr="006C4389">
        <w:rPr>
          <w:b/>
          <w:color w:val="000000"/>
        </w:rPr>
        <w:t>3,037</w:t>
      </w:r>
      <w:r w:rsidRPr="006C4389">
        <w:rPr>
          <w:b/>
          <w:color w:val="000000"/>
        </w:rPr>
        <w:t>/</w:t>
      </w:r>
      <w:r w:rsidR="00B95049" w:rsidRPr="006C4389">
        <w:rPr>
          <w:b/>
          <w:color w:val="000000"/>
        </w:rPr>
        <w:t>1,422 + 0,862 = 2</w:t>
      </w:r>
      <w:r w:rsidRPr="006C4389">
        <w:rPr>
          <w:b/>
          <w:color w:val="000000"/>
        </w:rPr>
        <w:t>,997.</w:t>
      </w:r>
      <w:r>
        <w:rPr>
          <w:color w:val="000000"/>
        </w:rPr>
        <w:t xml:space="preserve"> То есть скорректированное </w:t>
      </w:r>
      <w:r w:rsidRPr="000312FE">
        <w:rPr>
          <w:color w:val="000000"/>
          <w:lang w:val="en-US"/>
        </w:rPr>
        <w:t>β</w:t>
      </w:r>
      <w:r>
        <w:rPr>
          <w:color w:val="000000"/>
        </w:rPr>
        <w:t xml:space="preserve"> прогнозирует большую зависимость доходности акции от доходности рынка. </w:t>
      </w:r>
      <w:r w:rsidR="00E1620F">
        <w:rPr>
          <w:color w:val="000000"/>
        </w:rPr>
        <w:t>Хотя в любом случае доходность акций Газпрома высокочувствительна к систематическому риску, вознаграждение за систематический риск в такой компании должно расти быстрее, чем у других компаний. Такие акции обладают большой изменчивостью, чем рыночный индекс и носят название «агрессивные» акции</w:t>
      </w:r>
      <w:r w:rsidR="008C7156" w:rsidRPr="008C7156">
        <w:rPr>
          <w:color w:val="000000"/>
        </w:rPr>
        <w:t xml:space="preserve"> [17].</w:t>
      </w:r>
    </w:p>
    <w:p w:rsidR="00B95049" w:rsidRPr="006C4389" w:rsidRDefault="0018295A" w:rsidP="00AD1D15">
      <w:pPr>
        <w:ind w:firstLine="900"/>
        <w:jc w:val="both"/>
        <w:rPr>
          <w:color w:val="000000"/>
        </w:rPr>
      </w:pPr>
      <w:r>
        <w:rPr>
          <w:color w:val="000000"/>
        </w:rPr>
        <w:t xml:space="preserve">Для подсчета ожидаемой доходности актива по модели САРМ нам необходимо иметь данные рыночной доходности и безрискового актива за период. </w:t>
      </w:r>
      <w:r w:rsidR="006C4389">
        <w:rPr>
          <w:color w:val="000000"/>
        </w:rPr>
        <w:t xml:space="preserve">Для нашего примера </w:t>
      </w:r>
      <w:r w:rsidR="006C4389" w:rsidRPr="00071299">
        <w:rPr>
          <w:b/>
          <w:color w:val="000000"/>
          <w:lang w:val="en-US"/>
        </w:rPr>
        <w:t>r</w:t>
      </w:r>
      <w:r w:rsidR="006C4389" w:rsidRPr="00071299">
        <w:rPr>
          <w:b/>
          <w:color w:val="000000"/>
          <w:vertAlign w:val="subscript"/>
          <w:lang w:val="en-US"/>
        </w:rPr>
        <w:t>m</w:t>
      </w:r>
      <w:r w:rsidR="006C4389">
        <w:rPr>
          <w:b/>
          <w:color w:val="000000"/>
        </w:rPr>
        <w:t xml:space="preserve">= -0,562, </w:t>
      </w:r>
      <w:r w:rsidR="006C4389" w:rsidRPr="00071299">
        <w:rPr>
          <w:b/>
          <w:color w:val="000000"/>
          <w:lang w:val="en-US"/>
        </w:rPr>
        <w:t>r</w:t>
      </w:r>
      <w:r w:rsidR="006C4389">
        <w:rPr>
          <w:b/>
          <w:color w:val="000000"/>
          <w:vertAlign w:val="subscript"/>
        </w:rPr>
        <w:t xml:space="preserve">0 </w:t>
      </w:r>
      <w:r w:rsidR="006C4389">
        <w:rPr>
          <w:b/>
          <w:color w:val="000000"/>
        </w:rPr>
        <w:t>= 0,115</w:t>
      </w:r>
      <w:r w:rsidR="006C4389">
        <w:rPr>
          <w:b/>
          <w:color w:val="000000"/>
          <w:vertAlign w:val="subscript"/>
        </w:rPr>
        <w:t xml:space="preserve"> </w:t>
      </w:r>
    </w:p>
    <w:p w:rsidR="007E0FDC" w:rsidRDefault="006C4389" w:rsidP="00AD1D15">
      <w:pPr>
        <w:ind w:firstLine="900"/>
        <w:jc w:val="both"/>
        <w:rPr>
          <w:b/>
          <w:color w:val="000000"/>
        </w:rPr>
      </w:pPr>
      <w:r>
        <w:rPr>
          <w:color w:val="000000"/>
        </w:rPr>
        <w:t xml:space="preserve">Согласно </w:t>
      </w:r>
      <w:r w:rsidR="00FE10DC">
        <w:rPr>
          <w:color w:val="000000"/>
        </w:rPr>
        <w:t xml:space="preserve">модели САРМ ожидаемая доходность актива, основанная на корректировке стандартного отклонения, </w:t>
      </w:r>
      <w:r w:rsidR="00FE10DC" w:rsidRPr="00071299">
        <w:rPr>
          <w:b/>
          <w:color w:val="000000"/>
          <w:lang w:val="en-US"/>
        </w:rPr>
        <w:t>r</w:t>
      </w:r>
      <w:r w:rsidR="00FE10DC" w:rsidRPr="00071299">
        <w:rPr>
          <w:b/>
          <w:color w:val="000000"/>
          <w:vertAlign w:val="subscript"/>
          <w:lang w:val="en-US"/>
        </w:rPr>
        <w:t>i</w:t>
      </w:r>
      <w:r w:rsidR="00FE10DC" w:rsidRPr="00FE10DC">
        <w:rPr>
          <w:b/>
          <w:color w:val="000000"/>
        </w:rPr>
        <w:t xml:space="preserve"> =</w:t>
      </w:r>
      <w:r w:rsidR="00FE10DC">
        <w:rPr>
          <w:b/>
          <w:color w:val="000000"/>
        </w:rPr>
        <w:t xml:space="preserve"> -0,562+3,047*(-0,562-0,115)=1,5</w:t>
      </w:r>
      <w:r w:rsidR="007E0FDC">
        <w:rPr>
          <w:b/>
          <w:color w:val="000000"/>
        </w:rPr>
        <w:t>.</w:t>
      </w:r>
    </w:p>
    <w:p w:rsidR="00B95049" w:rsidRDefault="007522F6" w:rsidP="00AD1D15">
      <w:pPr>
        <w:jc w:val="both"/>
        <w:rPr>
          <w:b/>
          <w:color w:val="000000"/>
        </w:rPr>
      </w:pPr>
      <w:r>
        <w:rPr>
          <w:color w:val="000000"/>
        </w:rPr>
        <w:t xml:space="preserve">Если считать требуемую доходность актива на основе простого стандартного отклонения, мы получим </w:t>
      </w:r>
      <w:r w:rsidRPr="00071299">
        <w:rPr>
          <w:b/>
          <w:color w:val="000000"/>
          <w:lang w:val="en-US"/>
        </w:rPr>
        <w:t>r</w:t>
      </w:r>
      <w:r w:rsidRPr="00071299">
        <w:rPr>
          <w:b/>
          <w:color w:val="000000"/>
          <w:vertAlign w:val="subscript"/>
          <w:lang w:val="en-US"/>
        </w:rPr>
        <w:t>i</w:t>
      </w:r>
      <w:r w:rsidRPr="00FE10DC">
        <w:rPr>
          <w:b/>
          <w:color w:val="000000"/>
        </w:rPr>
        <w:t xml:space="preserve"> =</w:t>
      </w:r>
      <w:r>
        <w:rPr>
          <w:b/>
          <w:color w:val="000000"/>
        </w:rPr>
        <w:t xml:space="preserve"> - 0,562</w:t>
      </w:r>
      <w:r w:rsidR="007E0FDC">
        <w:rPr>
          <w:b/>
          <w:color w:val="000000"/>
        </w:rPr>
        <w:t>+2,997*(-0,562 – 0,115)= 1,4</w:t>
      </w:r>
      <w:r w:rsidR="00E971C7">
        <w:rPr>
          <w:b/>
          <w:color w:val="000000"/>
        </w:rPr>
        <w:t>.</w:t>
      </w:r>
    </w:p>
    <w:p w:rsidR="00E971C7" w:rsidRDefault="00E971C7" w:rsidP="00AD1D15">
      <w:pPr>
        <w:jc w:val="both"/>
        <w:rPr>
          <w:color w:val="000000"/>
          <w:lang w:val="en-US"/>
        </w:rPr>
      </w:pPr>
      <w:r>
        <w:rPr>
          <w:color w:val="000000"/>
        </w:rPr>
        <w:t>Таким образом, корректируя стандартное отклонение, мы получим более высокое значение треб</w:t>
      </w:r>
      <w:r w:rsidR="001C0B23">
        <w:rPr>
          <w:color w:val="000000"/>
        </w:rPr>
        <w:t>уемой доходности актива в модели</w:t>
      </w:r>
      <w:r>
        <w:rPr>
          <w:color w:val="000000"/>
        </w:rPr>
        <w:t xml:space="preserve"> САРМ. </w:t>
      </w:r>
    </w:p>
    <w:p w:rsidR="005C0DC7" w:rsidRDefault="005C0DC7" w:rsidP="00226FFF">
      <w:pPr>
        <w:jc w:val="both"/>
        <w:rPr>
          <w:color w:val="000000"/>
          <w:lang w:val="en-US"/>
        </w:rPr>
      </w:pPr>
    </w:p>
    <w:tbl>
      <w:tblPr>
        <w:tblStyle w:val="a9"/>
        <w:tblW w:w="0" w:type="auto"/>
        <w:tblLook w:val="01E0" w:firstRow="1" w:lastRow="1" w:firstColumn="1" w:lastColumn="1" w:noHBand="0" w:noVBand="0"/>
      </w:tblPr>
      <w:tblGrid>
        <w:gridCol w:w="4785"/>
        <w:gridCol w:w="4786"/>
      </w:tblGrid>
      <w:tr w:rsidR="005C0DC7">
        <w:tc>
          <w:tcPr>
            <w:tcW w:w="9571" w:type="dxa"/>
            <w:gridSpan w:val="2"/>
          </w:tcPr>
          <w:p w:rsidR="005C0DC7" w:rsidRPr="005C0DC7" w:rsidRDefault="005C0DC7" w:rsidP="005C0DC7">
            <w:pPr>
              <w:jc w:val="center"/>
              <w:rPr>
                <w:b/>
                <w:color w:val="000000"/>
              </w:rPr>
            </w:pPr>
            <w:r w:rsidRPr="005C0DC7">
              <w:rPr>
                <w:b/>
                <w:color w:val="000000"/>
                <w:lang w:val="kk-KZ"/>
              </w:rPr>
              <w:t>Та</w:t>
            </w:r>
            <w:r w:rsidRPr="005C0DC7">
              <w:rPr>
                <w:b/>
                <w:color w:val="000000"/>
              </w:rPr>
              <w:t>блица полученных результатов</w:t>
            </w:r>
          </w:p>
        </w:tc>
      </w:tr>
      <w:tr w:rsidR="005C0DC7">
        <w:tc>
          <w:tcPr>
            <w:tcW w:w="4785" w:type="dxa"/>
          </w:tcPr>
          <w:p w:rsidR="005C0DC7" w:rsidRPr="005C0DC7" w:rsidRDefault="005C0DC7" w:rsidP="005C0DC7">
            <w:pPr>
              <w:jc w:val="center"/>
              <w:rPr>
                <w:b/>
                <w:color w:val="000000"/>
              </w:rPr>
            </w:pPr>
            <w:r w:rsidRPr="005C0DC7">
              <w:rPr>
                <w:b/>
                <w:color w:val="000000"/>
              </w:rPr>
              <w:t>С корректировкой стандартного отклонения</w:t>
            </w:r>
          </w:p>
        </w:tc>
        <w:tc>
          <w:tcPr>
            <w:tcW w:w="4786" w:type="dxa"/>
          </w:tcPr>
          <w:p w:rsidR="005C0DC7" w:rsidRPr="005C0DC7" w:rsidRDefault="005C0DC7" w:rsidP="005C0DC7">
            <w:pPr>
              <w:jc w:val="center"/>
              <w:rPr>
                <w:b/>
                <w:color w:val="000000"/>
              </w:rPr>
            </w:pPr>
            <w:r w:rsidRPr="005C0DC7">
              <w:rPr>
                <w:b/>
                <w:color w:val="000000"/>
              </w:rPr>
              <w:t>Без корректировки стандартного отклонения</w:t>
            </w:r>
          </w:p>
        </w:tc>
      </w:tr>
      <w:tr w:rsidR="005C0DC7">
        <w:tc>
          <w:tcPr>
            <w:tcW w:w="4785" w:type="dxa"/>
          </w:tcPr>
          <w:p w:rsidR="005C0DC7" w:rsidRPr="00A92689" w:rsidRDefault="005C0DC7" w:rsidP="005C0DC7">
            <w:pPr>
              <w:jc w:val="center"/>
              <w:rPr>
                <w:color w:val="000000"/>
              </w:rPr>
            </w:pPr>
            <w:r w:rsidRPr="00A92689">
              <w:rPr>
                <w:color w:val="000000"/>
                <w:lang w:val="en-US"/>
              </w:rPr>
              <w:t>σ</w:t>
            </w:r>
            <w:r w:rsidRPr="00A92689">
              <w:rPr>
                <w:color w:val="000000"/>
                <w:vertAlign w:val="subscript"/>
                <w:lang w:val="en-US"/>
              </w:rPr>
              <w:t>m</w:t>
            </w:r>
            <w:r w:rsidRPr="00A92689">
              <w:rPr>
                <w:color w:val="000000"/>
              </w:rPr>
              <w:t>=0,964%</w:t>
            </w:r>
          </w:p>
        </w:tc>
        <w:tc>
          <w:tcPr>
            <w:tcW w:w="4786" w:type="dxa"/>
          </w:tcPr>
          <w:p w:rsidR="005C0DC7" w:rsidRPr="00A92689" w:rsidRDefault="005C0DC7" w:rsidP="005C0DC7">
            <w:pPr>
              <w:jc w:val="center"/>
              <w:rPr>
                <w:color w:val="000000"/>
              </w:rPr>
            </w:pPr>
            <w:r w:rsidRPr="00A92689">
              <w:rPr>
                <w:color w:val="000000"/>
                <w:lang w:val="en-US"/>
              </w:rPr>
              <w:t>σ</w:t>
            </w:r>
            <w:r w:rsidRPr="00A92689">
              <w:rPr>
                <w:color w:val="000000"/>
                <w:vertAlign w:val="subscript"/>
                <w:lang w:val="en-US"/>
              </w:rPr>
              <w:t>m</w:t>
            </w:r>
            <w:r w:rsidRPr="00A92689">
              <w:rPr>
                <w:color w:val="000000"/>
              </w:rPr>
              <w:t>=1,422%</w:t>
            </w:r>
          </w:p>
        </w:tc>
      </w:tr>
      <w:tr w:rsidR="005C0DC7">
        <w:trPr>
          <w:trHeight w:val="415"/>
        </w:trPr>
        <w:tc>
          <w:tcPr>
            <w:tcW w:w="4785" w:type="dxa"/>
          </w:tcPr>
          <w:p w:rsidR="005C0DC7" w:rsidRPr="00A92689" w:rsidRDefault="005C0DC7" w:rsidP="005C0DC7">
            <w:pPr>
              <w:jc w:val="center"/>
            </w:pPr>
            <w:r w:rsidRPr="00A92689">
              <w:rPr>
                <w:color w:val="000000"/>
                <w:lang w:val="en-US"/>
              </w:rPr>
              <w:t>σ</w:t>
            </w:r>
            <w:r w:rsidRPr="00A92689">
              <w:rPr>
                <w:color w:val="000000"/>
                <w:vertAlign w:val="subscript"/>
                <w:lang w:val="en-US"/>
              </w:rPr>
              <w:t>i</w:t>
            </w:r>
            <w:r w:rsidRPr="00A92689">
              <w:rPr>
                <w:color w:val="000000"/>
                <w:vertAlign w:val="subscript"/>
              </w:rPr>
              <w:t xml:space="preserve"> </w:t>
            </w:r>
            <w:r w:rsidRPr="00A92689">
              <w:rPr>
                <w:color w:val="000000"/>
              </w:rPr>
              <w:t xml:space="preserve"> = 2, 107%.</w:t>
            </w:r>
          </w:p>
          <w:p w:rsidR="005C0DC7" w:rsidRPr="00A92689" w:rsidRDefault="005C0DC7" w:rsidP="005C0DC7">
            <w:pPr>
              <w:jc w:val="center"/>
              <w:rPr>
                <w:color w:val="000000"/>
                <w:lang w:val="en-US"/>
              </w:rPr>
            </w:pPr>
          </w:p>
        </w:tc>
        <w:tc>
          <w:tcPr>
            <w:tcW w:w="4786" w:type="dxa"/>
          </w:tcPr>
          <w:p w:rsidR="005C0DC7" w:rsidRPr="00A92689" w:rsidRDefault="005C0DC7" w:rsidP="005C0DC7">
            <w:pPr>
              <w:jc w:val="center"/>
              <w:rPr>
                <w:color w:val="000000"/>
                <w:lang w:val="en-US"/>
              </w:rPr>
            </w:pPr>
            <w:r w:rsidRPr="00A92689">
              <w:rPr>
                <w:color w:val="000000"/>
                <w:lang w:val="en-US"/>
              </w:rPr>
              <w:t>σ</w:t>
            </w:r>
            <w:r w:rsidRPr="00A92689">
              <w:rPr>
                <w:color w:val="000000"/>
                <w:vertAlign w:val="subscript"/>
                <w:lang w:val="en-US"/>
              </w:rPr>
              <w:t>i</w:t>
            </w:r>
            <w:r w:rsidRPr="00A92689">
              <w:rPr>
                <w:color w:val="000000"/>
                <w:vertAlign w:val="subscript"/>
              </w:rPr>
              <w:t xml:space="preserve"> </w:t>
            </w:r>
            <w:r w:rsidRPr="00A92689">
              <w:rPr>
                <w:color w:val="000000"/>
              </w:rPr>
              <w:t xml:space="preserve"> =3,037%</w:t>
            </w:r>
          </w:p>
        </w:tc>
      </w:tr>
      <w:tr w:rsidR="005C0DC7">
        <w:tc>
          <w:tcPr>
            <w:tcW w:w="4785" w:type="dxa"/>
          </w:tcPr>
          <w:p w:rsidR="005C0DC7" w:rsidRPr="00A92689" w:rsidRDefault="005C0DC7" w:rsidP="005C0DC7">
            <w:pPr>
              <w:jc w:val="center"/>
              <w:rPr>
                <w:color w:val="000000"/>
                <w:lang w:val="en-US"/>
              </w:rPr>
            </w:pPr>
            <w:r w:rsidRPr="00A92689">
              <w:rPr>
                <w:color w:val="000000"/>
                <w:lang w:val="en-US"/>
              </w:rPr>
              <w:t>β</w:t>
            </w:r>
            <w:r w:rsidRPr="00A92689">
              <w:rPr>
                <w:color w:val="000000"/>
              </w:rPr>
              <w:t>=3,047</w:t>
            </w:r>
          </w:p>
        </w:tc>
        <w:tc>
          <w:tcPr>
            <w:tcW w:w="4786" w:type="dxa"/>
          </w:tcPr>
          <w:p w:rsidR="005C0DC7" w:rsidRPr="00A92689" w:rsidRDefault="005C0DC7" w:rsidP="005C0DC7">
            <w:pPr>
              <w:jc w:val="center"/>
              <w:rPr>
                <w:color w:val="000000"/>
                <w:lang w:val="en-US"/>
              </w:rPr>
            </w:pPr>
            <w:r w:rsidRPr="00A92689">
              <w:rPr>
                <w:color w:val="000000"/>
                <w:lang w:val="en-US"/>
              </w:rPr>
              <w:t>β</w:t>
            </w:r>
            <w:r w:rsidRPr="00A92689">
              <w:rPr>
                <w:color w:val="000000"/>
              </w:rPr>
              <w:t>=2,997</w:t>
            </w:r>
          </w:p>
        </w:tc>
      </w:tr>
      <w:tr w:rsidR="005C0DC7">
        <w:tc>
          <w:tcPr>
            <w:tcW w:w="4785" w:type="dxa"/>
          </w:tcPr>
          <w:p w:rsidR="005C0DC7" w:rsidRPr="00A92689" w:rsidRDefault="00A92689" w:rsidP="005C0DC7">
            <w:pPr>
              <w:jc w:val="center"/>
              <w:rPr>
                <w:color w:val="000000"/>
                <w:lang w:val="en-US"/>
              </w:rPr>
            </w:pPr>
            <w:r w:rsidRPr="00A92689">
              <w:rPr>
                <w:color w:val="000000"/>
              </w:rPr>
              <w:t xml:space="preserve"> </w:t>
            </w:r>
            <w:r w:rsidRPr="00A92689">
              <w:rPr>
                <w:color w:val="000000"/>
                <w:lang w:val="en-US"/>
              </w:rPr>
              <w:t>r</w:t>
            </w:r>
            <w:r w:rsidRPr="00A92689">
              <w:rPr>
                <w:color w:val="000000"/>
                <w:vertAlign w:val="subscript"/>
                <w:lang w:val="en-US"/>
              </w:rPr>
              <w:t>i</w:t>
            </w:r>
            <w:r w:rsidRPr="00A92689">
              <w:rPr>
                <w:color w:val="000000"/>
              </w:rPr>
              <w:t xml:space="preserve"> =1,5</w:t>
            </w:r>
          </w:p>
        </w:tc>
        <w:tc>
          <w:tcPr>
            <w:tcW w:w="4786" w:type="dxa"/>
          </w:tcPr>
          <w:p w:rsidR="005C0DC7" w:rsidRPr="00A92689" w:rsidRDefault="00A92689" w:rsidP="005C0DC7">
            <w:pPr>
              <w:jc w:val="center"/>
              <w:rPr>
                <w:color w:val="000000"/>
                <w:lang w:val="en-US"/>
              </w:rPr>
            </w:pPr>
            <w:r w:rsidRPr="00A92689">
              <w:rPr>
                <w:color w:val="000000"/>
                <w:lang w:val="en-US"/>
              </w:rPr>
              <w:t>r</w:t>
            </w:r>
            <w:r w:rsidRPr="00A92689">
              <w:rPr>
                <w:color w:val="000000"/>
                <w:vertAlign w:val="subscript"/>
                <w:lang w:val="en-US"/>
              </w:rPr>
              <w:t>i</w:t>
            </w:r>
            <w:r w:rsidRPr="00A92689">
              <w:rPr>
                <w:color w:val="000000"/>
              </w:rPr>
              <w:t xml:space="preserve"> =1,4</w:t>
            </w:r>
          </w:p>
        </w:tc>
      </w:tr>
    </w:tbl>
    <w:p w:rsidR="005C0DC7" w:rsidRPr="005C0DC7" w:rsidRDefault="005C0DC7" w:rsidP="00226FFF">
      <w:pPr>
        <w:jc w:val="both"/>
        <w:rPr>
          <w:color w:val="000000"/>
          <w:lang w:val="en-US"/>
        </w:rPr>
      </w:pPr>
    </w:p>
    <w:p w:rsidR="000312FE" w:rsidRPr="005B22D8" w:rsidRDefault="000312FE" w:rsidP="00226FFF">
      <w:pPr>
        <w:ind w:firstLine="900"/>
        <w:jc w:val="both"/>
        <w:rPr>
          <w:color w:val="000000"/>
        </w:rPr>
      </w:pPr>
    </w:p>
    <w:p w:rsidR="00101FB5" w:rsidRDefault="00F82C40" w:rsidP="000D7BA5">
      <w:pPr>
        <w:ind w:firstLine="900"/>
        <w:jc w:val="both"/>
        <w:rPr>
          <w:color w:val="000000"/>
          <w:lang w:val="en-US"/>
        </w:rPr>
      </w:pPr>
      <w:r>
        <w:rPr>
          <w:color w:val="000000"/>
        </w:rPr>
        <w:t>Для проверки расчетов Бэты скор. и не скор. станд. отклонения возмем период: февраль 2008 год</w:t>
      </w:r>
      <w:r w:rsidR="00E934C1">
        <w:rPr>
          <w:color w:val="000000"/>
        </w:rPr>
        <w:t xml:space="preserve">а, и посмотрим какой из двух расчетов стандартного отклонения </w:t>
      </w:r>
      <w:r>
        <w:rPr>
          <w:color w:val="000000"/>
        </w:rPr>
        <w:t xml:space="preserve"> лучше объясняет изменение котировок. Составим портфель, состоящий из </w:t>
      </w:r>
      <w:r w:rsidR="000D7BA5">
        <w:rPr>
          <w:color w:val="000000"/>
        </w:rPr>
        <w:t xml:space="preserve">5 активов: акции РАО ЕЭС, акции Сбербанка, акции Татнефть, акции Газпрома и гос. облигации. Удельные веса бумаг одинаковы, все по 20%. </w:t>
      </w:r>
    </w:p>
    <w:p w:rsidR="00A21735" w:rsidRDefault="00A21735" w:rsidP="000D7BA5">
      <w:pPr>
        <w:ind w:firstLine="900"/>
        <w:jc w:val="both"/>
        <w:rPr>
          <w:color w:val="000000"/>
          <w:lang w:val="en-US"/>
        </w:rPr>
      </w:pPr>
    </w:p>
    <w:tbl>
      <w:tblPr>
        <w:tblStyle w:val="a9"/>
        <w:tblW w:w="0" w:type="auto"/>
        <w:jc w:val="center"/>
        <w:tblLook w:val="01E0" w:firstRow="1" w:lastRow="1" w:firstColumn="1" w:lastColumn="1" w:noHBand="0" w:noVBand="0"/>
      </w:tblPr>
      <w:tblGrid>
        <w:gridCol w:w="1828"/>
        <w:gridCol w:w="3052"/>
        <w:gridCol w:w="3090"/>
      </w:tblGrid>
      <w:tr w:rsidR="00A21735">
        <w:trPr>
          <w:jc w:val="center"/>
        </w:trPr>
        <w:tc>
          <w:tcPr>
            <w:tcW w:w="7970" w:type="dxa"/>
            <w:gridSpan w:val="3"/>
          </w:tcPr>
          <w:p w:rsidR="00A21735" w:rsidRPr="00D04165" w:rsidRDefault="00A21735" w:rsidP="00A21735">
            <w:pPr>
              <w:jc w:val="center"/>
              <w:rPr>
                <w:b/>
                <w:color w:val="000000"/>
              </w:rPr>
            </w:pPr>
            <w:r w:rsidRPr="00D04165">
              <w:rPr>
                <w:b/>
                <w:color w:val="000000"/>
              </w:rPr>
              <w:t>Риски бумаг</w:t>
            </w:r>
          </w:p>
        </w:tc>
      </w:tr>
      <w:tr w:rsidR="00A21735">
        <w:trPr>
          <w:jc w:val="center"/>
        </w:trPr>
        <w:tc>
          <w:tcPr>
            <w:tcW w:w="1828" w:type="dxa"/>
          </w:tcPr>
          <w:p w:rsidR="00A21735" w:rsidRDefault="00A21735" w:rsidP="000D7BA5">
            <w:pPr>
              <w:jc w:val="both"/>
              <w:rPr>
                <w:color w:val="000000"/>
              </w:rPr>
            </w:pPr>
          </w:p>
        </w:tc>
        <w:tc>
          <w:tcPr>
            <w:tcW w:w="3052" w:type="dxa"/>
          </w:tcPr>
          <w:p w:rsidR="00A21735" w:rsidRPr="00D04165" w:rsidRDefault="00A21735" w:rsidP="000D7BA5">
            <w:pPr>
              <w:jc w:val="both"/>
              <w:rPr>
                <w:b/>
                <w:color w:val="000000"/>
              </w:rPr>
            </w:pPr>
            <w:r w:rsidRPr="00D04165">
              <w:rPr>
                <w:b/>
                <w:color w:val="000000"/>
              </w:rPr>
              <w:t xml:space="preserve">Скорректированные </w:t>
            </w:r>
          </w:p>
        </w:tc>
        <w:tc>
          <w:tcPr>
            <w:tcW w:w="3090" w:type="dxa"/>
          </w:tcPr>
          <w:p w:rsidR="00A21735" w:rsidRPr="00D04165" w:rsidRDefault="00A21735" w:rsidP="000D7BA5">
            <w:pPr>
              <w:jc w:val="both"/>
              <w:rPr>
                <w:b/>
                <w:color w:val="000000"/>
              </w:rPr>
            </w:pPr>
            <w:r w:rsidRPr="00D04165">
              <w:rPr>
                <w:b/>
                <w:color w:val="000000"/>
              </w:rPr>
              <w:t xml:space="preserve">Не скорректированные </w:t>
            </w:r>
          </w:p>
        </w:tc>
      </w:tr>
      <w:tr w:rsidR="00A21735">
        <w:trPr>
          <w:jc w:val="center"/>
        </w:trPr>
        <w:tc>
          <w:tcPr>
            <w:tcW w:w="1828" w:type="dxa"/>
          </w:tcPr>
          <w:p w:rsidR="00A21735" w:rsidRPr="00D04165" w:rsidRDefault="00A21735" w:rsidP="000D7BA5">
            <w:pPr>
              <w:jc w:val="both"/>
              <w:rPr>
                <w:i/>
                <w:color w:val="000000"/>
              </w:rPr>
            </w:pPr>
            <w:r w:rsidRPr="00D04165">
              <w:rPr>
                <w:i/>
                <w:color w:val="000000"/>
              </w:rPr>
              <w:t>РАО ЕЭС</w:t>
            </w:r>
          </w:p>
        </w:tc>
        <w:tc>
          <w:tcPr>
            <w:tcW w:w="3052" w:type="dxa"/>
          </w:tcPr>
          <w:p w:rsidR="00A21735" w:rsidRDefault="00A21735" w:rsidP="000D7BA5">
            <w:pPr>
              <w:jc w:val="both"/>
              <w:rPr>
                <w:color w:val="000000"/>
                <w:lang w:val="en-US"/>
              </w:rPr>
            </w:pPr>
            <w:r>
              <w:rPr>
                <w:color w:val="000000"/>
                <w:lang w:val="en-US"/>
              </w:rPr>
              <w:t>1,24%</w:t>
            </w:r>
          </w:p>
        </w:tc>
        <w:tc>
          <w:tcPr>
            <w:tcW w:w="3090" w:type="dxa"/>
          </w:tcPr>
          <w:p w:rsidR="00A21735" w:rsidRDefault="00A21735" w:rsidP="001B7634">
            <w:pPr>
              <w:jc w:val="both"/>
              <w:rPr>
                <w:color w:val="000000"/>
                <w:lang w:val="en-US"/>
              </w:rPr>
            </w:pPr>
            <w:r>
              <w:rPr>
                <w:color w:val="000000"/>
                <w:lang w:val="en-US"/>
              </w:rPr>
              <w:t>2,2%</w:t>
            </w:r>
          </w:p>
        </w:tc>
      </w:tr>
      <w:tr w:rsidR="00A21735">
        <w:trPr>
          <w:jc w:val="center"/>
        </w:trPr>
        <w:tc>
          <w:tcPr>
            <w:tcW w:w="1828" w:type="dxa"/>
          </w:tcPr>
          <w:p w:rsidR="00A21735" w:rsidRPr="00D04165" w:rsidRDefault="00A21735" w:rsidP="000D7BA5">
            <w:pPr>
              <w:jc w:val="both"/>
              <w:rPr>
                <w:i/>
                <w:color w:val="000000"/>
              </w:rPr>
            </w:pPr>
            <w:r w:rsidRPr="00D04165">
              <w:rPr>
                <w:i/>
                <w:color w:val="000000"/>
              </w:rPr>
              <w:t>Сбербанк</w:t>
            </w:r>
          </w:p>
        </w:tc>
        <w:tc>
          <w:tcPr>
            <w:tcW w:w="3052" w:type="dxa"/>
          </w:tcPr>
          <w:p w:rsidR="00A21735" w:rsidRPr="00A21735" w:rsidRDefault="00A21735" w:rsidP="000D7BA5">
            <w:pPr>
              <w:jc w:val="both"/>
              <w:rPr>
                <w:color w:val="000000"/>
                <w:lang w:val="en-US"/>
              </w:rPr>
            </w:pPr>
            <w:r>
              <w:rPr>
                <w:color w:val="000000"/>
                <w:lang w:val="en-US"/>
              </w:rPr>
              <w:t>1,25%</w:t>
            </w:r>
          </w:p>
        </w:tc>
        <w:tc>
          <w:tcPr>
            <w:tcW w:w="3090" w:type="dxa"/>
          </w:tcPr>
          <w:p w:rsidR="00A21735" w:rsidRPr="00A21735" w:rsidRDefault="00A21735" w:rsidP="001B7634">
            <w:pPr>
              <w:jc w:val="both"/>
              <w:rPr>
                <w:color w:val="000000"/>
                <w:lang w:val="en-US"/>
              </w:rPr>
            </w:pPr>
            <w:r>
              <w:rPr>
                <w:color w:val="000000"/>
                <w:lang w:val="en-US"/>
              </w:rPr>
              <w:t>1,97%</w:t>
            </w:r>
          </w:p>
        </w:tc>
      </w:tr>
      <w:tr w:rsidR="00A21735">
        <w:trPr>
          <w:jc w:val="center"/>
        </w:trPr>
        <w:tc>
          <w:tcPr>
            <w:tcW w:w="1828" w:type="dxa"/>
          </w:tcPr>
          <w:p w:rsidR="00A21735" w:rsidRPr="00D04165" w:rsidRDefault="00A21735" w:rsidP="000D7BA5">
            <w:pPr>
              <w:jc w:val="both"/>
              <w:rPr>
                <w:i/>
                <w:color w:val="000000"/>
              </w:rPr>
            </w:pPr>
            <w:r w:rsidRPr="00D04165">
              <w:rPr>
                <w:i/>
                <w:color w:val="000000"/>
              </w:rPr>
              <w:t>Татнефть</w:t>
            </w:r>
          </w:p>
        </w:tc>
        <w:tc>
          <w:tcPr>
            <w:tcW w:w="3052" w:type="dxa"/>
          </w:tcPr>
          <w:p w:rsidR="00A21735" w:rsidRPr="00A21735" w:rsidRDefault="00A21735" w:rsidP="000D7BA5">
            <w:pPr>
              <w:jc w:val="both"/>
              <w:rPr>
                <w:color w:val="000000"/>
                <w:lang w:val="en-US"/>
              </w:rPr>
            </w:pPr>
            <w:r>
              <w:rPr>
                <w:color w:val="000000"/>
                <w:lang w:val="en-US"/>
              </w:rPr>
              <w:t>1,13%</w:t>
            </w:r>
          </w:p>
        </w:tc>
        <w:tc>
          <w:tcPr>
            <w:tcW w:w="3090" w:type="dxa"/>
          </w:tcPr>
          <w:p w:rsidR="00A21735" w:rsidRPr="00A21735" w:rsidRDefault="00A21735" w:rsidP="001B7634">
            <w:pPr>
              <w:jc w:val="both"/>
              <w:rPr>
                <w:color w:val="000000"/>
                <w:lang w:val="en-US"/>
              </w:rPr>
            </w:pPr>
            <w:r>
              <w:rPr>
                <w:color w:val="000000"/>
                <w:lang w:val="en-US"/>
              </w:rPr>
              <w:t>1,79%</w:t>
            </w:r>
          </w:p>
        </w:tc>
      </w:tr>
      <w:tr w:rsidR="0013668F">
        <w:trPr>
          <w:jc w:val="center"/>
        </w:trPr>
        <w:tc>
          <w:tcPr>
            <w:tcW w:w="1828" w:type="dxa"/>
          </w:tcPr>
          <w:p w:rsidR="0013668F" w:rsidRPr="0013668F" w:rsidRDefault="0013668F" w:rsidP="000D7BA5">
            <w:pPr>
              <w:jc w:val="both"/>
              <w:rPr>
                <w:i/>
                <w:color w:val="000000"/>
              </w:rPr>
            </w:pPr>
            <w:r>
              <w:rPr>
                <w:i/>
                <w:color w:val="000000"/>
              </w:rPr>
              <w:t>Газпром</w:t>
            </w:r>
          </w:p>
        </w:tc>
        <w:tc>
          <w:tcPr>
            <w:tcW w:w="3052" w:type="dxa"/>
          </w:tcPr>
          <w:p w:rsidR="0013668F" w:rsidRPr="0013668F" w:rsidRDefault="0013668F" w:rsidP="000D7BA5">
            <w:pPr>
              <w:jc w:val="both"/>
              <w:rPr>
                <w:color w:val="000000"/>
              </w:rPr>
            </w:pPr>
            <w:r>
              <w:rPr>
                <w:color w:val="000000"/>
              </w:rPr>
              <w:t>1,64%</w:t>
            </w:r>
          </w:p>
        </w:tc>
        <w:tc>
          <w:tcPr>
            <w:tcW w:w="3090" w:type="dxa"/>
          </w:tcPr>
          <w:p w:rsidR="0013668F" w:rsidRPr="0013668F" w:rsidRDefault="0013668F" w:rsidP="001B7634">
            <w:pPr>
              <w:jc w:val="both"/>
              <w:rPr>
                <w:color w:val="000000"/>
              </w:rPr>
            </w:pPr>
            <w:r>
              <w:rPr>
                <w:color w:val="000000"/>
              </w:rPr>
              <w:t>2,02%</w:t>
            </w:r>
          </w:p>
        </w:tc>
      </w:tr>
      <w:tr w:rsidR="00A21735" w:rsidRPr="00A21735">
        <w:trPr>
          <w:jc w:val="center"/>
        </w:trPr>
        <w:tc>
          <w:tcPr>
            <w:tcW w:w="1828" w:type="dxa"/>
          </w:tcPr>
          <w:p w:rsidR="00A21735" w:rsidRPr="00D04165" w:rsidRDefault="00A21735" w:rsidP="000D7BA5">
            <w:pPr>
              <w:jc w:val="both"/>
              <w:rPr>
                <w:i/>
                <w:color w:val="000000"/>
              </w:rPr>
            </w:pPr>
            <w:r w:rsidRPr="00D04165">
              <w:rPr>
                <w:i/>
                <w:color w:val="000000"/>
              </w:rPr>
              <w:t>Гос. облигации</w:t>
            </w:r>
          </w:p>
        </w:tc>
        <w:tc>
          <w:tcPr>
            <w:tcW w:w="3052" w:type="dxa"/>
          </w:tcPr>
          <w:p w:rsidR="00A21735" w:rsidRPr="00A21735" w:rsidRDefault="00A21735" w:rsidP="000D7BA5">
            <w:pPr>
              <w:jc w:val="both"/>
              <w:rPr>
                <w:color w:val="000000"/>
                <w:lang w:val="en-US"/>
              </w:rPr>
            </w:pPr>
            <w:r>
              <w:rPr>
                <w:color w:val="000000"/>
                <w:lang w:val="en-US"/>
              </w:rPr>
              <w:t>0,12%</w:t>
            </w:r>
          </w:p>
        </w:tc>
        <w:tc>
          <w:tcPr>
            <w:tcW w:w="3090" w:type="dxa"/>
          </w:tcPr>
          <w:p w:rsidR="00A21735" w:rsidRPr="00A21735" w:rsidRDefault="00A21735" w:rsidP="001B7634">
            <w:pPr>
              <w:jc w:val="both"/>
              <w:rPr>
                <w:color w:val="000000"/>
                <w:lang w:val="en-US"/>
              </w:rPr>
            </w:pPr>
            <w:r>
              <w:rPr>
                <w:color w:val="000000"/>
                <w:lang w:val="en-US"/>
              </w:rPr>
              <w:t>0,19%</w:t>
            </w:r>
          </w:p>
        </w:tc>
      </w:tr>
    </w:tbl>
    <w:p w:rsidR="00A21735" w:rsidRPr="00A21735" w:rsidRDefault="00A21735" w:rsidP="000D7BA5">
      <w:pPr>
        <w:ind w:firstLine="900"/>
        <w:jc w:val="both"/>
        <w:rPr>
          <w:color w:val="000000"/>
        </w:rPr>
      </w:pPr>
    </w:p>
    <w:tbl>
      <w:tblPr>
        <w:tblStyle w:val="a9"/>
        <w:tblW w:w="0" w:type="auto"/>
        <w:tblLook w:val="01E0" w:firstRow="1" w:lastRow="1" w:firstColumn="1" w:lastColumn="1" w:noHBand="0" w:noVBand="0"/>
      </w:tblPr>
      <w:tblGrid>
        <w:gridCol w:w="1595"/>
        <w:gridCol w:w="1595"/>
        <w:gridCol w:w="1595"/>
        <w:gridCol w:w="1595"/>
        <w:gridCol w:w="1595"/>
        <w:gridCol w:w="1596"/>
      </w:tblGrid>
      <w:tr w:rsidR="00D04165">
        <w:tc>
          <w:tcPr>
            <w:tcW w:w="9571" w:type="dxa"/>
            <w:gridSpan w:val="6"/>
          </w:tcPr>
          <w:p w:rsidR="00D04165" w:rsidRPr="00D04165" w:rsidRDefault="00D04165" w:rsidP="00FC4C40">
            <w:pPr>
              <w:jc w:val="center"/>
              <w:rPr>
                <w:b/>
                <w:color w:val="000000"/>
              </w:rPr>
            </w:pPr>
            <w:r w:rsidRPr="00D04165">
              <w:rPr>
                <w:b/>
                <w:color w:val="000000"/>
              </w:rPr>
              <w:t>Ковариации доходностей бумаг</w:t>
            </w:r>
          </w:p>
        </w:tc>
      </w:tr>
      <w:tr w:rsidR="00FC4C40">
        <w:tc>
          <w:tcPr>
            <w:tcW w:w="1595" w:type="dxa"/>
          </w:tcPr>
          <w:p w:rsidR="00FC4C40" w:rsidRDefault="00FC4C40" w:rsidP="00FC4C40">
            <w:pPr>
              <w:jc w:val="center"/>
              <w:rPr>
                <w:color w:val="000000"/>
              </w:rPr>
            </w:pPr>
          </w:p>
        </w:tc>
        <w:tc>
          <w:tcPr>
            <w:tcW w:w="1595" w:type="dxa"/>
          </w:tcPr>
          <w:p w:rsidR="00FC4C40" w:rsidRPr="00D04165" w:rsidRDefault="00FC4C40" w:rsidP="00FC4C40">
            <w:pPr>
              <w:jc w:val="center"/>
              <w:rPr>
                <w:i/>
                <w:color w:val="000000"/>
              </w:rPr>
            </w:pPr>
            <w:r w:rsidRPr="00D04165">
              <w:rPr>
                <w:i/>
                <w:color w:val="000000"/>
              </w:rPr>
              <w:t>Гос. облигац.</w:t>
            </w:r>
          </w:p>
        </w:tc>
        <w:tc>
          <w:tcPr>
            <w:tcW w:w="1595" w:type="dxa"/>
          </w:tcPr>
          <w:p w:rsidR="00FC4C40" w:rsidRPr="00D04165" w:rsidRDefault="00FC4C40" w:rsidP="00FC4C40">
            <w:pPr>
              <w:jc w:val="center"/>
              <w:rPr>
                <w:i/>
                <w:color w:val="000000"/>
              </w:rPr>
            </w:pPr>
            <w:r w:rsidRPr="00D04165">
              <w:rPr>
                <w:i/>
                <w:color w:val="000000"/>
              </w:rPr>
              <w:t>РАО ЕЭС</w:t>
            </w:r>
          </w:p>
        </w:tc>
        <w:tc>
          <w:tcPr>
            <w:tcW w:w="1595" w:type="dxa"/>
          </w:tcPr>
          <w:p w:rsidR="00FC4C40" w:rsidRPr="00D04165" w:rsidRDefault="00FC4C40" w:rsidP="00FC4C40">
            <w:pPr>
              <w:jc w:val="center"/>
              <w:rPr>
                <w:i/>
                <w:color w:val="000000"/>
              </w:rPr>
            </w:pPr>
            <w:r w:rsidRPr="00D04165">
              <w:rPr>
                <w:i/>
                <w:color w:val="000000"/>
              </w:rPr>
              <w:t>Сбербанк</w:t>
            </w:r>
          </w:p>
        </w:tc>
        <w:tc>
          <w:tcPr>
            <w:tcW w:w="1595" w:type="dxa"/>
          </w:tcPr>
          <w:p w:rsidR="00FC4C40" w:rsidRPr="00D04165" w:rsidRDefault="00FC4C40" w:rsidP="00FC4C40">
            <w:pPr>
              <w:jc w:val="center"/>
              <w:rPr>
                <w:i/>
                <w:color w:val="000000"/>
              </w:rPr>
            </w:pPr>
            <w:r w:rsidRPr="00D04165">
              <w:rPr>
                <w:i/>
                <w:color w:val="000000"/>
              </w:rPr>
              <w:t>Татнефть</w:t>
            </w:r>
          </w:p>
        </w:tc>
        <w:tc>
          <w:tcPr>
            <w:tcW w:w="1596" w:type="dxa"/>
          </w:tcPr>
          <w:p w:rsidR="00FC4C40" w:rsidRPr="00D04165" w:rsidRDefault="00FC4C40" w:rsidP="00FC4C40">
            <w:pPr>
              <w:jc w:val="center"/>
              <w:rPr>
                <w:i/>
                <w:color w:val="000000"/>
              </w:rPr>
            </w:pPr>
            <w:r w:rsidRPr="00D04165">
              <w:rPr>
                <w:i/>
                <w:color w:val="000000"/>
              </w:rPr>
              <w:t>Газпром</w:t>
            </w:r>
          </w:p>
        </w:tc>
      </w:tr>
      <w:tr w:rsidR="00FC4C40">
        <w:tc>
          <w:tcPr>
            <w:tcW w:w="1595" w:type="dxa"/>
          </w:tcPr>
          <w:p w:rsidR="00FC4C40" w:rsidRPr="00D04165" w:rsidRDefault="00FC4C40" w:rsidP="00FC4C40">
            <w:pPr>
              <w:jc w:val="center"/>
              <w:rPr>
                <w:i/>
                <w:color w:val="000000"/>
              </w:rPr>
            </w:pPr>
            <w:r w:rsidRPr="00D04165">
              <w:rPr>
                <w:i/>
                <w:color w:val="000000"/>
              </w:rPr>
              <w:t>Гос облигац.</w:t>
            </w:r>
          </w:p>
        </w:tc>
        <w:tc>
          <w:tcPr>
            <w:tcW w:w="1595" w:type="dxa"/>
          </w:tcPr>
          <w:p w:rsidR="00FC4C40" w:rsidRDefault="00FC4C40" w:rsidP="00FC4C40">
            <w:pPr>
              <w:jc w:val="center"/>
              <w:rPr>
                <w:color w:val="000000"/>
              </w:rPr>
            </w:pPr>
            <w:r>
              <w:rPr>
                <w:color w:val="000000"/>
              </w:rPr>
              <w:t>-</w:t>
            </w:r>
          </w:p>
        </w:tc>
        <w:tc>
          <w:tcPr>
            <w:tcW w:w="1595" w:type="dxa"/>
          </w:tcPr>
          <w:p w:rsidR="00FC4C40" w:rsidRDefault="004A1857" w:rsidP="00FC4C40">
            <w:pPr>
              <w:jc w:val="center"/>
              <w:rPr>
                <w:rFonts w:ascii="Arial CYR" w:hAnsi="Arial CYR" w:cs="Arial CYR"/>
                <w:sz w:val="20"/>
                <w:szCs w:val="20"/>
              </w:rPr>
            </w:pPr>
            <w:r>
              <w:rPr>
                <w:rFonts w:ascii="Arial CYR" w:hAnsi="Arial CYR" w:cs="Arial CYR"/>
                <w:sz w:val="20"/>
                <w:szCs w:val="20"/>
              </w:rPr>
              <w:t>0,00</w:t>
            </w:r>
            <w:r w:rsidR="00FC4C40">
              <w:rPr>
                <w:rFonts w:ascii="Arial CYR" w:hAnsi="Arial CYR" w:cs="Arial CYR"/>
                <w:sz w:val="20"/>
                <w:szCs w:val="20"/>
              </w:rPr>
              <w:t>1</w:t>
            </w:r>
          </w:p>
          <w:p w:rsidR="00FC4C40" w:rsidRDefault="00FC4C40" w:rsidP="00FC4C40">
            <w:pPr>
              <w:jc w:val="center"/>
              <w:rPr>
                <w:color w:val="000000"/>
              </w:rPr>
            </w:pPr>
          </w:p>
        </w:tc>
        <w:tc>
          <w:tcPr>
            <w:tcW w:w="1595" w:type="dxa"/>
          </w:tcPr>
          <w:p w:rsidR="00FC4C40" w:rsidRDefault="004A1857" w:rsidP="00FC4C40">
            <w:pPr>
              <w:jc w:val="center"/>
              <w:rPr>
                <w:rFonts w:ascii="Arial CYR" w:hAnsi="Arial CYR" w:cs="Arial CYR"/>
                <w:sz w:val="20"/>
                <w:szCs w:val="20"/>
              </w:rPr>
            </w:pPr>
            <w:r>
              <w:rPr>
                <w:rFonts w:ascii="Arial CYR" w:hAnsi="Arial CYR" w:cs="Arial CYR"/>
                <w:sz w:val="20"/>
                <w:szCs w:val="20"/>
              </w:rPr>
              <w:t>0,000</w:t>
            </w:r>
            <w:r w:rsidR="00DD34AB">
              <w:rPr>
                <w:rFonts w:ascii="Arial CYR" w:hAnsi="Arial CYR" w:cs="Arial CYR"/>
                <w:sz w:val="20"/>
                <w:szCs w:val="20"/>
              </w:rPr>
              <w:t>461</w:t>
            </w:r>
          </w:p>
          <w:p w:rsidR="00FC4C40" w:rsidRDefault="00FC4C40" w:rsidP="00FC4C40">
            <w:pPr>
              <w:jc w:val="center"/>
              <w:rPr>
                <w:color w:val="000000"/>
              </w:rPr>
            </w:pPr>
          </w:p>
        </w:tc>
        <w:tc>
          <w:tcPr>
            <w:tcW w:w="1595" w:type="dxa"/>
          </w:tcPr>
          <w:p w:rsidR="00FC4C40" w:rsidRDefault="004A1857" w:rsidP="00FC4C40">
            <w:pPr>
              <w:jc w:val="center"/>
              <w:rPr>
                <w:rFonts w:ascii="Arial CYR" w:hAnsi="Arial CYR" w:cs="Arial CYR"/>
                <w:sz w:val="20"/>
                <w:szCs w:val="20"/>
              </w:rPr>
            </w:pPr>
            <w:r>
              <w:rPr>
                <w:rFonts w:ascii="Arial CYR" w:hAnsi="Arial CYR" w:cs="Arial CYR"/>
                <w:sz w:val="20"/>
                <w:szCs w:val="20"/>
              </w:rPr>
              <w:t>0,00</w:t>
            </w:r>
            <w:r w:rsidR="002F7644">
              <w:rPr>
                <w:rFonts w:ascii="Arial CYR" w:hAnsi="Arial CYR" w:cs="Arial CYR"/>
                <w:sz w:val="20"/>
                <w:szCs w:val="20"/>
              </w:rPr>
              <w:t>065</w:t>
            </w:r>
          </w:p>
          <w:p w:rsidR="00FC4C40" w:rsidRDefault="00FC4C40" w:rsidP="00FC4C40">
            <w:pPr>
              <w:jc w:val="center"/>
              <w:rPr>
                <w:color w:val="000000"/>
              </w:rPr>
            </w:pPr>
          </w:p>
        </w:tc>
        <w:tc>
          <w:tcPr>
            <w:tcW w:w="1596" w:type="dxa"/>
          </w:tcPr>
          <w:p w:rsidR="00FC4C40" w:rsidRDefault="002F7644" w:rsidP="00FC4C40">
            <w:pPr>
              <w:jc w:val="center"/>
              <w:rPr>
                <w:rFonts w:ascii="Arial CYR" w:hAnsi="Arial CYR" w:cs="Arial CYR"/>
                <w:sz w:val="20"/>
                <w:szCs w:val="20"/>
              </w:rPr>
            </w:pPr>
            <w:r>
              <w:rPr>
                <w:rFonts w:ascii="Arial CYR" w:hAnsi="Arial CYR" w:cs="Arial CYR"/>
                <w:sz w:val="20"/>
                <w:szCs w:val="20"/>
              </w:rPr>
              <w:t>-</w:t>
            </w:r>
            <w:r w:rsidR="004A1857">
              <w:rPr>
                <w:rFonts w:ascii="Arial CYR" w:hAnsi="Arial CYR" w:cs="Arial CYR"/>
                <w:sz w:val="20"/>
                <w:szCs w:val="20"/>
              </w:rPr>
              <w:t>0,00</w:t>
            </w:r>
            <w:r w:rsidR="00FC4C40">
              <w:rPr>
                <w:rFonts w:ascii="Arial CYR" w:hAnsi="Arial CYR" w:cs="Arial CYR"/>
                <w:sz w:val="20"/>
                <w:szCs w:val="20"/>
              </w:rPr>
              <w:t>0</w:t>
            </w:r>
            <w:r>
              <w:rPr>
                <w:rFonts w:ascii="Arial CYR" w:hAnsi="Arial CYR" w:cs="Arial CYR"/>
                <w:sz w:val="20"/>
                <w:szCs w:val="20"/>
              </w:rPr>
              <w:t>17</w:t>
            </w:r>
          </w:p>
          <w:p w:rsidR="00FC4C40" w:rsidRDefault="00FC4C40" w:rsidP="00FC4C40">
            <w:pPr>
              <w:jc w:val="center"/>
              <w:rPr>
                <w:color w:val="000000"/>
              </w:rPr>
            </w:pPr>
          </w:p>
        </w:tc>
      </w:tr>
      <w:tr w:rsidR="00FC4C40">
        <w:tc>
          <w:tcPr>
            <w:tcW w:w="1595" w:type="dxa"/>
          </w:tcPr>
          <w:p w:rsidR="00FC4C40" w:rsidRPr="00D04165" w:rsidRDefault="00FC4C40" w:rsidP="00FC4C40">
            <w:pPr>
              <w:jc w:val="center"/>
              <w:rPr>
                <w:i/>
                <w:color w:val="000000"/>
              </w:rPr>
            </w:pPr>
            <w:r w:rsidRPr="00D04165">
              <w:rPr>
                <w:i/>
                <w:color w:val="000000"/>
              </w:rPr>
              <w:t>РАО ЕЭС</w:t>
            </w:r>
          </w:p>
        </w:tc>
        <w:tc>
          <w:tcPr>
            <w:tcW w:w="1595" w:type="dxa"/>
          </w:tcPr>
          <w:p w:rsidR="00FC4C40" w:rsidRDefault="00FC4C40" w:rsidP="00FC4C40">
            <w:pPr>
              <w:jc w:val="center"/>
              <w:rPr>
                <w:rFonts w:ascii="Arial CYR" w:hAnsi="Arial CYR" w:cs="Arial CYR"/>
                <w:sz w:val="20"/>
                <w:szCs w:val="20"/>
              </w:rPr>
            </w:pPr>
            <w:r>
              <w:rPr>
                <w:rFonts w:ascii="Arial CYR" w:hAnsi="Arial CYR" w:cs="Arial CYR"/>
                <w:sz w:val="20"/>
                <w:szCs w:val="20"/>
              </w:rPr>
              <w:t>0</w:t>
            </w:r>
            <w:r w:rsidR="004A1857">
              <w:rPr>
                <w:rFonts w:ascii="Arial CYR" w:hAnsi="Arial CYR" w:cs="Arial CYR"/>
                <w:sz w:val="20"/>
                <w:szCs w:val="20"/>
              </w:rPr>
              <w:t>,</w:t>
            </w:r>
            <w:r>
              <w:rPr>
                <w:rFonts w:ascii="Arial CYR" w:hAnsi="Arial CYR" w:cs="Arial CYR"/>
                <w:sz w:val="20"/>
                <w:szCs w:val="20"/>
              </w:rPr>
              <w:t>001</w:t>
            </w:r>
          </w:p>
          <w:p w:rsidR="00FC4C40" w:rsidRDefault="00FC4C40" w:rsidP="00FC4C40">
            <w:pPr>
              <w:jc w:val="center"/>
              <w:rPr>
                <w:color w:val="000000"/>
              </w:rPr>
            </w:pPr>
          </w:p>
        </w:tc>
        <w:tc>
          <w:tcPr>
            <w:tcW w:w="1595" w:type="dxa"/>
          </w:tcPr>
          <w:p w:rsidR="00FC4C40" w:rsidRDefault="00FC4C40" w:rsidP="00FC4C40">
            <w:pPr>
              <w:jc w:val="center"/>
              <w:rPr>
                <w:color w:val="000000"/>
              </w:rPr>
            </w:pPr>
            <w:r>
              <w:rPr>
                <w:color w:val="000000"/>
              </w:rPr>
              <w:t>-</w:t>
            </w:r>
          </w:p>
        </w:tc>
        <w:tc>
          <w:tcPr>
            <w:tcW w:w="1595" w:type="dxa"/>
          </w:tcPr>
          <w:p w:rsidR="00FC4C40" w:rsidRDefault="004A1857" w:rsidP="00FC4C40">
            <w:pPr>
              <w:jc w:val="center"/>
              <w:rPr>
                <w:rFonts w:ascii="Arial CYR" w:hAnsi="Arial CYR" w:cs="Arial CYR"/>
                <w:sz w:val="20"/>
                <w:szCs w:val="20"/>
              </w:rPr>
            </w:pPr>
            <w:r>
              <w:rPr>
                <w:rFonts w:ascii="Arial CYR" w:hAnsi="Arial CYR" w:cs="Arial CYR"/>
                <w:sz w:val="20"/>
                <w:szCs w:val="20"/>
              </w:rPr>
              <w:t>0,</w:t>
            </w:r>
            <w:r w:rsidR="00FC4C40">
              <w:rPr>
                <w:rFonts w:ascii="Arial CYR" w:hAnsi="Arial CYR" w:cs="Arial CYR"/>
                <w:sz w:val="20"/>
                <w:szCs w:val="20"/>
              </w:rPr>
              <w:t>011</w:t>
            </w:r>
          </w:p>
          <w:p w:rsidR="00FC4C40" w:rsidRDefault="00FC4C40" w:rsidP="00FC4C40">
            <w:pPr>
              <w:jc w:val="center"/>
              <w:rPr>
                <w:color w:val="000000"/>
              </w:rPr>
            </w:pPr>
          </w:p>
        </w:tc>
        <w:tc>
          <w:tcPr>
            <w:tcW w:w="1595" w:type="dxa"/>
          </w:tcPr>
          <w:p w:rsidR="00FC4C40" w:rsidRDefault="004A1857" w:rsidP="00FC4C40">
            <w:pPr>
              <w:jc w:val="center"/>
              <w:rPr>
                <w:rFonts w:ascii="Arial CYR" w:hAnsi="Arial CYR" w:cs="Arial CYR"/>
                <w:sz w:val="20"/>
                <w:szCs w:val="20"/>
              </w:rPr>
            </w:pPr>
            <w:r>
              <w:rPr>
                <w:rFonts w:ascii="Arial CYR" w:hAnsi="Arial CYR" w:cs="Arial CYR"/>
                <w:sz w:val="20"/>
                <w:szCs w:val="20"/>
              </w:rPr>
              <w:t>0,</w:t>
            </w:r>
            <w:r w:rsidR="00FC4C40">
              <w:rPr>
                <w:rFonts w:ascii="Arial CYR" w:hAnsi="Arial CYR" w:cs="Arial CYR"/>
                <w:sz w:val="20"/>
                <w:szCs w:val="20"/>
              </w:rPr>
              <w:t>010</w:t>
            </w:r>
          </w:p>
          <w:p w:rsidR="00FC4C40" w:rsidRDefault="00FC4C40" w:rsidP="00FC4C40">
            <w:pPr>
              <w:jc w:val="center"/>
              <w:rPr>
                <w:color w:val="000000"/>
              </w:rPr>
            </w:pPr>
          </w:p>
        </w:tc>
        <w:tc>
          <w:tcPr>
            <w:tcW w:w="1596" w:type="dxa"/>
          </w:tcPr>
          <w:p w:rsidR="00FC4C40" w:rsidRDefault="004A1857" w:rsidP="00FC4C40">
            <w:pPr>
              <w:jc w:val="center"/>
              <w:rPr>
                <w:rFonts w:ascii="Arial CYR" w:hAnsi="Arial CYR" w:cs="Arial CYR"/>
                <w:sz w:val="20"/>
                <w:szCs w:val="20"/>
              </w:rPr>
            </w:pPr>
            <w:r>
              <w:rPr>
                <w:rFonts w:ascii="Arial CYR" w:hAnsi="Arial CYR" w:cs="Arial CYR"/>
                <w:sz w:val="20"/>
                <w:szCs w:val="20"/>
              </w:rPr>
              <w:t>0,0</w:t>
            </w:r>
            <w:r w:rsidR="00FC4C40">
              <w:rPr>
                <w:rFonts w:ascii="Arial CYR" w:hAnsi="Arial CYR" w:cs="Arial CYR"/>
                <w:sz w:val="20"/>
                <w:szCs w:val="20"/>
              </w:rPr>
              <w:t>24</w:t>
            </w:r>
          </w:p>
          <w:p w:rsidR="00FC4C40" w:rsidRDefault="00FC4C40" w:rsidP="00FC4C40">
            <w:pPr>
              <w:jc w:val="center"/>
              <w:rPr>
                <w:color w:val="000000"/>
              </w:rPr>
            </w:pPr>
          </w:p>
        </w:tc>
      </w:tr>
      <w:tr w:rsidR="00FC4C40">
        <w:tc>
          <w:tcPr>
            <w:tcW w:w="1595" w:type="dxa"/>
          </w:tcPr>
          <w:p w:rsidR="00FC4C40" w:rsidRPr="00D04165" w:rsidRDefault="00FC4C40" w:rsidP="00FC4C40">
            <w:pPr>
              <w:jc w:val="center"/>
              <w:rPr>
                <w:i/>
                <w:color w:val="000000"/>
              </w:rPr>
            </w:pPr>
            <w:r w:rsidRPr="00D04165">
              <w:rPr>
                <w:i/>
                <w:color w:val="000000"/>
              </w:rPr>
              <w:t>Сбербанк</w:t>
            </w:r>
          </w:p>
        </w:tc>
        <w:tc>
          <w:tcPr>
            <w:tcW w:w="1595" w:type="dxa"/>
          </w:tcPr>
          <w:p w:rsidR="00FC4C40" w:rsidRDefault="00FC4C40" w:rsidP="00FC4C40">
            <w:pPr>
              <w:jc w:val="center"/>
              <w:rPr>
                <w:rFonts w:ascii="Arial CYR" w:hAnsi="Arial CYR" w:cs="Arial CYR"/>
                <w:sz w:val="20"/>
                <w:szCs w:val="20"/>
              </w:rPr>
            </w:pPr>
            <w:r>
              <w:rPr>
                <w:rFonts w:ascii="Arial CYR" w:hAnsi="Arial CYR" w:cs="Arial CYR"/>
                <w:sz w:val="20"/>
                <w:szCs w:val="20"/>
              </w:rPr>
              <w:t>0</w:t>
            </w:r>
            <w:r w:rsidR="004A1857">
              <w:rPr>
                <w:rFonts w:ascii="Arial CYR" w:hAnsi="Arial CYR" w:cs="Arial CYR"/>
                <w:sz w:val="20"/>
                <w:szCs w:val="20"/>
              </w:rPr>
              <w:t>,</w:t>
            </w:r>
            <w:r>
              <w:rPr>
                <w:rFonts w:ascii="Arial CYR" w:hAnsi="Arial CYR" w:cs="Arial CYR"/>
                <w:sz w:val="20"/>
                <w:szCs w:val="20"/>
              </w:rPr>
              <w:t>000</w:t>
            </w:r>
            <w:r w:rsidR="002F7644">
              <w:rPr>
                <w:rFonts w:ascii="Arial CYR" w:hAnsi="Arial CYR" w:cs="Arial CYR"/>
                <w:sz w:val="20"/>
                <w:szCs w:val="20"/>
              </w:rPr>
              <w:t>461</w:t>
            </w:r>
          </w:p>
          <w:p w:rsidR="00FC4C40" w:rsidRDefault="00FC4C40" w:rsidP="00FC4C40">
            <w:pPr>
              <w:jc w:val="center"/>
              <w:rPr>
                <w:color w:val="000000"/>
              </w:rPr>
            </w:pPr>
          </w:p>
        </w:tc>
        <w:tc>
          <w:tcPr>
            <w:tcW w:w="1595" w:type="dxa"/>
            <w:vAlign w:val="bottom"/>
          </w:tcPr>
          <w:p w:rsidR="00FC4C40" w:rsidRDefault="004A1857" w:rsidP="00FC4C40">
            <w:pPr>
              <w:jc w:val="center"/>
              <w:rPr>
                <w:rFonts w:ascii="Arial CYR" w:hAnsi="Arial CYR" w:cs="Arial CYR"/>
                <w:sz w:val="20"/>
                <w:szCs w:val="20"/>
              </w:rPr>
            </w:pPr>
            <w:r>
              <w:rPr>
                <w:rFonts w:ascii="Arial CYR" w:hAnsi="Arial CYR" w:cs="Arial CYR"/>
                <w:sz w:val="20"/>
                <w:szCs w:val="20"/>
              </w:rPr>
              <w:t>0,0</w:t>
            </w:r>
            <w:r w:rsidR="00FC4C40">
              <w:rPr>
                <w:rFonts w:ascii="Arial CYR" w:hAnsi="Arial CYR" w:cs="Arial CYR"/>
                <w:sz w:val="20"/>
                <w:szCs w:val="20"/>
              </w:rPr>
              <w:t>11</w:t>
            </w:r>
          </w:p>
        </w:tc>
        <w:tc>
          <w:tcPr>
            <w:tcW w:w="1595" w:type="dxa"/>
          </w:tcPr>
          <w:p w:rsidR="00FC4C40" w:rsidRDefault="00FC4C40" w:rsidP="00FC4C40">
            <w:pPr>
              <w:jc w:val="center"/>
              <w:rPr>
                <w:color w:val="000000"/>
              </w:rPr>
            </w:pPr>
            <w:r>
              <w:rPr>
                <w:color w:val="000000"/>
              </w:rPr>
              <w:t>-</w:t>
            </w:r>
          </w:p>
        </w:tc>
        <w:tc>
          <w:tcPr>
            <w:tcW w:w="1595" w:type="dxa"/>
          </w:tcPr>
          <w:p w:rsidR="00FC4C40" w:rsidRDefault="004A1857" w:rsidP="00FC4C40">
            <w:pPr>
              <w:jc w:val="center"/>
              <w:rPr>
                <w:rFonts w:ascii="Arial CYR" w:hAnsi="Arial CYR" w:cs="Arial CYR"/>
                <w:sz w:val="20"/>
                <w:szCs w:val="20"/>
              </w:rPr>
            </w:pPr>
            <w:r>
              <w:rPr>
                <w:rFonts w:ascii="Arial CYR" w:hAnsi="Arial CYR" w:cs="Arial CYR"/>
                <w:sz w:val="20"/>
                <w:szCs w:val="20"/>
              </w:rPr>
              <w:t>0,0</w:t>
            </w:r>
            <w:r w:rsidR="00FC4C40">
              <w:rPr>
                <w:rFonts w:ascii="Arial CYR" w:hAnsi="Arial CYR" w:cs="Arial CYR"/>
                <w:sz w:val="20"/>
                <w:szCs w:val="20"/>
              </w:rPr>
              <w:t>22</w:t>
            </w:r>
          </w:p>
          <w:p w:rsidR="00FC4C40" w:rsidRDefault="00FC4C40" w:rsidP="00FC4C40">
            <w:pPr>
              <w:jc w:val="center"/>
              <w:rPr>
                <w:color w:val="000000"/>
              </w:rPr>
            </w:pPr>
          </w:p>
        </w:tc>
        <w:tc>
          <w:tcPr>
            <w:tcW w:w="1596" w:type="dxa"/>
          </w:tcPr>
          <w:p w:rsidR="00FC4C40" w:rsidRDefault="004A1857" w:rsidP="00FC4C40">
            <w:pPr>
              <w:jc w:val="center"/>
              <w:rPr>
                <w:rFonts w:ascii="Arial CYR" w:hAnsi="Arial CYR" w:cs="Arial CYR"/>
                <w:sz w:val="20"/>
                <w:szCs w:val="20"/>
              </w:rPr>
            </w:pPr>
            <w:r>
              <w:rPr>
                <w:rFonts w:ascii="Arial CYR" w:hAnsi="Arial CYR" w:cs="Arial CYR"/>
                <w:sz w:val="20"/>
                <w:szCs w:val="20"/>
              </w:rPr>
              <w:t>0,0</w:t>
            </w:r>
            <w:r w:rsidR="00FC4C40">
              <w:rPr>
                <w:rFonts w:ascii="Arial CYR" w:hAnsi="Arial CYR" w:cs="Arial CYR"/>
                <w:sz w:val="20"/>
                <w:szCs w:val="20"/>
              </w:rPr>
              <w:t>29</w:t>
            </w:r>
          </w:p>
          <w:p w:rsidR="00FC4C40" w:rsidRDefault="00FC4C40" w:rsidP="00FC4C40">
            <w:pPr>
              <w:jc w:val="center"/>
              <w:rPr>
                <w:color w:val="000000"/>
              </w:rPr>
            </w:pPr>
          </w:p>
        </w:tc>
      </w:tr>
      <w:tr w:rsidR="00FC4C40">
        <w:tc>
          <w:tcPr>
            <w:tcW w:w="1595" w:type="dxa"/>
          </w:tcPr>
          <w:p w:rsidR="00FC4C40" w:rsidRPr="00D04165" w:rsidRDefault="00FC4C40" w:rsidP="00FC4C40">
            <w:pPr>
              <w:jc w:val="center"/>
              <w:rPr>
                <w:i/>
                <w:color w:val="000000"/>
              </w:rPr>
            </w:pPr>
            <w:r w:rsidRPr="00D04165">
              <w:rPr>
                <w:i/>
                <w:color w:val="000000"/>
              </w:rPr>
              <w:t>Татнефть</w:t>
            </w:r>
          </w:p>
        </w:tc>
        <w:tc>
          <w:tcPr>
            <w:tcW w:w="1595" w:type="dxa"/>
          </w:tcPr>
          <w:p w:rsidR="00FC4C40" w:rsidRDefault="002F7644" w:rsidP="00FC4C40">
            <w:pPr>
              <w:jc w:val="center"/>
              <w:rPr>
                <w:rFonts w:ascii="Arial CYR" w:hAnsi="Arial CYR" w:cs="Arial CYR"/>
                <w:sz w:val="20"/>
                <w:szCs w:val="20"/>
              </w:rPr>
            </w:pPr>
            <w:r>
              <w:rPr>
                <w:rFonts w:ascii="Arial CYR" w:hAnsi="Arial CYR" w:cs="Arial CYR"/>
                <w:sz w:val="20"/>
                <w:szCs w:val="20"/>
              </w:rPr>
              <w:t>0</w:t>
            </w:r>
            <w:r w:rsidR="004A1857">
              <w:rPr>
                <w:rFonts w:ascii="Arial CYR" w:hAnsi="Arial CYR" w:cs="Arial CYR"/>
                <w:sz w:val="20"/>
                <w:szCs w:val="20"/>
              </w:rPr>
              <w:t>,</w:t>
            </w:r>
            <w:r>
              <w:rPr>
                <w:rFonts w:ascii="Arial CYR" w:hAnsi="Arial CYR" w:cs="Arial CYR"/>
                <w:sz w:val="20"/>
                <w:szCs w:val="20"/>
              </w:rPr>
              <w:t>00065</w:t>
            </w:r>
          </w:p>
          <w:p w:rsidR="00FC4C40" w:rsidRDefault="00FC4C40" w:rsidP="00FC4C40">
            <w:pPr>
              <w:jc w:val="center"/>
              <w:rPr>
                <w:color w:val="000000"/>
              </w:rPr>
            </w:pPr>
          </w:p>
        </w:tc>
        <w:tc>
          <w:tcPr>
            <w:tcW w:w="1595" w:type="dxa"/>
            <w:vAlign w:val="bottom"/>
          </w:tcPr>
          <w:p w:rsidR="00FC4C40" w:rsidRDefault="004A1857" w:rsidP="00FC4C40">
            <w:pPr>
              <w:jc w:val="center"/>
              <w:rPr>
                <w:rFonts w:ascii="Arial CYR" w:hAnsi="Arial CYR" w:cs="Arial CYR"/>
                <w:sz w:val="20"/>
                <w:szCs w:val="20"/>
              </w:rPr>
            </w:pPr>
            <w:r>
              <w:rPr>
                <w:rFonts w:ascii="Arial CYR" w:hAnsi="Arial CYR" w:cs="Arial CYR"/>
                <w:sz w:val="20"/>
                <w:szCs w:val="20"/>
              </w:rPr>
              <w:t>0,</w:t>
            </w:r>
            <w:r w:rsidR="00FC4C40">
              <w:rPr>
                <w:rFonts w:ascii="Arial CYR" w:hAnsi="Arial CYR" w:cs="Arial CYR"/>
                <w:sz w:val="20"/>
                <w:szCs w:val="20"/>
              </w:rPr>
              <w:t>010</w:t>
            </w:r>
          </w:p>
          <w:p w:rsidR="00FC4C40" w:rsidRDefault="00FC4C40" w:rsidP="00FC4C40">
            <w:pPr>
              <w:jc w:val="center"/>
              <w:rPr>
                <w:rFonts w:ascii="Arial CYR" w:hAnsi="Arial CYR" w:cs="Arial CYR"/>
                <w:sz w:val="20"/>
                <w:szCs w:val="20"/>
              </w:rPr>
            </w:pPr>
          </w:p>
        </w:tc>
        <w:tc>
          <w:tcPr>
            <w:tcW w:w="1595" w:type="dxa"/>
          </w:tcPr>
          <w:p w:rsidR="00FC4C40" w:rsidRDefault="004A1857" w:rsidP="00FC4C40">
            <w:pPr>
              <w:jc w:val="center"/>
              <w:rPr>
                <w:rFonts w:ascii="Arial CYR" w:hAnsi="Arial CYR" w:cs="Arial CYR"/>
                <w:sz w:val="20"/>
                <w:szCs w:val="20"/>
              </w:rPr>
            </w:pPr>
            <w:r>
              <w:rPr>
                <w:rFonts w:ascii="Arial CYR" w:hAnsi="Arial CYR" w:cs="Arial CYR"/>
                <w:sz w:val="20"/>
                <w:szCs w:val="20"/>
              </w:rPr>
              <w:t>0,</w:t>
            </w:r>
            <w:r w:rsidR="00FC4C40">
              <w:rPr>
                <w:rFonts w:ascii="Arial CYR" w:hAnsi="Arial CYR" w:cs="Arial CYR"/>
                <w:sz w:val="20"/>
                <w:szCs w:val="20"/>
              </w:rPr>
              <w:t>022</w:t>
            </w:r>
          </w:p>
          <w:p w:rsidR="00FC4C40" w:rsidRDefault="00FC4C40" w:rsidP="00FC4C40">
            <w:pPr>
              <w:jc w:val="center"/>
              <w:rPr>
                <w:color w:val="000000"/>
              </w:rPr>
            </w:pPr>
          </w:p>
        </w:tc>
        <w:tc>
          <w:tcPr>
            <w:tcW w:w="1595" w:type="dxa"/>
          </w:tcPr>
          <w:p w:rsidR="00FC4C40" w:rsidRDefault="00FC4C40" w:rsidP="00FC4C40">
            <w:pPr>
              <w:jc w:val="center"/>
              <w:rPr>
                <w:color w:val="000000"/>
              </w:rPr>
            </w:pPr>
            <w:r>
              <w:rPr>
                <w:color w:val="000000"/>
              </w:rPr>
              <w:t>-</w:t>
            </w:r>
          </w:p>
        </w:tc>
        <w:tc>
          <w:tcPr>
            <w:tcW w:w="1596" w:type="dxa"/>
          </w:tcPr>
          <w:p w:rsidR="00FC4C40" w:rsidRDefault="004A1857" w:rsidP="00FC4C40">
            <w:pPr>
              <w:jc w:val="center"/>
              <w:rPr>
                <w:rFonts w:ascii="Arial CYR" w:hAnsi="Arial CYR" w:cs="Arial CYR"/>
                <w:sz w:val="20"/>
                <w:szCs w:val="20"/>
              </w:rPr>
            </w:pPr>
            <w:r>
              <w:rPr>
                <w:rFonts w:ascii="Arial CYR" w:hAnsi="Arial CYR" w:cs="Arial CYR"/>
                <w:sz w:val="20"/>
                <w:szCs w:val="20"/>
              </w:rPr>
              <w:t>0,0</w:t>
            </w:r>
            <w:r w:rsidR="00FC4C40">
              <w:rPr>
                <w:rFonts w:ascii="Arial CYR" w:hAnsi="Arial CYR" w:cs="Arial CYR"/>
                <w:sz w:val="20"/>
                <w:szCs w:val="20"/>
              </w:rPr>
              <w:t>21</w:t>
            </w:r>
          </w:p>
          <w:p w:rsidR="00FC4C40" w:rsidRDefault="00FC4C40" w:rsidP="00FC4C40">
            <w:pPr>
              <w:jc w:val="center"/>
              <w:rPr>
                <w:color w:val="000000"/>
              </w:rPr>
            </w:pPr>
          </w:p>
        </w:tc>
      </w:tr>
      <w:tr w:rsidR="00FC4C40">
        <w:tc>
          <w:tcPr>
            <w:tcW w:w="1595" w:type="dxa"/>
          </w:tcPr>
          <w:p w:rsidR="00FC4C40" w:rsidRPr="00D04165" w:rsidRDefault="00FC4C40" w:rsidP="00FC4C40">
            <w:pPr>
              <w:jc w:val="center"/>
              <w:rPr>
                <w:i/>
                <w:color w:val="000000"/>
              </w:rPr>
            </w:pPr>
            <w:r w:rsidRPr="00D04165">
              <w:rPr>
                <w:i/>
                <w:color w:val="000000"/>
              </w:rPr>
              <w:t>Газпром</w:t>
            </w:r>
          </w:p>
        </w:tc>
        <w:tc>
          <w:tcPr>
            <w:tcW w:w="1595" w:type="dxa"/>
          </w:tcPr>
          <w:p w:rsidR="00FC4C40" w:rsidRDefault="002F7644" w:rsidP="00FC4C40">
            <w:pPr>
              <w:jc w:val="center"/>
              <w:rPr>
                <w:rFonts w:ascii="Arial CYR" w:hAnsi="Arial CYR" w:cs="Arial CYR"/>
                <w:sz w:val="20"/>
                <w:szCs w:val="20"/>
              </w:rPr>
            </w:pPr>
            <w:r>
              <w:rPr>
                <w:rFonts w:ascii="Arial CYR" w:hAnsi="Arial CYR" w:cs="Arial CYR"/>
                <w:sz w:val="20"/>
                <w:szCs w:val="20"/>
              </w:rPr>
              <w:t>-</w:t>
            </w:r>
            <w:r w:rsidR="004A1857">
              <w:rPr>
                <w:rFonts w:ascii="Arial CYR" w:hAnsi="Arial CYR" w:cs="Arial CYR"/>
                <w:sz w:val="20"/>
                <w:szCs w:val="20"/>
              </w:rPr>
              <w:t>0,</w:t>
            </w:r>
            <w:r w:rsidR="00FC4C40">
              <w:rPr>
                <w:rFonts w:ascii="Arial CYR" w:hAnsi="Arial CYR" w:cs="Arial CYR"/>
                <w:sz w:val="20"/>
                <w:szCs w:val="20"/>
              </w:rPr>
              <w:t>000</w:t>
            </w:r>
            <w:r>
              <w:rPr>
                <w:rFonts w:ascii="Arial CYR" w:hAnsi="Arial CYR" w:cs="Arial CYR"/>
                <w:sz w:val="20"/>
                <w:szCs w:val="20"/>
              </w:rPr>
              <w:t>17</w:t>
            </w:r>
          </w:p>
          <w:p w:rsidR="00FC4C40" w:rsidRDefault="00FC4C40" w:rsidP="00FC4C40">
            <w:pPr>
              <w:jc w:val="center"/>
              <w:rPr>
                <w:color w:val="000000"/>
              </w:rPr>
            </w:pPr>
          </w:p>
        </w:tc>
        <w:tc>
          <w:tcPr>
            <w:tcW w:w="1595" w:type="dxa"/>
            <w:vAlign w:val="bottom"/>
          </w:tcPr>
          <w:p w:rsidR="00FC4C40" w:rsidRDefault="004A1857" w:rsidP="00FC4C40">
            <w:pPr>
              <w:jc w:val="center"/>
              <w:rPr>
                <w:rFonts w:ascii="Arial CYR" w:hAnsi="Arial CYR" w:cs="Arial CYR"/>
                <w:sz w:val="20"/>
                <w:szCs w:val="20"/>
              </w:rPr>
            </w:pPr>
            <w:r>
              <w:rPr>
                <w:rFonts w:ascii="Arial CYR" w:hAnsi="Arial CYR" w:cs="Arial CYR"/>
                <w:sz w:val="20"/>
                <w:szCs w:val="20"/>
              </w:rPr>
              <w:t>0,</w:t>
            </w:r>
            <w:r w:rsidR="00FC4C40">
              <w:rPr>
                <w:rFonts w:ascii="Arial CYR" w:hAnsi="Arial CYR" w:cs="Arial CYR"/>
                <w:sz w:val="20"/>
                <w:szCs w:val="20"/>
              </w:rPr>
              <w:t>024</w:t>
            </w:r>
          </w:p>
          <w:p w:rsidR="00FC4C40" w:rsidRDefault="00FC4C40" w:rsidP="00FC4C40">
            <w:pPr>
              <w:jc w:val="center"/>
              <w:rPr>
                <w:rFonts w:ascii="Arial CYR" w:hAnsi="Arial CYR" w:cs="Arial CYR"/>
                <w:sz w:val="20"/>
                <w:szCs w:val="20"/>
              </w:rPr>
            </w:pPr>
          </w:p>
        </w:tc>
        <w:tc>
          <w:tcPr>
            <w:tcW w:w="1595" w:type="dxa"/>
          </w:tcPr>
          <w:p w:rsidR="00FC4C40" w:rsidRDefault="004A1857" w:rsidP="00FC4C40">
            <w:pPr>
              <w:jc w:val="center"/>
              <w:rPr>
                <w:rFonts w:ascii="Arial CYR" w:hAnsi="Arial CYR" w:cs="Arial CYR"/>
                <w:sz w:val="20"/>
                <w:szCs w:val="20"/>
              </w:rPr>
            </w:pPr>
            <w:r>
              <w:rPr>
                <w:rFonts w:ascii="Arial CYR" w:hAnsi="Arial CYR" w:cs="Arial CYR"/>
                <w:sz w:val="20"/>
                <w:szCs w:val="20"/>
              </w:rPr>
              <w:t>0,</w:t>
            </w:r>
            <w:r w:rsidR="00FC4C40">
              <w:rPr>
                <w:rFonts w:ascii="Arial CYR" w:hAnsi="Arial CYR" w:cs="Arial CYR"/>
                <w:sz w:val="20"/>
                <w:szCs w:val="20"/>
              </w:rPr>
              <w:t>029</w:t>
            </w:r>
          </w:p>
          <w:p w:rsidR="00FC4C40" w:rsidRDefault="00FC4C40" w:rsidP="00FC4C40">
            <w:pPr>
              <w:jc w:val="center"/>
              <w:rPr>
                <w:color w:val="000000"/>
              </w:rPr>
            </w:pPr>
          </w:p>
        </w:tc>
        <w:tc>
          <w:tcPr>
            <w:tcW w:w="1595" w:type="dxa"/>
          </w:tcPr>
          <w:p w:rsidR="00FC4C40" w:rsidRDefault="004A1857" w:rsidP="00FC4C40">
            <w:pPr>
              <w:jc w:val="center"/>
              <w:rPr>
                <w:rFonts w:ascii="Arial CYR" w:hAnsi="Arial CYR" w:cs="Arial CYR"/>
                <w:sz w:val="20"/>
                <w:szCs w:val="20"/>
              </w:rPr>
            </w:pPr>
            <w:r>
              <w:rPr>
                <w:rFonts w:ascii="Arial CYR" w:hAnsi="Arial CYR" w:cs="Arial CYR"/>
                <w:sz w:val="20"/>
                <w:szCs w:val="20"/>
              </w:rPr>
              <w:t>0,0</w:t>
            </w:r>
            <w:r w:rsidR="00FC4C40">
              <w:rPr>
                <w:rFonts w:ascii="Arial CYR" w:hAnsi="Arial CYR" w:cs="Arial CYR"/>
                <w:sz w:val="20"/>
                <w:szCs w:val="20"/>
              </w:rPr>
              <w:t>21</w:t>
            </w:r>
          </w:p>
          <w:p w:rsidR="00FC4C40" w:rsidRDefault="00FC4C40" w:rsidP="00FC4C40">
            <w:pPr>
              <w:jc w:val="center"/>
              <w:rPr>
                <w:color w:val="000000"/>
              </w:rPr>
            </w:pPr>
          </w:p>
        </w:tc>
        <w:tc>
          <w:tcPr>
            <w:tcW w:w="1596" w:type="dxa"/>
          </w:tcPr>
          <w:p w:rsidR="00FC4C40" w:rsidRDefault="00FC4C40" w:rsidP="00FC4C40">
            <w:pPr>
              <w:jc w:val="center"/>
              <w:rPr>
                <w:color w:val="000000"/>
              </w:rPr>
            </w:pPr>
            <w:r>
              <w:rPr>
                <w:color w:val="000000"/>
              </w:rPr>
              <w:t>-</w:t>
            </w:r>
          </w:p>
        </w:tc>
      </w:tr>
    </w:tbl>
    <w:p w:rsidR="00FC4C40" w:rsidRDefault="00FC4C40" w:rsidP="000D7BA5">
      <w:pPr>
        <w:ind w:firstLine="900"/>
        <w:jc w:val="both"/>
        <w:rPr>
          <w:color w:val="000000"/>
        </w:rPr>
      </w:pPr>
    </w:p>
    <w:p w:rsidR="005C7BB0" w:rsidRPr="008638BC" w:rsidRDefault="005C7BB0" w:rsidP="000D7BA5">
      <w:pPr>
        <w:ind w:firstLine="900"/>
        <w:jc w:val="both"/>
        <w:rPr>
          <w:color w:val="000000"/>
        </w:rPr>
      </w:pPr>
      <w:r>
        <w:rPr>
          <w:color w:val="000000"/>
        </w:rPr>
        <w:t xml:space="preserve">Доходность портфеля определяется как средневзвешенное доходностей составляющих его активов. </w:t>
      </w:r>
    </w:p>
    <w:p w:rsidR="00101FB5" w:rsidRPr="008638BC" w:rsidRDefault="00101FB5" w:rsidP="00015864">
      <w:pPr>
        <w:jc w:val="both"/>
        <w:rPr>
          <w:color w:val="000000"/>
        </w:rPr>
      </w:pPr>
    </w:p>
    <w:p w:rsidR="00101FB5" w:rsidRDefault="005E5056" w:rsidP="00015864">
      <w:pPr>
        <w:jc w:val="both"/>
        <w:rPr>
          <w:color w:val="000000"/>
        </w:rPr>
      </w:pPr>
      <w:r>
        <w:rPr>
          <w:color w:val="000000"/>
        </w:rPr>
        <w:t xml:space="preserve">Решение. Риск портфеля </w:t>
      </w:r>
      <w:r w:rsidR="00D04165">
        <w:rPr>
          <w:color w:val="000000"/>
        </w:rPr>
        <w:t xml:space="preserve"> с нескорректированными стандартными отклонениями </w:t>
      </w:r>
      <w:r>
        <w:rPr>
          <w:color w:val="000000"/>
        </w:rPr>
        <w:t>равен:</w:t>
      </w:r>
    </w:p>
    <w:p w:rsidR="005E5056" w:rsidRDefault="005E5056" w:rsidP="00015864">
      <w:pPr>
        <w:jc w:val="both"/>
        <w:rPr>
          <w:color w:val="000000"/>
        </w:rPr>
      </w:pPr>
    </w:p>
    <w:p w:rsidR="005E5056" w:rsidRDefault="005E5056" w:rsidP="005E5056">
      <w:pPr>
        <w:numPr>
          <w:ilvl w:val="2"/>
          <w:numId w:val="9"/>
        </w:numPr>
        <w:jc w:val="both"/>
        <w:rPr>
          <w:color w:val="000000"/>
        </w:rPr>
      </w:pPr>
      <w:r>
        <w:rPr>
          <w:color w:val="000000"/>
        </w:rPr>
        <w:t>Для одной бумаги (РАО ЕЭС) = 2,2%</w:t>
      </w:r>
    </w:p>
    <w:p w:rsidR="005E5056" w:rsidRPr="00605F89" w:rsidRDefault="005E5056" w:rsidP="005E5056">
      <w:pPr>
        <w:numPr>
          <w:ilvl w:val="2"/>
          <w:numId w:val="9"/>
        </w:numPr>
        <w:jc w:val="both"/>
        <w:rPr>
          <w:color w:val="000000"/>
        </w:rPr>
      </w:pPr>
      <w:r>
        <w:rPr>
          <w:color w:val="000000"/>
        </w:rPr>
        <w:t>Для двух бумаг</w:t>
      </w:r>
      <w:r w:rsidR="00605F89">
        <w:rPr>
          <w:color w:val="000000"/>
        </w:rPr>
        <w:t xml:space="preserve"> </w:t>
      </w:r>
      <w:r>
        <w:rPr>
          <w:color w:val="000000"/>
        </w:rPr>
        <w:t>(РАО ЕЭС, Сбербанк) = 0,5*0,5*</w:t>
      </w:r>
      <w:r w:rsidR="00605F89">
        <w:rPr>
          <w:color w:val="000000"/>
        </w:rPr>
        <w:t>2</w:t>
      </w:r>
      <w:r w:rsidR="009B7651">
        <w:rPr>
          <w:color w:val="000000"/>
        </w:rPr>
        <w:t>,2*</w:t>
      </w:r>
      <w:r w:rsidR="00605F89">
        <w:rPr>
          <w:color w:val="000000"/>
        </w:rPr>
        <w:t>2</w:t>
      </w:r>
      <w:r w:rsidR="009B7651">
        <w:rPr>
          <w:color w:val="000000"/>
        </w:rPr>
        <w:t>,</w:t>
      </w:r>
      <w:r w:rsidR="00605F89">
        <w:rPr>
          <w:color w:val="000000"/>
        </w:rPr>
        <w:t>2</w:t>
      </w:r>
      <w:r>
        <w:rPr>
          <w:color w:val="000000"/>
        </w:rPr>
        <w:t xml:space="preserve"> + 0,5*0,5</w:t>
      </w:r>
      <w:r w:rsidR="009B7651">
        <w:rPr>
          <w:color w:val="000000"/>
        </w:rPr>
        <w:t>*</w:t>
      </w:r>
      <w:r w:rsidR="00605F89">
        <w:rPr>
          <w:color w:val="000000"/>
        </w:rPr>
        <w:t>1</w:t>
      </w:r>
      <w:r w:rsidR="009B7651">
        <w:rPr>
          <w:color w:val="000000"/>
        </w:rPr>
        <w:t>,</w:t>
      </w:r>
      <w:r w:rsidR="00605F89">
        <w:rPr>
          <w:color w:val="000000"/>
        </w:rPr>
        <w:t>97</w:t>
      </w:r>
      <w:r>
        <w:rPr>
          <w:color w:val="000000"/>
        </w:rPr>
        <w:t>*</w:t>
      </w:r>
      <w:r w:rsidR="00605F89">
        <w:rPr>
          <w:color w:val="000000"/>
        </w:rPr>
        <w:t>1</w:t>
      </w:r>
      <w:r w:rsidR="009B7651">
        <w:rPr>
          <w:color w:val="000000"/>
        </w:rPr>
        <w:t>,</w:t>
      </w:r>
      <w:r>
        <w:rPr>
          <w:color w:val="000000"/>
        </w:rPr>
        <w:t>97 + 2*0,5*0,5*</w:t>
      </w:r>
      <w:r w:rsidR="009B7651">
        <w:rPr>
          <w:rFonts w:ascii="Arial CYR" w:hAnsi="Arial CYR" w:cs="Arial CYR"/>
          <w:sz w:val="20"/>
          <w:szCs w:val="20"/>
        </w:rPr>
        <w:t>0,0</w:t>
      </w:r>
      <w:r>
        <w:rPr>
          <w:rFonts w:ascii="Arial CYR" w:hAnsi="Arial CYR" w:cs="Arial CYR"/>
          <w:sz w:val="20"/>
          <w:szCs w:val="20"/>
        </w:rPr>
        <w:t xml:space="preserve">11 = </w:t>
      </w:r>
      <w:r w:rsidR="009B7651">
        <w:rPr>
          <w:rFonts w:ascii="Arial CYR" w:hAnsi="Arial CYR" w:cs="Arial CYR"/>
          <w:sz w:val="20"/>
          <w:szCs w:val="20"/>
        </w:rPr>
        <w:t>1,21+ 0,97 + 0,00</w:t>
      </w:r>
      <w:r w:rsidR="0082793B">
        <w:rPr>
          <w:rFonts w:ascii="Arial CYR" w:hAnsi="Arial CYR" w:cs="Arial CYR"/>
          <w:sz w:val="20"/>
          <w:szCs w:val="20"/>
        </w:rPr>
        <w:t xml:space="preserve">55 = </w:t>
      </w:r>
      <w:r w:rsidR="00605F89">
        <w:rPr>
          <w:rFonts w:ascii="Arial CYR" w:hAnsi="Arial CYR" w:cs="Arial CYR"/>
          <w:sz w:val="20"/>
          <w:szCs w:val="20"/>
        </w:rPr>
        <w:t>2</w:t>
      </w:r>
      <w:r w:rsidR="0082793B">
        <w:rPr>
          <w:rFonts w:ascii="Arial CYR" w:hAnsi="Arial CYR" w:cs="Arial CYR"/>
          <w:sz w:val="20"/>
          <w:szCs w:val="20"/>
        </w:rPr>
        <w:t>,19</w:t>
      </w:r>
      <w:r w:rsidR="00605F89">
        <w:rPr>
          <w:rFonts w:ascii="Arial CYR" w:hAnsi="Arial CYR" w:cs="Arial CYR"/>
          <w:sz w:val="20"/>
          <w:szCs w:val="20"/>
        </w:rPr>
        <w:t>%</w:t>
      </w:r>
    </w:p>
    <w:p w:rsidR="00605F89" w:rsidRPr="003530D6" w:rsidRDefault="00605F89" w:rsidP="005E5056">
      <w:pPr>
        <w:numPr>
          <w:ilvl w:val="2"/>
          <w:numId w:val="9"/>
        </w:numPr>
        <w:jc w:val="both"/>
        <w:rPr>
          <w:color w:val="000000"/>
        </w:rPr>
      </w:pPr>
      <w:r>
        <w:rPr>
          <w:rFonts w:ascii="Arial CYR" w:hAnsi="Arial CYR" w:cs="Arial CYR"/>
          <w:sz w:val="20"/>
          <w:szCs w:val="20"/>
        </w:rPr>
        <w:t xml:space="preserve">Для трех бумаг </w:t>
      </w:r>
      <w:r w:rsidR="0014268C">
        <w:rPr>
          <w:rFonts w:ascii="Arial CYR" w:hAnsi="Arial CYR" w:cs="Arial CYR"/>
          <w:sz w:val="20"/>
          <w:szCs w:val="20"/>
        </w:rPr>
        <w:t xml:space="preserve">(РАО ЕЭС, Сбербанк, Татнефть) = </w:t>
      </w:r>
      <w:r w:rsidR="0014268C" w:rsidRPr="003530D6">
        <w:rPr>
          <w:rFonts w:ascii="Arial CYR" w:hAnsi="Arial CYR" w:cs="Arial CYR"/>
          <w:sz w:val="20"/>
          <w:szCs w:val="20"/>
          <w:highlight w:val="yellow"/>
        </w:rPr>
        <w:t>0,333*0,333</w:t>
      </w:r>
      <w:r w:rsidR="009B7651">
        <w:rPr>
          <w:rFonts w:ascii="Arial CYR" w:hAnsi="Arial CYR" w:cs="Arial CYR"/>
          <w:sz w:val="20"/>
          <w:szCs w:val="20"/>
          <w:highlight w:val="yellow"/>
        </w:rPr>
        <w:t>*</w:t>
      </w:r>
      <w:r w:rsidR="00C20BCF">
        <w:rPr>
          <w:rFonts w:ascii="Arial CYR" w:hAnsi="Arial CYR" w:cs="Arial CYR"/>
          <w:sz w:val="20"/>
          <w:szCs w:val="20"/>
          <w:highlight w:val="yellow"/>
        </w:rPr>
        <w:t>2</w:t>
      </w:r>
      <w:r w:rsidR="009B7651">
        <w:rPr>
          <w:rFonts w:ascii="Arial CYR" w:hAnsi="Arial CYR" w:cs="Arial CYR"/>
          <w:sz w:val="20"/>
          <w:szCs w:val="20"/>
          <w:highlight w:val="yellow"/>
        </w:rPr>
        <w:t>,2*</w:t>
      </w:r>
      <w:r w:rsidR="00C20BCF">
        <w:rPr>
          <w:rFonts w:ascii="Arial CYR" w:hAnsi="Arial CYR" w:cs="Arial CYR"/>
          <w:sz w:val="20"/>
          <w:szCs w:val="20"/>
          <w:highlight w:val="yellow"/>
        </w:rPr>
        <w:t>2</w:t>
      </w:r>
      <w:r w:rsidR="009B7651">
        <w:rPr>
          <w:rFonts w:ascii="Arial CYR" w:hAnsi="Arial CYR" w:cs="Arial CYR"/>
          <w:sz w:val="20"/>
          <w:szCs w:val="20"/>
          <w:highlight w:val="yellow"/>
        </w:rPr>
        <w:t>,</w:t>
      </w:r>
      <w:r w:rsidR="00C20BCF">
        <w:rPr>
          <w:rFonts w:ascii="Arial CYR" w:hAnsi="Arial CYR" w:cs="Arial CYR"/>
          <w:sz w:val="20"/>
          <w:szCs w:val="20"/>
          <w:highlight w:val="yellow"/>
        </w:rPr>
        <w:t>2 + 0,333*0,333*0,011 + 0,333*0,333*0,</w:t>
      </w:r>
      <w:r w:rsidR="0014268C" w:rsidRPr="003530D6">
        <w:rPr>
          <w:rFonts w:ascii="Arial CYR" w:hAnsi="Arial CYR" w:cs="Arial CYR"/>
          <w:sz w:val="20"/>
          <w:szCs w:val="20"/>
          <w:highlight w:val="yellow"/>
        </w:rPr>
        <w:t>01</w:t>
      </w:r>
      <w:r w:rsidR="009B7651">
        <w:rPr>
          <w:rFonts w:ascii="Arial CYR" w:hAnsi="Arial CYR" w:cs="Arial CYR"/>
          <w:sz w:val="20"/>
          <w:szCs w:val="20"/>
        </w:rPr>
        <w:t xml:space="preserve"> + 0,333*0,333*</w:t>
      </w:r>
      <w:r w:rsidR="0014268C">
        <w:rPr>
          <w:rFonts w:ascii="Arial CYR" w:hAnsi="Arial CYR" w:cs="Arial CYR"/>
          <w:sz w:val="20"/>
          <w:szCs w:val="20"/>
        </w:rPr>
        <w:t>1</w:t>
      </w:r>
      <w:r w:rsidR="009B7651">
        <w:rPr>
          <w:rFonts w:ascii="Arial CYR" w:hAnsi="Arial CYR" w:cs="Arial CYR"/>
          <w:sz w:val="20"/>
          <w:szCs w:val="20"/>
        </w:rPr>
        <w:t>,97*</w:t>
      </w:r>
      <w:r w:rsidR="0014268C">
        <w:rPr>
          <w:rFonts w:ascii="Arial CYR" w:hAnsi="Arial CYR" w:cs="Arial CYR"/>
          <w:sz w:val="20"/>
          <w:szCs w:val="20"/>
        </w:rPr>
        <w:t>1</w:t>
      </w:r>
      <w:r w:rsidR="009B7651">
        <w:rPr>
          <w:rFonts w:ascii="Arial CYR" w:hAnsi="Arial CYR" w:cs="Arial CYR"/>
          <w:sz w:val="20"/>
          <w:szCs w:val="20"/>
        </w:rPr>
        <w:t>,</w:t>
      </w:r>
      <w:r w:rsidR="0014268C">
        <w:rPr>
          <w:rFonts w:ascii="Arial CYR" w:hAnsi="Arial CYR" w:cs="Arial CYR"/>
          <w:sz w:val="20"/>
          <w:szCs w:val="20"/>
        </w:rPr>
        <w:t>97 + 0,333*0,333*</w:t>
      </w:r>
      <w:r w:rsidR="00C20BCF">
        <w:rPr>
          <w:rFonts w:ascii="Arial CYR" w:hAnsi="Arial CYR" w:cs="Arial CYR"/>
          <w:sz w:val="20"/>
          <w:szCs w:val="20"/>
        </w:rPr>
        <w:t>0,011 + 0,333*0,333*0,</w:t>
      </w:r>
      <w:r w:rsidR="0016255A">
        <w:rPr>
          <w:rFonts w:ascii="Arial CYR" w:hAnsi="Arial CYR" w:cs="Arial CYR"/>
          <w:sz w:val="20"/>
          <w:szCs w:val="20"/>
        </w:rPr>
        <w:t xml:space="preserve">022 </w:t>
      </w:r>
      <w:r w:rsidR="0016255A" w:rsidRPr="003530D6">
        <w:rPr>
          <w:rFonts w:ascii="Arial CYR" w:hAnsi="Arial CYR" w:cs="Arial CYR"/>
          <w:sz w:val="20"/>
          <w:szCs w:val="20"/>
          <w:highlight w:val="yellow"/>
        </w:rPr>
        <w:t>+ 0,333*0,333*</w:t>
      </w:r>
      <w:r w:rsidR="00C20BCF">
        <w:rPr>
          <w:rFonts w:ascii="Arial CYR" w:hAnsi="Arial CYR" w:cs="Arial CYR"/>
          <w:sz w:val="20"/>
          <w:szCs w:val="20"/>
          <w:highlight w:val="yellow"/>
        </w:rPr>
        <w:t>0,0179*0,0179 + 0,333*0,333*0,01 + 0,333*0,333*0,</w:t>
      </w:r>
      <w:r w:rsidR="0016255A" w:rsidRPr="003530D6">
        <w:rPr>
          <w:rFonts w:ascii="Arial CYR" w:hAnsi="Arial CYR" w:cs="Arial CYR"/>
          <w:sz w:val="20"/>
          <w:szCs w:val="20"/>
          <w:highlight w:val="yellow"/>
        </w:rPr>
        <w:t>022</w:t>
      </w:r>
      <w:r w:rsidR="0016255A">
        <w:rPr>
          <w:rFonts w:ascii="Arial CYR" w:hAnsi="Arial CYR" w:cs="Arial CYR"/>
          <w:sz w:val="20"/>
          <w:szCs w:val="20"/>
        </w:rPr>
        <w:t xml:space="preserve"> = 0,0000</w:t>
      </w:r>
      <w:r w:rsidR="00C20BCF">
        <w:rPr>
          <w:rFonts w:ascii="Arial CYR" w:hAnsi="Arial CYR" w:cs="Arial CYR"/>
          <w:sz w:val="20"/>
          <w:szCs w:val="20"/>
        </w:rPr>
        <w:t>536 + 0,00121 + 0,0011 + 0,0000427 + 0,00121 + 0,00242 + 0,0000352 + 0,0011 + 0,</w:t>
      </w:r>
      <w:r w:rsidR="0016255A">
        <w:rPr>
          <w:rFonts w:ascii="Arial CYR" w:hAnsi="Arial CYR" w:cs="Arial CYR"/>
          <w:sz w:val="20"/>
          <w:szCs w:val="20"/>
        </w:rPr>
        <w:t xml:space="preserve">00242 = </w:t>
      </w:r>
      <w:r w:rsidR="0082793B">
        <w:rPr>
          <w:rFonts w:ascii="Arial CYR" w:hAnsi="Arial CYR" w:cs="Arial CYR"/>
          <w:sz w:val="20"/>
          <w:szCs w:val="20"/>
        </w:rPr>
        <w:t xml:space="preserve">0,0002104*100% = </w:t>
      </w:r>
      <w:r w:rsidR="00255D69">
        <w:rPr>
          <w:rFonts w:ascii="Arial CYR" w:hAnsi="Arial CYR" w:cs="Arial CYR"/>
          <w:sz w:val="20"/>
          <w:szCs w:val="20"/>
        </w:rPr>
        <w:t>2</w:t>
      </w:r>
      <w:r w:rsidR="0082793B">
        <w:rPr>
          <w:rFonts w:ascii="Arial CYR" w:hAnsi="Arial CYR" w:cs="Arial CYR"/>
          <w:sz w:val="20"/>
          <w:szCs w:val="20"/>
        </w:rPr>
        <w:t>,</w:t>
      </w:r>
      <w:r w:rsidR="00255D69">
        <w:rPr>
          <w:rFonts w:ascii="Arial CYR" w:hAnsi="Arial CYR" w:cs="Arial CYR"/>
          <w:sz w:val="20"/>
          <w:szCs w:val="20"/>
        </w:rPr>
        <w:t>1</w:t>
      </w:r>
      <w:r w:rsidR="003530D6">
        <w:rPr>
          <w:rFonts w:ascii="Arial CYR" w:hAnsi="Arial CYR" w:cs="Arial CYR"/>
          <w:sz w:val="20"/>
          <w:szCs w:val="20"/>
        </w:rPr>
        <w:t>04%</w:t>
      </w:r>
    </w:p>
    <w:p w:rsidR="0003760E" w:rsidRPr="0003760E" w:rsidRDefault="003530D6" w:rsidP="005E5056">
      <w:pPr>
        <w:numPr>
          <w:ilvl w:val="2"/>
          <w:numId w:val="9"/>
        </w:numPr>
        <w:jc w:val="both"/>
        <w:rPr>
          <w:color w:val="000000"/>
        </w:rPr>
      </w:pPr>
      <w:r>
        <w:rPr>
          <w:rFonts w:ascii="Arial CYR" w:hAnsi="Arial CYR" w:cs="Arial CYR"/>
          <w:sz w:val="20"/>
          <w:szCs w:val="20"/>
        </w:rPr>
        <w:t>Для четырех бумаг (РАО ЕЭС, Сбербанк, Татнефть, Газпром) =</w:t>
      </w:r>
      <w:r>
        <w:rPr>
          <w:rFonts w:ascii="Arial CYR" w:hAnsi="Arial CYR" w:cs="Arial CYR"/>
          <w:sz w:val="20"/>
          <w:szCs w:val="20"/>
          <w:highlight w:val="yellow"/>
        </w:rPr>
        <w:t>0,25*0,25*0,022*0,022 + 0,25*0,25</w:t>
      </w:r>
      <w:r w:rsidR="00C20BCF">
        <w:rPr>
          <w:rFonts w:ascii="Arial CYR" w:hAnsi="Arial CYR" w:cs="Arial CYR"/>
          <w:sz w:val="20"/>
          <w:szCs w:val="20"/>
          <w:highlight w:val="yellow"/>
        </w:rPr>
        <w:t>*0,</w:t>
      </w:r>
      <w:r>
        <w:rPr>
          <w:rFonts w:ascii="Arial CYR" w:hAnsi="Arial CYR" w:cs="Arial CYR"/>
          <w:sz w:val="20"/>
          <w:szCs w:val="20"/>
          <w:highlight w:val="yellow"/>
        </w:rPr>
        <w:t>011 + 0,25*0,25</w:t>
      </w:r>
      <w:r w:rsidR="00C20BCF">
        <w:rPr>
          <w:rFonts w:ascii="Arial CYR" w:hAnsi="Arial CYR" w:cs="Arial CYR"/>
          <w:sz w:val="20"/>
          <w:szCs w:val="20"/>
          <w:highlight w:val="yellow"/>
        </w:rPr>
        <w:t>*0,</w:t>
      </w:r>
      <w:r w:rsidRPr="003530D6">
        <w:rPr>
          <w:rFonts w:ascii="Arial CYR" w:hAnsi="Arial CYR" w:cs="Arial CYR"/>
          <w:sz w:val="20"/>
          <w:szCs w:val="20"/>
          <w:highlight w:val="yellow"/>
        </w:rPr>
        <w:t>01</w:t>
      </w:r>
      <w:r>
        <w:rPr>
          <w:rFonts w:ascii="Arial CYR" w:hAnsi="Arial CYR" w:cs="Arial CYR"/>
          <w:sz w:val="20"/>
          <w:szCs w:val="20"/>
          <w:highlight w:val="yellow"/>
        </w:rPr>
        <w:t xml:space="preserve"> + 0,25*0,25</w:t>
      </w:r>
      <w:r w:rsidR="00C20BCF">
        <w:rPr>
          <w:rFonts w:ascii="Arial CYR" w:hAnsi="Arial CYR" w:cs="Arial CYR"/>
          <w:sz w:val="20"/>
          <w:szCs w:val="20"/>
          <w:highlight w:val="yellow"/>
        </w:rPr>
        <w:t>*0,0</w:t>
      </w:r>
      <w:r w:rsidRPr="003530D6">
        <w:rPr>
          <w:rFonts w:ascii="Arial CYR" w:hAnsi="Arial CYR" w:cs="Arial CYR"/>
          <w:sz w:val="20"/>
          <w:szCs w:val="20"/>
          <w:highlight w:val="yellow"/>
        </w:rPr>
        <w:t>24 +</w:t>
      </w:r>
      <w:r>
        <w:rPr>
          <w:rFonts w:ascii="Arial CYR" w:hAnsi="Arial CYR" w:cs="Arial CYR"/>
          <w:sz w:val="20"/>
          <w:szCs w:val="20"/>
        </w:rPr>
        <w:t xml:space="preserve">   </w:t>
      </w:r>
      <w:r>
        <w:rPr>
          <w:rFonts w:ascii="Arial CYR" w:hAnsi="Arial CYR" w:cs="Arial CYR"/>
          <w:sz w:val="20"/>
          <w:szCs w:val="20"/>
          <w:highlight w:val="cyan"/>
        </w:rPr>
        <w:t>0,25*0,25</w:t>
      </w:r>
      <w:r w:rsidRPr="003530D6">
        <w:rPr>
          <w:rFonts w:ascii="Arial CYR" w:hAnsi="Arial CYR" w:cs="Arial CYR"/>
          <w:sz w:val="20"/>
          <w:szCs w:val="20"/>
          <w:highlight w:val="cyan"/>
        </w:rPr>
        <w:t>*0,0197</w:t>
      </w:r>
      <w:r>
        <w:rPr>
          <w:rFonts w:ascii="Arial CYR" w:hAnsi="Arial CYR" w:cs="Arial CYR"/>
          <w:sz w:val="20"/>
          <w:szCs w:val="20"/>
          <w:highlight w:val="cyan"/>
        </w:rPr>
        <w:t>*0,0197 + 0,25*0,25</w:t>
      </w:r>
      <w:r w:rsidR="00C20BCF">
        <w:rPr>
          <w:rFonts w:ascii="Arial CYR" w:hAnsi="Arial CYR" w:cs="Arial CYR"/>
          <w:sz w:val="20"/>
          <w:szCs w:val="20"/>
          <w:highlight w:val="cyan"/>
        </w:rPr>
        <w:t>*0,</w:t>
      </w:r>
      <w:r w:rsidRPr="003530D6">
        <w:rPr>
          <w:rFonts w:ascii="Arial CYR" w:hAnsi="Arial CYR" w:cs="Arial CYR"/>
          <w:sz w:val="20"/>
          <w:szCs w:val="20"/>
          <w:highlight w:val="cyan"/>
        </w:rPr>
        <w:t xml:space="preserve">011 + </w:t>
      </w:r>
      <w:r>
        <w:rPr>
          <w:rFonts w:ascii="Arial CYR" w:hAnsi="Arial CYR" w:cs="Arial CYR"/>
          <w:sz w:val="20"/>
          <w:szCs w:val="20"/>
          <w:highlight w:val="cyan"/>
        </w:rPr>
        <w:t>0,25*0,25</w:t>
      </w:r>
      <w:r w:rsidR="00C20BCF">
        <w:rPr>
          <w:rFonts w:ascii="Arial CYR" w:hAnsi="Arial CYR" w:cs="Arial CYR"/>
          <w:sz w:val="20"/>
          <w:szCs w:val="20"/>
          <w:highlight w:val="cyan"/>
        </w:rPr>
        <w:t>*0,</w:t>
      </w:r>
      <w:r w:rsidRPr="003530D6">
        <w:rPr>
          <w:rFonts w:ascii="Arial CYR" w:hAnsi="Arial CYR" w:cs="Arial CYR"/>
          <w:sz w:val="20"/>
          <w:szCs w:val="20"/>
          <w:highlight w:val="cyan"/>
        </w:rPr>
        <w:t>022</w:t>
      </w:r>
      <w:r>
        <w:rPr>
          <w:rFonts w:ascii="Arial CYR" w:hAnsi="Arial CYR" w:cs="Arial CYR"/>
          <w:sz w:val="20"/>
          <w:szCs w:val="20"/>
          <w:highlight w:val="cyan"/>
        </w:rPr>
        <w:t xml:space="preserve"> + 0,25*0,25</w:t>
      </w:r>
      <w:r w:rsidR="00C20BCF">
        <w:rPr>
          <w:rFonts w:ascii="Arial CYR" w:hAnsi="Arial CYR" w:cs="Arial CYR"/>
          <w:sz w:val="20"/>
          <w:szCs w:val="20"/>
          <w:highlight w:val="cyan"/>
        </w:rPr>
        <w:t>*0,0</w:t>
      </w:r>
      <w:r w:rsidRPr="003530D6">
        <w:rPr>
          <w:rFonts w:ascii="Arial CYR" w:hAnsi="Arial CYR" w:cs="Arial CYR"/>
          <w:sz w:val="20"/>
          <w:szCs w:val="20"/>
          <w:highlight w:val="cyan"/>
        </w:rPr>
        <w:t xml:space="preserve">29  </w:t>
      </w:r>
      <w:r>
        <w:rPr>
          <w:rFonts w:ascii="Arial CYR" w:hAnsi="Arial CYR" w:cs="Arial CYR"/>
          <w:sz w:val="20"/>
          <w:szCs w:val="20"/>
          <w:highlight w:val="cyan"/>
        </w:rPr>
        <w:t xml:space="preserve">+ </w:t>
      </w:r>
      <w:r>
        <w:rPr>
          <w:rFonts w:ascii="Arial CYR" w:hAnsi="Arial CYR" w:cs="Arial CYR"/>
          <w:sz w:val="20"/>
          <w:szCs w:val="20"/>
          <w:highlight w:val="yellow"/>
        </w:rPr>
        <w:t xml:space="preserve"> 0,25*0,2</w:t>
      </w:r>
      <w:r w:rsidR="00C20BCF">
        <w:rPr>
          <w:rFonts w:ascii="Arial CYR" w:hAnsi="Arial CYR" w:cs="Arial CYR"/>
          <w:sz w:val="20"/>
          <w:szCs w:val="20"/>
          <w:highlight w:val="yellow"/>
        </w:rPr>
        <w:t>5*0,0179*0,0179 + 0,25*0,25*0,</w:t>
      </w:r>
      <w:r>
        <w:rPr>
          <w:rFonts w:ascii="Arial CYR" w:hAnsi="Arial CYR" w:cs="Arial CYR"/>
          <w:sz w:val="20"/>
          <w:szCs w:val="20"/>
          <w:highlight w:val="yellow"/>
        </w:rPr>
        <w:t>01 + 0,25*0,25</w:t>
      </w:r>
      <w:r w:rsidR="00C20BCF">
        <w:rPr>
          <w:rFonts w:ascii="Arial CYR" w:hAnsi="Arial CYR" w:cs="Arial CYR"/>
          <w:sz w:val="20"/>
          <w:szCs w:val="20"/>
          <w:highlight w:val="yellow"/>
        </w:rPr>
        <w:t>*0,</w:t>
      </w:r>
      <w:r w:rsidRPr="003530D6">
        <w:rPr>
          <w:rFonts w:ascii="Arial CYR" w:hAnsi="Arial CYR" w:cs="Arial CYR"/>
          <w:sz w:val="20"/>
          <w:szCs w:val="20"/>
          <w:highlight w:val="yellow"/>
        </w:rPr>
        <w:t>022</w:t>
      </w:r>
      <w:r w:rsidR="00C20BCF">
        <w:rPr>
          <w:rFonts w:ascii="Arial CYR" w:hAnsi="Arial CYR" w:cs="Arial CYR"/>
          <w:sz w:val="20"/>
          <w:szCs w:val="20"/>
          <w:highlight w:val="yellow"/>
        </w:rPr>
        <w:t xml:space="preserve"> + 0,25*0,25*0,0</w:t>
      </w:r>
      <w:r>
        <w:rPr>
          <w:rFonts w:ascii="Arial CYR" w:hAnsi="Arial CYR" w:cs="Arial CYR"/>
          <w:sz w:val="20"/>
          <w:szCs w:val="20"/>
          <w:highlight w:val="yellow"/>
        </w:rPr>
        <w:t xml:space="preserve">21 </w:t>
      </w:r>
      <w:r>
        <w:rPr>
          <w:rFonts w:ascii="Arial CYR" w:hAnsi="Arial CYR" w:cs="Arial CYR"/>
          <w:sz w:val="20"/>
          <w:szCs w:val="20"/>
        </w:rPr>
        <w:t>+ 0,25*0,25</w:t>
      </w:r>
      <w:r w:rsidR="00C20BCF">
        <w:rPr>
          <w:rFonts w:ascii="Arial CYR" w:hAnsi="Arial CYR" w:cs="Arial CYR"/>
          <w:sz w:val="20"/>
          <w:szCs w:val="20"/>
        </w:rPr>
        <w:t>*0,0202*0,0202 + 0,25*0,25*0,024 + 0,25*0,25*0,0</w:t>
      </w:r>
      <w:r>
        <w:rPr>
          <w:rFonts w:ascii="Arial CYR" w:hAnsi="Arial CYR" w:cs="Arial CYR"/>
          <w:sz w:val="20"/>
          <w:szCs w:val="20"/>
        </w:rPr>
        <w:t>29 + 0,25</w:t>
      </w:r>
      <w:r w:rsidR="00C20BCF">
        <w:rPr>
          <w:rFonts w:ascii="Arial CYR" w:hAnsi="Arial CYR" w:cs="Arial CYR"/>
          <w:sz w:val="20"/>
          <w:szCs w:val="20"/>
        </w:rPr>
        <w:t>*0,25*0,0</w:t>
      </w:r>
      <w:r>
        <w:rPr>
          <w:rFonts w:ascii="Arial CYR" w:hAnsi="Arial CYR" w:cs="Arial CYR"/>
          <w:sz w:val="20"/>
          <w:szCs w:val="20"/>
        </w:rPr>
        <w:t xml:space="preserve">21 = </w:t>
      </w:r>
      <w:r w:rsidR="00C20BCF">
        <w:rPr>
          <w:rFonts w:ascii="Arial CYR" w:hAnsi="Arial CYR" w:cs="Arial CYR"/>
          <w:sz w:val="20"/>
          <w:szCs w:val="20"/>
          <w:highlight w:val="yellow"/>
        </w:rPr>
        <w:t>0,00003025 + 0,0</w:t>
      </w:r>
      <w:r w:rsidR="0018448D" w:rsidRPr="00FC3A50">
        <w:rPr>
          <w:rFonts w:ascii="Arial CYR" w:hAnsi="Arial CYR" w:cs="Arial CYR"/>
          <w:sz w:val="20"/>
          <w:szCs w:val="20"/>
          <w:highlight w:val="yellow"/>
        </w:rPr>
        <w:t xml:space="preserve">006875 + </w:t>
      </w:r>
      <w:r w:rsidR="00C20BCF">
        <w:rPr>
          <w:rFonts w:ascii="Arial CYR" w:hAnsi="Arial CYR" w:cs="Arial CYR"/>
          <w:sz w:val="20"/>
          <w:szCs w:val="20"/>
          <w:highlight w:val="yellow"/>
        </w:rPr>
        <w:t>0,00</w:t>
      </w:r>
      <w:r w:rsidR="00C0323C">
        <w:rPr>
          <w:rFonts w:ascii="Arial CYR" w:hAnsi="Arial CYR" w:cs="Arial CYR"/>
          <w:sz w:val="20"/>
          <w:szCs w:val="20"/>
          <w:highlight w:val="yellow"/>
        </w:rPr>
        <w:t>0625 + 0,0</w:t>
      </w:r>
      <w:r w:rsidR="00FC3A50" w:rsidRPr="00FC3A50">
        <w:rPr>
          <w:rFonts w:ascii="Arial CYR" w:hAnsi="Arial CYR" w:cs="Arial CYR"/>
          <w:sz w:val="20"/>
          <w:szCs w:val="20"/>
          <w:highlight w:val="yellow"/>
        </w:rPr>
        <w:t xml:space="preserve">015 </w:t>
      </w:r>
      <w:r w:rsidR="00FC3A50" w:rsidRPr="0022361D">
        <w:rPr>
          <w:rFonts w:ascii="Arial CYR" w:hAnsi="Arial CYR" w:cs="Arial CYR"/>
          <w:sz w:val="20"/>
          <w:szCs w:val="20"/>
          <w:highlight w:val="cyan"/>
        </w:rPr>
        <w:t xml:space="preserve">+ </w:t>
      </w:r>
      <w:r w:rsidR="0022361D" w:rsidRPr="0022361D">
        <w:rPr>
          <w:rFonts w:ascii="Arial CYR" w:hAnsi="Arial CYR" w:cs="Arial CYR"/>
          <w:sz w:val="20"/>
          <w:szCs w:val="20"/>
          <w:highlight w:val="cyan"/>
        </w:rPr>
        <w:t>0, 0000242</w:t>
      </w:r>
      <w:r w:rsidR="0022361D">
        <w:rPr>
          <w:rFonts w:ascii="Arial CYR" w:hAnsi="Arial CYR" w:cs="Arial CYR"/>
          <w:sz w:val="20"/>
          <w:szCs w:val="20"/>
          <w:highlight w:val="cyan"/>
        </w:rPr>
        <w:t xml:space="preserve"> + </w:t>
      </w:r>
      <w:r w:rsidR="00C0323C">
        <w:rPr>
          <w:rFonts w:ascii="Arial CYR" w:hAnsi="Arial CYR" w:cs="Arial CYR"/>
          <w:sz w:val="20"/>
          <w:szCs w:val="20"/>
          <w:highlight w:val="cyan"/>
        </w:rPr>
        <w:t>0,00</w:t>
      </w:r>
      <w:r w:rsidR="0022361D">
        <w:rPr>
          <w:rFonts w:ascii="Arial CYR" w:hAnsi="Arial CYR" w:cs="Arial CYR"/>
          <w:sz w:val="20"/>
          <w:szCs w:val="20"/>
          <w:highlight w:val="cyan"/>
        </w:rPr>
        <w:t xml:space="preserve">06875 + </w:t>
      </w:r>
      <w:r w:rsidR="00C0323C">
        <w:rPr>
          <w:rFonts w:ascii="Arial CYR" w:hAnsi="Arial CYR" w:cs="Arial CYR"/>
          <w:sz w:val="20"/>
          <w:szCs w:val="20"/>
          <w:highlight w:val="cyan"/>
        </w:rPr>
        <w:t>0,0</w:t>
      </w:r>
      <w:r w:rsidR="0022361D">
        <w:rPr>
          <w:rFonts w:ascii="Arial CYR" w:hAnsi="Arial CYR" w:cs="Arial CYR"/>
          <w:sz w:val="20"/>
          <w:szCs w:val="20"/>
          <w:highlight w:val="cyan"/>
        </w:rPr>
        <w:t xml:space="preserve">01375 + </w:t>
      </w:r>
      <w:r w:rsidR="00C0323C">
        <w:rPr>
          <w:rFonts w:ascii="Arial CYR" w:hAnsi="Arial CYR" w:cs="Arial CYR"/>
          <w:sz w:val="20"/>
          <w:szCs w:val="20"/>
          <w:highlight w:val="cyan"/>
        </w:rPr>
        <w:t>0,0</w:t>
      </w:r>
      <w:r w:rsidR="0022361D">
        <w:rPr>
          <w:rFonts w:ascii="Arial CYR" w:hAnsi="Arial CYR" w:cs="Arial CYR"/>
          <w:sz w:val="20"/>
          <w:szCs w:val="20"/>
          <w:highlight w:val="cyan"/>
        </w:rPr>
        <w:t xml:space="preserve">01825 </w:t>
      </w:r>
      <w:r w:rsidR="0022361D" w:rsidRPr="0022361D">
        <w:rPr>
          <w:rFonts w:ascii="Arial CYR" w:hAnsi="Arial CYR" w:cs="Arial CYR"/>
          <w:sz w:val="20"/>
          <w:szCs w:val="20"/>
          <w:highlight w:val="yellow"/>
        </w:rPr>
        <w:t xml:space="preserve">+ </w:t>
      </w:r>
      <w:r w:rsidR="0022361D">
        <w:rPr>
          <w:rFonts w:ascii="Arial CYR" w:hAnsi="Arial CYR" w:cs="Arial CYR"/>
          <w:sz w:val="20"/>
          <w:szCs w:val="20"/>
          <w:highlight w:val="yellow"/>
        </w:rPr>
        <w:t xml:space="preserve">0,00002 + </w:t>
      </w:r>
      <w:r w:rsidR="00C0323C">
        <w:rPr>
          <w:rFonts w:ascii="Arial CYR" w:hAnsi="Arial CYR" w:cs="Arial CYR"/>
          <w:sz w:val="20"/>
          <w:szCs w:val="20"/>
          <w:highlight w:val="yellow"/>
        </w:rPr>
        <w:t>0,00</w:t>
      </w:r>
      <w:r w:rsidR="0022361D">
        <w:rPr>
          <w:rFonts w:ascii="Arial CYR" w:hAnsi="Arial CYR" w:cs="Arial CYR"/>
          <w:sz w:val="20"/>
          <w:szCs w:val="20"/>
          <w:highlight w:val="yellow"/>
        </w:rPr>
        <w:t xml:space="preserve">0625 + </w:t>
      </w:r>
      <w:r w:rsidR="00C0323C">
        <w:rPr>
          <w:rFonts w:ascii="Arial CYR" w:hAnsi="Arial CYR" w:cs="Arial CYR"/>
          <w:sz w:val="20"/>
          <w:szCs w:val="20"/>
          <w:highlight w:val="yellow"/>
        </w:rPr>
        <w:t>0,00</w:t>
      </w:r>
      <w:r w:rsidR="0022361D">
        <w:rPr>
          <w:rFonts w:ascii="Arial CYR" w:hAnsi="Arial CYR" w:cs="Arial CYR"/>
          <w:sz w:val="20"/>
          <w:szCs w:val="20"/>
          <w:highlight w:val="yellow"/>
        </w:rPr>
        <w:t xml:space="preserve">1375 + </w:t>
      </w:r>
      <w:r w:rsidR="00C0323C">
        <w:rPr>
          <w:rFonts w:ascii="Arial CYR" w:hAnsi="Arial CYR" w:cs="Arial CYR"/>
          <w:sz w:val="20"/>
          <w:szCs w:val="20"/>
          <w:highlight w:val="yellow"/>
        </w:rPr>
        <w:t>0,0</w:t>
      </w:r>
      <w:r w:rsidR="0022361D">
        <w:rPr>
          <w:rFonts w:ascii="Arial CYR" w:hAnsi="Arial CYR" w:cs="Arial CYR"/>
          <w:sz w:val="20"/>
          <w:szCs w:val="20"/>
          <w:highlight w:val="yellow"/>
        </w:rPr>
        <w:t xml:space="preserve">013125 </w:t>
      </w:r>
      <w:r w:rsidR="0022361D" w:rsidRPr="0022361D">
        <w:rPr>
          <w:rFonts w:ascii="Arial CYR" w:hAnsi="Arial CYR" w:cs="Arial CYR"/>
          <w:sz w:val="20"/>
          <w:szCs w:val="20"/>
          <w:highlight w:val="cyan"/>
        </w:rPr>
        <w:t>+</w:t>
      </w:r>
      <w:r w:rsidR="0022361D">
        <w:rPr>
          <w:rFonts w:ascii="Arial CYR" w:hAnsi="Arial CYR" w:cs="Arial CYR"/>
          <w:sz w:val="20"/>
          <w:szCs w:val="20"/>
          <w:highlight w:val="cyan"/>
        </w:rPr>
        <w:t>0,0000265 +</w:t>
      </w:r>
      <w:r w:rsidR="00C0323C">
        <w:rPr>
          <w:rFonts w:ascii="Arial CYR" w:hAnsi="Arial CYR" w:cs="Arial CYR"/>
          <w:sz w:val="20"/>
          <w:szCs w:val="20"/>
          <w:highlight w:val="cyan"/>
        </w:rPr>
        <w:t>0,0</w:t>
      </w:r>
      <w:r w:rsidR="0022361D">
        <w:rPr>
          <w:rFonts w:ascii="Arial CYR" w:hAnsi="Arial CYR" w:cs="Arial CYR"/>
          <w:sz w:val="20"/>
          <w:szCs w:val="20"/>
          <w:highlight w:val="cyan"/>
        </w:rPr>
        <w:t xml:space="preserve">015 + </w:t>
      </w:r>
      <w:r w:rsidR="00C0323C">
        <w:rPr>
          <w:rFonts w:ascii="Arial CYR" w:hAnsi="Arial CYR" w:cs="Arial CYR"/>
          <w:sz w:val="20"/>
          <w:szCs w:val="20"/>
          <w:highlight w:val="cyan"/>
        </w:rPr>
        <w:t>0,0</w:t>
      </w:r>
      <w:r w:rsidR="0022361D">
        <w:rPr>
          <w:rFonts w:ascii="Arial CYR" w:hAnsi="Arial CYR" w:cs="Arial CYR"/>
          <w:sz w:val="20"/>
          <w:szCs w:val="20"/>
          <w:highlight w:val="cyan"/>
        </w:rPr>
        <w:t xml:space="preserve">018125 + </w:t>
      </w:r>
      <w:r w:rsidR="00C0323C">
        <w:rPr>
          <w:rFonts w:ascii="Arial CYR" w:hAnsi="Arial CYR" w:cs="Arial CYR"/>
          <w:sz w:val="20"/>
          <w:szCs w:val="20"/>
          <w:highlight w:val="cyan"/>
        </w:rPr>
        <w:t>0,</w:t>
      </w:r>
      <w:r w:rsidR="0022361D">
        <w:rPr>
          <w:rFonts w:ascii="Arial CYR" w:hAnsi="Arial CYR" w:cs="Arial CYR"/>
          <w:sz w:val="20"/>
          <w:szCs w:val="20"/>
          <w:highlight w:val="cyan"/>
        </w:rPr>
        <w:t xml:space="preserve">0013125 </w:t>
      </w:r>
      <w:r w:rsidR="0022361D" w:rsidRPr="0022361D">
        <w:rPr>
          <w:rFonts w:ascii="Arial CYR" w:hAnsi="Arial CYR" w:cs="Arial CYR"/>
          <w:sz w:val="20"/>
          <w:szCs w:val="20"/>
        </w:rPr>
        <w:t xml:space="preserve">= </w:t>
      </w:r>
      <w:r w:rsidR="0003760E">
        <w:rPr>
          <w:rFonts w:ascii="Arial CYR" w:hAnsi="Arial CYR" w:cs="Arial CYR"/>
          <w:sz w:val="20"/>
          <w:szCs w:val="20"/>
        </w:rPr>
        <w:t>2%</w:t>
      </w:r>
    </w:p>
    <w:p w:rsidR="003530D6" w:rsidRPr="00F62107" w:rsidRDefault="0003760E" w:rsidP="005E5056">
      <w:pPr>
        <w:numPr>
          <w:ilvl w:val="2"/>
          <w:numId w:val="9"/>
        </w:numPr>
        <w:jc w:val="both"/>
        <w:rPr>
          <w:color w:val="000000"/>
        </w:rPr>
      </w:pPr>
      <w:r>
        <w:rPr>
          <w:rFonts w:ascii="Arial CYR" w:hAnsi="Arial CYR" w:cs="Arial CYR"/>
          <w:sz w:val="20"/>
          <w:szCs w:val="20"/>
        </w:rPr>
        <w:t xml:space="preserve">Для пяти бумаг </w:t>
      </w:r>
      <w:r w:rsidR="0022361D" w:rsidRPr="0022361D">
        <w:rPr>
          <w:rFonts w:ascii="Arial CYR" w:hAnsi="Arial CYR" w:cs="Arial CYR"/>
          <w:sz w:val="20"/>
          <w:szCs w:val="20"/>
        </w:rPr>
        <w:t xml:space="preserve"> </w:t>
      </w:r>
      <w:r>
        <w:rPr>
          <w:rFonts w:ascii="Arial CYR" w:hAnsi="Arial CYR" w:cs="Arial CYR"/>
          <w:sz w:val="20"/>
          <w:szCs w:val="20"/>
        </w:rPr>
        <w:t xml:space="preserve">(РАО ЕЭС, Сбербанк, Татнефть, Газпром, гос облигации) = </w:t>
      </w:r>
      <w:r>
        <w:rPr>
          <w:rFonts w:ascii="Arial CYR" w:hAnsi="Arial CYR" w:cs="Arial CYR"/>
          <w:sz w:val="20"/>
          <w:szCs w:val="20"/>
          <w:highlight w:val="yellow"/>
        </w:rPr>
        <w:t>0,2*0,2*0,022*0,022 + 0,2*0,2</w:t>
      </w:r>
      <w:r w:rsidR="00C0323C">
        <w:rPr>
          <w:rFonts w:ascii="Arial CYR" w:hAnsi="Arial CYR" w:cs="Arial CYR"/>
          <w:sz w:val="20"/>
          <w:szCs w:val="20"/>
          <w:highlight w:val="yellow"/>
        </w:rPr>
        <w:t>*0,0</w:t>
      </w:r>
      <w:r>
        <w:rPr>
          <w:rFonts w:ascii="Arial CYR" w:hAnsi="Arial CYR" w:cs="Arial CYR"/>
          <w:sz w:val="20"/>
          <w:szCs w:val="20"/>
          <w:highlight w:val="yellow"/>
        </w:rPr>
        <w:t>11 + 0,2*0,2</w:t>
      </w:r>
      <w:r w:rsidR="00C0323C">
        <w:rPr>
          <w:rFonts w:ascii="Arial CYR" w:hAnsi="Arial CYR" w:cs="Arial CYR"/>
          <w:sz w:val="20"/>
          <w:szCs w:val="20"/>
          <w:highlight w:val="yellow"/>
        </w:rPr>
        <w:t>*0,0</w:t>
      </w:r>
      <w:r w:rsidRPr="003530D6">
        <w:rPr>
          <w:rFonts w:ascii="Arial CYR" w:hAnsi="Arial CYR" w:cs="Arial CYR"/>
          <w:sz w:val="20"/>
          <w:szCs w:val="20"/>
          <w:highlight w:val="yellow"/>
        </w:rPr>
        <w:t>1</w:t>
      </w:r>
      <w:r>
        <w:rPr>
          <w:rFonts w:ascii="Arial CYR" w:hAnsi="Arial CYR" w:cs="Arial CYR"/>
          <w:sz w:val="20"/>
          <w:szCs w:val="20"/>
          <w:highlight w:val="yellow"/>
        </w:rPr>
        <w:t xml:space="preserve"> + 0,2*0,2</w:t>
      </w:r>
      <w:r w:rsidR="00C0323C">
        <w:rPr>
          <w:rFonts w:ascii="Arial CYR" w:hAnsi="Arial CYR" w:cs="Arial CYR"/>
          <w:sz w:val="20"/>
          <w:szCs w:val="20"/>
          <w:highlight w:val="yellow"/>
        </w:rPr>
        <w:t>*0,0</w:t>
      </w:r>
      <w:r w:rsidRPr="003530D6">
        <w:rPr>
          <w:rFonts w:ascii="Arial CYR" w:hAnsi="Arial CYR" w:cs="Arial CYR"/>
          <w:sz w:val="20"/>
          <w:szCs w:val="20"/>
          <w:highlight w:val="yellow"/>
        </w:rPr>
        <w:t>24 +</w:t>
      </w:r>
      <w:r>
        <w:rPr>
          <w:rFonts w:ascii="Arial CYR" w:hAnsi="Arial CYR" w:cs="Arial CYR"/>
          <w:sz w:val="20"/>
          <w:szCs w:val="20"/>
        </w:rPr>
        <w:t xml:space="preserve"> 0,2*0,2*</w:t>
      </w:r>
      <w:r w:rsidR="00C0323C">
        <w:rPr>
          <w:rFonts w:ascii="Arial CYR" w:hAnsi="Arial CYR" w:cs="Arial CYR"/>
          <w:sz w:val="20"/>
          <w:szCs w:val="20"/>
        </w:rPr>
        <w:t>0,00</w:t>
      </w:r>
      <w:r>
        <w:rPr>
          <w:rFonts w:ascii="Arial CYR" w:hAnsi="Arial CYR" w:cs="Arial CYR"/>
          <w:sz w:val="20"/>
          <w:szCs w:val="20"/>
        </w:rPr>
        <w:t xml:space="preserve">1+ </w:t>
      </w:r>
      <w:r>
        <w:rPr>
          <w:rFonts w:ascii="Arial CYR" w:hAnsi="Arial CYR" w:cs="Arial CYR"/>
          <w:sz w:val="20"/>
          <w:szCs w:val="20"/>
          <w:highlight w:val="cyan"/>
        </w:rPr>
        <w:t>0,2*0,2</w:t>
      </w:r>
      <w:r w:rsidRPr="003530D6">
        <w:rPr>
          <w:rFonts w:ascii="Arial CYR" w:hAnsi="Arial CYR" w:cs="Arial CYR"/>
          <w:sz w:val="20"/>
          <w:szCs w:val="20"/>
          <w:highlight w:val="cyan"/>
        </w:rPr>
        <w:t>*0,0197</w:t>
      </w:r>
      <w:r>
        <w:rPr>
          <w:rFonts w:ascii="Arial CYR" w:hAnsi="Arial CYR" w:cs="Arial CYR"/>
          <w:sz w:val="20"/>
          <w:szCs w:val="20"/>
          <w:highlight w:val="cyan"/>
        </w:rPr>
        <w:t>*0,0197 + 0,2*0,2</w:t>
      </w:r>
      <w:r w:rsidR="00C0323C">
        <w:rPr>
          <w:rFonts w:ascii="Arial CYR" w:hAnsi="Arial CYR" w:cs="Arial CYR"/>
          <w:sz w:val="20"/>
          <w:szCs w:val="20"/>
          <w:highlight w:val="cyan"/>
        </w:rPr>
        <w:t>*0,</w:t>
      </w:r>
      <w:r w:rsidRPr="003530D6">
        <w:rPr>
          <w:rFonts w:ascii="Arial CYR" w:hAnsi="Arial CYR" w:cs="Arial CYR"/>
          <w:sz w:val="20"/>
          <w:szCs w:val="20"/>
          <w:highlight w:val="cyan"/>
        </w:rPr>
        <w:t xml:space="preserve">011 + </w:t>
      </w:r>
      <w:r>
        <w:rPr>
          <w:rFonts w:ascii="Arial CYR" w:hAnsi="Arial CYR" w:cs="Arial CYR"/>
          <w:sz w:val="20"/>
          <w:szCs w:val="20"/>
          <w:highlight w:val="cyan"/>
        </w:rPr>
        <w:t>0,2*0,2</w:t>
      </w:r>
      <w:r w:rsidR="00C0323C">
        <w:rPr>
          <w:rFonts w:ascii="Arial CYR" w:hAnsi="Arial CYR" w:cs="Arial CYR"/>
          <w:sz w:val="20"/>
          <w:szCs w:val="20"/>
          <w:highlight w:val="cyan"/>
        </w:rPr>
        <w:t>*0,</w:t>
      </w:r>
      <w:r w:rsidRPr="003530D6">
        <w:rPr>
          <w:rFonts w:ascii="Arial CYR" w:hAnsi="Arial CYR" w:cs="Arial CYR"/>
          <w:sz w:val="20"/>
          <w:szCs w:val="20"/>
          <w:highlight w:val="cyan"/>
        </w:rPr>
        <w:t>022</w:t>
      </w:r>
      <w:r>
        <w:rPr>
          <w:rFonts w:ascii="Arial CYR" w:hAnsi="Arial CYR" w:cs="Arial CYR"/>
          <w:sz w:val="20"/>
          <w:szCs w:val="20"/>
          <w:highlight w:val="cyan"/>
        </w:rPr>
        <w:t xml:space="preserve"> + 0,2*0,2</w:t>
      </w:r>
      <w:r w:rsidR="00C0323C">
        <w:rPr>
          <w:rFonts w:ascii="Arial CYR" w:hAnsi="Arial CYR" w:cs="Arial CYR"/>
          <w:sz w:val="20"/>
          <w:szCs w:val="20"/>
          <w:highlight w:val="cyan"/>
        </w:rPr>
        <w:t>*0,0</w:t>
      </w:r>
      <w:r w:rsidRPr="003530D6">
        <w:rPr>
          <w:rFonts w:ascii="Arial CYR" w:hAnsi="Arial CYR" w:cs="Arial CYR"/>
          <w:sz w:val="20"/>
          <w:szCs w:val="20"/>
          <w:highlight w:val="cyan"/>
        </w:rPr>
        <w:t xml:space="preserve">29  </w:t>
      </w:r>
      <w:r>
        <w:rPr>
          <w:rFonts w:ascii="Arial CYR" w:hAnsi="Arial CYR" w:cs="Arial CYR"/>
          <w:sz w:val="20"/>
          <w:szCs w:val="20"/>
          <w:highlight w:val="cyan"/>
        </w:rPr>
        <w:t xml:space="preserve">+ </w:t>
      </w:r>
      <w:r w:rsidR="00C0323C">
        <w:rPr>
          <w:rFonts w:ascii="Arial CYR" w:hAnsi="Arial CYR" w:cs="Arial CYR"/>
          <w:sz w:val="20"/>
          <w:szCs w:val="20"/>
          <w:highlight w:val="cyan"/>
        </w:rPr>
        <w:t>0,2*0,2*0,00</w:t>
      </w:r>
      <w:r w:rsidR="002F7644">
        <w:rPr>
          <w:rFonts w:ascii="Arial CYR" w:hAnsi="Arial CYR" w:cs="Arial CYR"/>
          <w:sz w:val="20"/>
          <w:szCs w:val="20"/>
          <w:highlight w:val="cyan"/>
        </w:rPr>
        <w:t>0461</w:t>
      </w:r>
      <w:r>
        <w:rPr>
          <w:rFonts w:ascii="Arial CYR" w:hAnsi="Arial CYR" w:cs="Arial CYR"/>
          <w:sz w:val="20"/>
          <w:szCs w:val="20"/>
          <w:highlight w:val="cyan"/>
        </w:rPr>
        <w:t xml:space="preserve">+ </w:t>
      </w:r>
      <w:r>
        <w:rPr>
          <w:rFonts w:ascii="Arial CYR" w:hAnsi="Arial CYR" w:cs="Arial CYR"/>
          <w:sz w:val="20"/>
          <w:szCs w:val="20"/>
          <w:highlight w:val="yellow"/>
        </w:rPr>
        <w:t xml:space="preserve"> 0,2*0,2*0,0179*0,0179 + 0,2*0,2</w:t>
      </w:r>
      <w:r w:rsidR="00C0323C">
        <w:rPr>
          <w:rFonts w:ascii="Arial CYR" w:hAnsi="Arial CYR" w:cs="Arial CYR"/>
          <w:sz w:val="20"/>
          <w:szCs w:val="20"/>
          <w:highlight w:val="yellow"/>
        </w:rPr>
        <w:t>*0,0</w:t>
      </w:r>
      <w:r>
        <w:rPr>
          <w:rFonts w:ascii="Arial CYR" w:hAnsi="Arial CYR" w:cs="Arial CYR"/>
          <w:sz w:val="20"/>
          <w:szCs w:val="20"/>
          <w:highlight w:val="yellow"/>
        </w:rPr>
        <w:t>1 + 0,2*0,2</w:t>
      </w:r>
      <w:r w:rsidR="00C0323C">
        <w:rPr>
          <w:rFonts w:ascii="Arial CYR" w:hAnsi="Arial CYR" w:cs="Arial CYR"/>
          <w:sz w:val="20"/>
          <w:szCs w:val="20"/>
          <w:highlight w:val="yellow"/>
        </w:rPr>
        <w:t>*0,</w:t>
      </w:r>
      <w:r w:rsidRPr="003530D6">
        <w:rPr>
          <w:rFonts w:ascii="Arial CYR" w:hAnsi="Arial CYR" w:cs="Arial CYR"/>
          <w:sz w:val="20"/>
          <w:szCs w:val="20"/>
          <w:highlight w:val="yellow"/>
        </w:rPr>
        <w:t>022</w:t>
      </w:r>
      <w:r>
        <w:rPr>
          <w:rFonts w:ascii="Arial CYR" w:hAnsi="Arial CYR" w:cs="Arial CYR"/>
          <w:sz w:val="20"/>
          <w:szCs w:val="20"/>
          <w:highlight w:val="yellow"/>
        </w:rPr>
        <w:t xml:space="preserve"> + 0,2*0,2</w:t>
      </w:r>
      <w:r w:rsidR="00C0323C">
        <w:rPr>
          <w:rFonts w:ascii="Arial CYR" w:hAnsi="Arial CYR" w:cs="Arial CYR"/>
          <w:sz w:val="20"/>
          <w:szCs w:val="20"/>
          <w:highlight w:val="yellow"/>
        </w:rPr>
        <w:t>*0,0</w:t>
      </w:r>
      <w:r>
        <w:rPr>
          <w:rFonts w:ascii="Arial CYR" w:hAnsi="Arial CYR" w:cs="Arial CYR"/>
          <w:sz w:val="20"/>
          <w:szCs w:val="20"/>
          <w:highlight w:val="yellow"/>
        </w:rPr>
        <w:t>21</w:t>
      </w:r>
      <w:r w:rsidR="002F7644">
        <w:rPr>
          <w:rFonts w:ascii="Arial CYR" w:hAnsi="Arial CYR" w:cs="Arial CYR"/>
          <w:sz w:val="20"/>
          <w:szCs w:val="20"/>
          <w:highlight w:val="yellow"/>
        </w:rPr>
        <w:t xml:space="preserve"> + 0,2*0,2*0,00065</w:t>
      </w:r>
      <w:r>
        <w:rPr>
          <w:rFonts w:ascii="Arial CYR" w:hAnsi="Arial CYR" w:cs="Arial CYR"/>
          <w:sz w:val="20"/>
          <w:szCs w:val="20"/>
          <w:highlight w:val="yellow"/>
        </w:rPr>
        <w:t xml:space="preserve"> </w:t>
      </w:r>
      <w:r>
        <w:rPr>
          <w:rFonts w:ascii="Arial CYR" w:hAnsi="Arial CYR" w:cs="Arial CYR"/>
          <w:sz w:val="20"/>
          <w:szCs w:val="20"/>
        </w:rPr>
        <w:t>+ 0,2*0,2*0,0202*0,0202 + 0,2*0,2</w:t>
      </w:r>
      <w:r w:rsidR="00C0323C">
        <w:rPr>
          <w:rFonts w:ascii="Arial CYR" w:hAnsi="Arial CYR" w:cs="Arial CYR"/>
          <w:sz w:val="20"/>
          <w:szCs w:val="20"/>
        </w:rPr>
        <w:t>*0,</w:t>
      </w:r>
      <w:r>
        <w:rPr>
          <w:rFonts w:ascii="Arial CYR" w:hAnsi="Arial CYR" w:cs="Arial CYR"/>
          <w:sz w:val="20"/>
          <w:szCs w:val="20"/>
        </w:rPr>
        <w:t>024 + 0,2*0,2</w:t>
      </w:r>
      <w:r w:rsidR="00C0323C">
        <w:rPr>
          <w:rFonts w:ascii="Arial CYR" w:hAnsi="Arial CYR" w:cs="Arial CYR"/>
          <w:sz w:val="20"/>
          <w:szCs w:val="20"/>
        </w:rPr>
        <w:t>*0,0</w:t>
      </w:r>
      <w:r>
        <w:rPr>
          <w:rFonts w:ascii="Arial CYR" w:hAnsi="Arial CYR" w:cs="Arial CYR"/>
          <w:sz w:val="20"/>
          <w:szCs w:val="20"/>
        </w:rPr>
        <w:t>29 + 0,2*0,2</w:t>
      </w:r>
      <w:r w:rsidR="00C0323C">
        <w:rPr>
          <w:rFonts w:ascii="Arial CYR" w:hAnsi="Arial CYR" w:cs="Arial CYR"/>
          <w:sz w:val="20"/>
          <w:szCs w:val="20"/>
        </w:rPr>
        <w:t>*0,0</w:t>
      </w:r>
      <w:r>
        <w:rPr>
          <w:rFonts w:ascii="Arial CYR" w:hAnsi="Arial CYR" w:cs="Arial CYR"/>
          <w:sz w:val="20"/>
          <w:szCs w:val="20"/>
        </w:rPr>
        <w:t>21</w:t>
      </w:r>
      <w:r w:rsidR="002F7644">
        <w:rPr>
          <w:rFonts w:ascii="Arial CYR" w:hAnsi="Arial CYR" w:cs="Arial CYR"/>
          <w:sz w:val="20"/>
          <w:szCs w:val="20"/>
        </w:rPr>
        <w:t xml:space="preserve"> + 0,2*0,2*</w:t>
      </w:r>
      <w:r w:rsidR="00C0323C">
        <w:rPr>
          <w:rFonts w:ascii="Arial CYR" w:hAnsi="Arial CYR" w:cs="Arial CYR"/>
          <w:sz w:val="20"/>
          <w:szCs w:val="20"/>
        </w:rPr>
        <w:t>(-0,000</w:t>
      </w:r>
      <w:r w:rsidR="002F7644">
        <w:rPr>
          <w:rFonts w:ascii="Arial CYR" w:hAnsi="Arial CYR" w:cs="Arial CYR"/>
          <w:sz w:val="20"/>
          <w:szCs w:val="20"/>
        </w:rPr>
        <w:t xml:space="preserve">17) </w:t>
      </w:r>
      <w:r w:rsidR="002F7644" w:rsidRPr="002F7644">
        <w:rPr>
          <w:rFonts w:ascii="Arial CYR" w:hAnsi="Arial CYR" w:cs="Arial CYR"/>
          <w:sz w:val="20"/>
          <w:szCs w:val="20"/>
          <w:highlight w:val="yellow"/>
        </w:rPr>
        <w:t>+</w:t>
      </w:r>
      <w:r w:rsidR="002F7644">
        <w:rPr>
          <w:rFonts w:ascii="Arial CYR" w:hAnsi="Arial CYR" w:cs="Arial CYR"/>
          <w:sz w:val="20"/>
          <w:szCs w:val="20"/>
          <w:highlight w:val="yellow"/>
        </w:rPr>
        <w:t>0,2*0,2*0,0019*0,0019 + 0,2*0,2*</w:t>
      </w:r>
      <w:r w:rsidR="00C0323C">
        <w:rPr>
          <w:rFonts w:ascii="Arial CYR" w:hAnsi="Arial CYR" w:cs="Arial CYR"/>
          <w:sz w:val="20"/>
          <w:szCs w:val="20"/>
          <w:highlight w:val="yellow"/>
        </w:rPr>
        <w:t>0,0</w:t>
      </w:r>
      <w:r w:rsidR="00837945">
        <w:rPr>
          <w:rFonts w:ascii="Arial CYR" w:hAnsi="Arial CYR" w:cs="Arial CYR"/>
          <w:sz w:val="20"/>
          <w:szCs w:val="20"/>
          <w:highlight w:val="yellow"/>
        </w:rPr>
        <w:t>01 + 0,2*0,2*</w:t>
      </w:r>
      <w:r w:rsidR="00C0323C">
        <w:rPr>
          <w:rFonts w:ascii="Arial CYR" w:hAnsi="Arial CYR" w:cs="Arial CYR"/>
          <w:sz w:val="20"/>
          <w:szCs w:val="20"/>
          <w:highlight w:val="yellow"/>
        </w:rPr>
        <w:t>0,00</w:t>
      </w:r>
      <w:r w:rsidR="00837945">
        <w:rPr>
          <w:rFonts w:ascii="Arial CYR" w:hAnsi="Arial CYR" w:cs="Arial CYR"/>
          <w:sz w:val="20"/>
          <w:szCs w:val="20"/>
          <w:highlight w:val="yellow"/>
        </w:rPr>
        <w:t>0461 + 0,2*0,2*</w:t>
      </w:r>
      <w:r w:rsidR="00C0323C">
        <w:rPr>
          <w:rFonts w:ascii="Arial CYR" w:hAnsi="Arial CYR" w:cs="Arial CYR"/>
          <w:sz w:val="20"/>
          <w:szCs w:val="20"/>
          <w:highlight w:val="yellow"/>
        </w:rPr>
        <w:t>0,00</w:t>
      </w:r>
      <w:r w:rsidR="00837945">
        <w:rPr>
          <w:rFonts w:ascii="Arial CYR" w:hAnsi="Arial CYR" w:cs="Arial CYR"/>
          <w:sz w:val="20"/>
          <w:szCs w:val="20"/>
          <w:highlight w:val="yellow"/>
        </w:rPr>
        <w:t>065 + 0,2*0,2*</w:t>
      </w:r>
      <w:r w:rsidR="00C0323C">
        <w:rPr>
          <w:rFonts w:ascii="Arial CYR" w:hAnsi="Arial CYR" w:cs="Arial CYR"/>
          <w:sz w:val="20"/>
          <w:szCs w:val="20"/>
          <w:highlight w:val="yellow"/>
        </w:rPr>
        <w:t>(-0,00</w:t>
      </w:r>
      <w:r w:rsidR="00837945">
        <w:rPr>
          <w:rFonts w:ascii="Arial CYR" w:hAnsi="Arial CYR" w:cs="Arial CYR"/>
          <w:sz w:val="20"/>
          <w:szCs w:val="20"/>
          <w:highlight w:val="yellow"/>
        </w:rPr>
        <w:t xml:space="preserve">017) = </w:t>
      </w:r>
      <w:r w:rsidR="00837945" w:rsidRPr="00837945">
        <w:rPr>
          <w:rFonts w:ascii="Arial CYR" w:hAnsi="Arial CYR" w:cs="Arial CYR"/>
          <w:sz w:val="20"/>
          <w:szCs w:val="20"/>
          <w:highlight w:val="cyan"/>
        </w:rPr>
        <w:t>0,00001936</w:t>
      </w:r>
      <w:r w:rsidR="00C0323C">
        <w:rPr>
          <w:rFonts w:ascii="Arial CYR" w:hAnsi="Arial CYR" w:cs="Arial CYR"/>
          <w:sz w:val="20"/>
          <w:szCs w:val="20"/>
          <w:highlight w:val="cyan"/>
        </w:rPr>
        <w:t xml:space="preserve"> + 0,00</w:t>
      </w:r>
      <w:r w:rsidR="00837945" w:rsidRPr="00837945">
        <w:rPr>
          <w:rFonts w:ascii="Arial CYR" w:hAnsi="Arial CYR" w:cs="Arial CYR"/>
          <w:sz w:val="20"/>
          <w:szCs w:val="20"/>
          <w:highlight w:val="cyan"/>
        </w:rPr>
        <w:t xml:space="preserve">044 + </w:t>
      </w:r>
      <w:r w:rsidR="00C0323C">
        <w:rPr>
          <w:rFonts w:ascii="Arial CYR" w:hAnsi="Arial CYR" w:cs="Arial CYR"/>
          <w:sz w:val="20"/>
          <w:szCs w:val="20"/>
          <w:highlight w:val="cyan"/>
        </w:rPr>
        <w:t>0,00</w:t>
      </w:r>
      <w:r w:rsidR="00837945" w:rsidRPr="00837945">
        <w:rPr>
          <w:rFonts w:ascii="Arial CYR" w:hAnsi="Arial CYR" w:cs="Arial CYR"/>
          <w:sz w:val="20"/>
          <w:szCs w:val="20"/>
          <w:highlight w:val="cyan"/>
        </w:rPr>
        <w:t xml:space="preserve">04 + </w:t>
      </w:r>
      <w:r w:rsidR="00C0323C">
        <w:rPr>
          <w:rFonts w:ascii="Arial CYR" w:hAnsi="Arial CYR" w:cs="Arial CYR"/>
          <w:sz w:val="20"/>
          <w:szCs w:val="20"/>
          <w:highlight w:val="cyan"/>
        </w:rPr>
        <w:t>0,00</w:t>
      </w:r>
      <w:r w:rsidR="00837945" w:rsidRPr="00837945">
        <w:rPr>
          <w:rFonts w:ascii="Arial CYR" w:hAnsi="Arial CYR" w:cs="Arial CYR"/>
          <w:sz w:val="20"/>
          <w:szCs w:val="20"/>
          <w:highlight w:val="cyan"/>
        </w:rPr>
        <w:t xml:space="preserve">096 + </w:t>
      </w:r>
      <w:r w:rsidR="00C0323C">
        <w:rPr>
          <w:rFonts w:ascii="Arial CYR" w:hAnsi="Arial CYR" w:cs="Arial CYR"/>
          <w:sz w:val="20"/>
          <w:szCs w:val="20"/>
          <w:highlight w:val="cyan"/>
        </w:rPr>
        <w:t>0,</w:t>
      </w:r>
      <w:r w:rsidR="00837945" w:rsidRPr="00837945">
        <w:rPr>
          <w:rFonts w:ascii="Arial CYR" w:hAnsi="Arial CYR" w:cs="Arial CYR"/>
          <w:sz w:val="20"/>
          <w:szCs w:val="20"/>
          <w:highlight w:val="cyan"/>
        </w:rPr>
        <w:t xml:space="preserve">0004 </w:t>
      </w:r>
      <w:r w:rsidR="00837945" w:rsidRPr="00837945">
        <w:rPr>
          <w:rFonts w:ascii="Arial CYR" w:hAnsi="Arial CYR" w:cs="Arial CYR"/>
          <w:sz w:val="20"/>
          <w:szCs w:val="20"/>
          <w:highlight w:val="yellow"/>
        </w:rPr>
        <w:t>+ 0,0000155236</w:t>
      </w:r>
      <w:r w:rsidR="00837945">
        <w:rPr>
          <w:rFonts w:ascii="Arial CYR" w:hAnsi="Arial CYR" w:cs="Arial CYR"/>
          <w:sz w:val="20"/>
          <w:szCs w:val="20"/>
          <w:highlight w:val="yellow"/>
        </w:rPr>
        <w:t xml:space="preserve"> + </w:t>
      </w:r>
      <w:r w:rsidR="00C0323C">
        <w:rPr>
          <w:rFonts w:ascii="Arial CYR" w:hAnsi="Arial CYR" w:cs="Arial CYR"/>
          <w:sz w:val="20"/>
          <w:szCs w:val="20"/>
          <w:highlight w:val="yellow"/>
        </w:rPr>
        <w:t>0,0</w:t>
      </w:r>
      <w:r w:rsidR="00837945">
        <w:rPr>
          <w:rFonts w:ascii="Arial CYR" w:hAnsi="Arial CYR" w:cs="Arial CYR"/>
          <w:sz w:val="20"/>
          <w:szCs w:val="20"/>
          <w:highlight w:val="yellow"/>
        </w:rPr>
        <w:t xml:space="preserve">004 + </w:t>
      </w:r>
      <w:r w:rsidR="00C0323C">
        <w:rPr>
          <w:rFonts w:ascii="Arial CYR" w:hAnsi="Arial CYR" w:cs="Arial CYR"/>
          <w:sz w:val="20"/>
          <w:szCs w:val="20"/>
          <w:highlight w:val="yellow"/>
        </w:rPr>
        <w:t>0,00</w:t>
      </w:r>
      <w:r w:rsidR="00837945">
        <w:rPr>
          <w:rFonts w:ascii="Arial CYR" w:hAnsi="Arial CYR" w:cs="Arial CYR"/>
          <w:sz w:val="20"/>
          <w:szCs w:val="20"/>
          <w:highlight w:val="yellow"/>
        </w:rPr>
        <w:t xml:space="preserve">088 + </w:t>
      </w:r>
      <w:r w:rsidR="00C0323C">
        <w:rPr>
          <w:rFonts w:ascii="Arial CYR" w:hAnsi="Arial CYR" w:cs="Arial CYR"/>
          <w:sz w:val="20"/>
          <w:szCs w:val="20"/>
          <w:highlight w:val="yellow"/>
        </w:rPr>
        <w:t>0,0</w:t>
      </w:r>
      <w:r w:rsidR="00837945">
        <w:rPr>
          <w:rFonts w:ascii="Arial CYR" w:hAnsi="Arial CYR" w:cs="Arial CYR"/>
          <w:sz w:val="20"/>
          <w:szCs w:val="20"/>
          <w:highlight w:val="yellow"/>
        </w:rPr>
        <w:t xml:space="preserve">0116 + </w:t>
      </w:r>
      <w:r w:rsidR="00C0323C">
        <w:rPr>
          <w:rFonts w:ascii="Arial CYR" w:hAnsi="Arial CYR" w:cs="Arial CYR"/>
          <w:sz w:val="20"/>
          <w:szCs w:val="20"/>
          <w:highlight w:val="yellow"/>
        </w:rPr>
        <w:t>0,0</w:t>
      </w:r>
      <w:r w:rsidR="00837945">
        <w:rPr>
          <w:rFonts w:ascii="Arial CYR" w:hAnsi="Arial CYR" w:cs="Arial CYR"/>
          <w:sz w:val="20"/>
          <w:szCs w:val="20"/>
          <w:highlight w:val="yellow"/>
        </w:rPr>
        <w:t>0001824</w:t>
      </w:r>
      <w:r w:rsidR="00837945" w:rsidRPr="00837945">
        <w:rPr>
          <w:rFonts w:ascii="Arial CYR" w:hAnsi="Arial CYR" w:cs="Arial CYR"/>
          <w:sz w:val="20"/>
          <w:szCs w:val="20"/>
          <w:highlight w:val="cyan"/>
        </w:rPr>
        <w:t>+ 0,00128164 +</w:t>
      </w:r>
      <w:r w:rsidR="00C0323C">
        <w:rPr>
          <w:rFonts w:ascii="Arial CYR" w:hAnsi="Arial CYR" w:cs="Arial CYR"/>
          <w:sz w:val="20"/>
          <w:szCs w:val="20"/>
          <w:highlight w:val="cyan"/>
        </w:rPr>
        <w:t>0,000</w:t>
      </w:r>
      <w:r w:rsidR="00BF5CFB">
        <w:rPr>
          <w:rFonts w:ascii="Arial CYR" w:hAnsi="Arial CYR" w:cs="Arial CYR"/>
          <w:sz w:val="20"/>
          <w:szCs w:val="20"/>
          <w:highlight w:val="cyan"/>
        </w:rPr>
        <w:t xml:space="preserve">4+ </w:t>
      </w:r>
      <w:r w:rsidR="00C0323C">
        <w:rPr>
          <w:rFonts w:ascii="Arial CYR" w:hAnsi="Arial CYR" w:cs="Arial CYR"/>
          <w:sz w:val="20"/>
          <w:szCs w:val="20"/>
          <w:highlight w:val="cyan"/>
        </w:rPr>
        <w:t>0,</w:t>
      </w:r>
      <w:r w:rsidR="00BF5CFB">
        <w:rPr>
          <w:rFonts w:ascii="Arial CYR" w:hAnsi="Arial CYR" w:cs="Arial CYR"/>
          <w:sz w:val="20"/>
          <w:szCs w:val="20"/>
          <w:highlight w:val="cyan"/>
        </w:rPr>
        <w:t xml:space="preserve">00088+ </w:t>
      </w:r>
      <w:r w:rsidR="00C0323C">
        <w:rPr>
          <w:rFonts w:ascii="Arial CYR" w:hAnsi="Arial CYR" w:cs="Arial CYR"/>
          <w:sz w:val="20"/>
          <w:szCs w:val="20"/>
          <w:highlight w:val="cyan"/>
        </w:rPr>
        <w:t>0,</w:t>
      </w:r>
      <w:r w:rsidR="00BF5CFB">
        <w:rPr>
          <w:rFonts w:ascii="Arial CYR" w:hAnsi="Arial CYR" w:cs="Arial CYR"/>
          <w:sz w:val="20"/>
          <w:szCs w:val="20"/>
          <w:highlight w:val="cyan"/>
        </w:rPr>
        <w:t xml:space="preserve">00084 + </w:t>
      </w:r>
      <w:r w:rsidR="00C0323C">
        <w:rPr>
          <w:rFonts w:ascii="Arial CYR" w:hAnsi="Arial CYR" w:cs="Arial CYR"/>
          <w:sz w:val="20"/>
          <w:szCs w:val="20"/>
          <w:highlight w:val="cyan"/>
        </w:rPr>
        <w:t>0,0</w:t>
      </w:r>
      <w:r w:rsidR="00BF5CFB">
        <w:rPr>
          <w:rFonts w:ascii="Arial CYR" w:hAnsi="Arial CYR" w:cs="Arial CYR"/>
          <w:sz w:val="20"/>
          <w:szCs w:val="20"/>
          <w:highlight w:val="cyan"/>
        </w:rPr>
        <w:t xml:space="preserve">00026 </w:t>
      </w:r>
      <w:r w:rsidR="00BF5CFB" w:rsidRPr="00BF5CFB">
        <w:rPr>
          <w:rFonts w:ascii="Arial CYR" w:hAnsi="Arial CYR" w:cs="Arial CYR"/>
          <w:sz w:val="20"/>
          <w:szCs w:val="20"/>
          <w:highlight w:val="yellow"/>
        </w:rPr>
        <w:t>+</w:t>
      </w:r>
      <w:r w:rsidR="00837945" w:rsidRPr="00BF5CFB">
        <w:rPr>
          <w:rFonts w:ascii="Arial CYR" w:hAnsi="Arial CYR" w:cs="Arial CYR"/>
          <w:sz w:val="20"/>
          <w:szCs w:val="20"/>
          <w:highlight w:val="yellow"/>
        </w:rPr>
        <w:t xml:space="preserve"> </w:t>
      </w:r>
      <w:r w:rsidR="00BF5CFB">
        <w:rPr>
          <w:rFonts w:ascii="Arial CYR" w:hAnsi="Arial CYR" w:cs="Arial CYR"/>
          <w:sz w:val="20"/>
          <w:szCs w:val="20"/>
          <w:highlight w:val="yellow"/>
        </w:rPr>
        <w:t xml:space="preserve">0,00001632 + </w:t>
      </w:r>
      <w:r w:rsidR="00C0323C">
        <w:rPr>
          <w:rFonts w:ascii="Arial CYR" w:hAnsi="Arial CYR" w:cs="Arial CYR"/>
          <w:sz w:val="20"/>
          <w:szCs w:val="20"/>
          <w:highlight w:val="yellow"/>
        </w:rPr>
        <w:t>0,</w:t>
      </w:r>
      <w:r w:rsidR="00BF5CFB">
        <w:rPr>
          <w:rFonts w:ascii="Arial CYR" w:hAnsi="Arial CYR" w:cs="Arial CYR"/>
          <w:sz w:val="20"/>
          <w:szCs w:val="20"/>
          <w:highlight w:val="yellow"/>
        </w:rPr>
        <w:t xml:space="preserve">00096 + </w:t>
      </w:r>
      <w:r w:rsidR="00C0323C">
        <w:rPr>
          <w:rFonts w:ascii="Arial CYR" w:hAnsi="Arial CYR" w:cs="Arial CYR"/>
          <w:sz w:val="20"/>
          <w:szCs w:val="20"/>
          <w:highlight w:val="yellow"/>
        </w:rPr>
        <w:t>0,</w:t>
      </w:r>
      <w:r w:rsidR="00BF5CFB">
        <w:rPr>
          <w:rFonts w:ascii="Arial CYR" w:hAnsi="Arial CYR" w:cs="Arial CYR"/>
          <w:sz w:val="20"/>
          <w:szCs w:val="20"/>
          <w:highlight w:val="yellow"/>
        </w:rPr>
        <w:t xml:space="preserve">00116 + </w:t>
      </w:r>
      <w:r w:rsidR="00C0323C">
        <w:rPr>
          <w:rFonts w:ascii="Arial CYR" w:hAnsi="Arial CYR" w:cs="Arial CYR"/>
          <w:sz w:val="20"/>
          <w:szCs w:val="20"/>
          <w:highlight w:val="yellow"/>
        </w:rPr>
        <w:t>0,00</w:t>
      </w:r>
      <w:r w:rsidR="00BF5CFB">
        <w:rPr>
          <w:rFonts w:ascii="Arial CYR" w:hAnsi="Arial CYR" w:cs="Arial CYR"/>
          <w:sz w:val="20"/>
          <w:szCs w:val="20"/>
          <w:highlight w:val="yellow"/>
        </w:rPr>
        <w:t xml:space="preserve">084 +-0,0000068 </w:t>
      </w:r>
      <w:r w:rsidR="00BF5CFB" w:rsidRPr="00BF5CFB">
        <w:rPr>
          <w:rFonts w:ascii="Arial CYR" w:hAnsi="Arial CYR" w:cs="Arial CYR"/>
          <w:sz w:val="20"/>
          <w:szCs w:val="20"/>
          <w:highlight w:val="cyan"/>
        </w:rPr>
        <w:t>+</w:t>
      </w:r>
      <w:r w:rsidR="00BF5CFB">
        <w:rPr>
          <w:rFonts w:ascii="Arial CYR" w:hAnsi="Arial CYR" w:cs="Arial CYR"/>
          <w:sz w:val="20"/>
          <w:szCs w:val="20"/>
          <w:highlight w:val="cyan"/>
        </w:rPr>
        <w:t xml:space="preserve">0,0000001444 + </w:t>
      </w:r>
      <w:r w:rsidR="00C0323C">
        <w:rPr>
          <w:rFonts w:ascii="Arial CYR" w:hAnsi="Arial CYR" w:cs="Arial CYR"/>
          <w:sz w:val="20"/>
          <w:szCs w:val="20"/>
          <w:highlight w:val="cyan"/>
        </w:rPr>
        <w:t>0,</w:t>
      </w:r>
      <w:r w:rsidR="0030461D">
        <w:rPr>
          <w:rFonts w:ascii="Arial CYR" w:hAnsi="Arial CYR" w:cs="Arial CYR"/>
          <w:sz w:val="20"/>
          <w:szCs w:val="20"/>
          <w:highlight w:val="cyan"/>
        </w:rPr>
        <w:t xml:space="preserve">00004 + </w:t>
      </w:r>
      <w:r w:rsidR="00C0323C">
        <w:rPr>
          <w:rFonts w:ascii="Arial CYR" w:hAnsi="Arial CYR" w:cs="Arial CYR"/>
          <w:sz w:val="20"/>
          <w:szCs w:val="20"/>
          <w:highlight w:val="cyan"/>
        </w:rPr>
        <w:t>0,0000</w:t>
      </w:r>
      <w:r w:rsidR="0030461D">
        <w:rPr>
          <w:rFonts w:ascii="Arial CYR" w:hAnsi="Arial CYR" w:cs="Arial CYR"/>
          <w:sz w:val="20"/>
          <w:szCs w:val="20"/>
          <w:highlight w:val="cyan"/>
        </w:rPr>
        <w:t xml:space="preserve">01844 + </w:t>
      </w:r>
      <w:r w:rsidR="00C0323C">
        <w:rPr>
          <w:rFonts w:ascii="Arial CYR" w:hAnsi="Arial CYR" w:cs="Arial CYR"/>
          <w:sz w:val="20"/>
          <w:szCs w:val="20"/>
          <w:highlight w:val="cyan"/>
        </w:rPr>
        <w:t>0,0</w:t>
      </w:r>
      <w:r w:rsidR="0030461D">
        <w:rPr>
          <w:rFonts w:ascii="Arial CYR" w:hAnsi="Arial CYR" w:cs="Arial CYR"/>
          <w:sz w:val="20"/>
          <w:szCs w:val="20"/>
          <w:highlight w:val="cyan"/>
        </w:rPr>
        <w:t xml:space="preserve">000026 + </w:t>
      </w:r>
      <w:r w:rsidR="00C0323C">
        <w:rPr>
          <w:rFonts w:ascii="Arial CYR" w:hAnsi="Arial CYR" w:cs="Arial CYR"/>
          <w:sz w:val="20"/>
          <w:szCs w:val="20"/>
          <w:highlight w:val="cyan"/>
        </w:rPr>
        <w:t>0,0000</w:t>
      </w:r>
      <w:r w:rsidR="0030461D">
        <w:rPr>
          <w:rFonts w:ascii="Arial CYR" w:hAnsi="Arial CYR" w:cs="Arial CYR"/>
          <w:sz w:val="20"/>
          <w:szCs w:val="20"/>
          <w:highlight w:val="cyan"/>
        </w:rPr>
        <w:t xml:space="preserve">068 </w:t>
      </w:r>
      <w:r w:rsidR="0030461D" w:rsidRPr="00F62107">
        <w:rPr>
          <w:rFonts w:ascii="Arial CYR" w:hAnsi="Arial CYR" w:cs="Arial CYR"/>
          <w:sz w:val="20"/>
          <w:szCs w:val="20"/>
        </w:rPr>
        <w:t xml:space="preserve">= </w:t>
      </w:r>
      <w:r w:rsidR="00F62107" w:rsidRPr="00F62107">
        <w:rPr>
          <w:rFonts w:ascii="Arial CYR" w:hAnsi="Arial CYR" w:cs="Arial CYR"/>
          <w:sz w:val="20"/>
          <w:szCs w:val="20"/>
        </w:rPr>
        <w:t>1</w:t>
      </w:r>
      <w:r w:rsidR="0082793B">
        <w:rPr>
          <w:rFonts w:ascii="Arial CYR" w:hAnsi="Arial CYR" w:cs="Arial CYR"/>
          <w:sz w:val="20"/>
          <w:szCs w:val="20"/>
        </w:rPr>
        <w:t>,</w:t>
      </w:r>
      <w:r w:rsidR="00F62107" w:rsidRPr="00F62107">
        <w:rPr>
          <w:rFonts w:ascii="Arial CYR" w:hAnsi="Arial CYR" w:cs="Arial CYR"/>
          <w:sz w:val="20"/>
          <w:szCs w:val="20"/>
        </w:rPr>
        <w:t>4%</w:t>
      </w:r>
    </w:p>
    <w:p w:rsidR="00101FB5" w:rsidRPr="00F82C40" w:rsidRDefault="00101FB5" w:rsidP="00015864">
      <w:pPr>
        <w:jc w:val="both"/>
        <w:rPr>
          <w:color w:val="000000"/>
        </w:rPr>
      </w:pPr>
    </w:p>
    <w:p w:rsidR="00DA4D6A" w:rsidRPr="00F82C40" w:rsidRDefault="00DA4D6A" w:rsidP="00015864">
      <w:pPr>
        <w:jc w:val="both"/>
        <w:rPr>
          <w:color w:val="000000"/>
        </w:rPr>
      </w:pPr>
    </w:p>
    <w:p w:rsidR="00DA4D6A" w:rsidRPr="00C20BCF" w:rsidRDefault="002B22E2" w:rsidP="00C20BCF">
      <w:pPr>
        <w:jc w:val="center"/>
        <w:rPr>
          <w:color w:val="000000"/>
        </w:rPr>
      </w:pPr>
      <w:r>
        <w:pict>
          <v:shape id="_x0000_i1043" type="#_x0000_t75" style="width:414pt;height:208.5pt">
            <v:imagedata r:id="rId25" o:title=""/>
          </v:shape>
        </w:pict>
      </w:r>
    </w:p>
    <w:p w:rsidR="00DA4D6A" w:rsidRPr="00F82C40" w:rsidRDefault="00DA4D6A" w:rsidP="00015864">
      <w:pPr>
        <w:jc w:val="both"/>
        <w:rPr>
          <w:color w:val="000000"/>
        </w:rPr>
      </w:pPr>
    </w:p>
    <w:p w:rsidR="00DA4D6A" w:rsidRPr="00C20BCF" w:rsidRDefault="00C20BCF" w:rsidP="00C20BCF">
      <w:pPr>
        <w:jc w:val="center"/>
        <w:rPr>
          <w:i/>
          <w:color w:val="000000"/>
        </w:rPr>
      </w:pPr>
      <w:r w:rsidRPr="00C20BCF">
        <w:rPr>
          <w:i/>
          <w:color w:val="000000"/>
        </w:rPr>
        <w:t>Рис 9.</w:t>
      </w:r>
    </w:p>
    <w:p w:rsidR="00DA4D6A" w:rsidRPr="00F82C40" w:rsidRDefault="00DA4D6A" w:rsidP="00015864">
      <w:pPr>
        <w:jc w:val="both"/>
        <w:rPr>
          <w:color w:val="000000"/>
        </w:rPr>
      </w:pPr>
    </w:p>
    <w:p w:rsidR="00DA4D6A" w:rsidRPr="00F82C40" w:rsidRDefault="00DA4D6A" w:rsidP="00015864">
      <w:pPr>
        <w:jc w:val="both"/>
        <w:rPr>
          <w:color w:val="000000"/>
        </w:rPr>
      </w:pPr>
    </w:p>
    <w:p w:rsidR="00DA4D6A" w:rsidRPr="00F82C40" w:rsidRDefault="00DA4D6A" w:rsidP="00015864">
      <w:pPr>
        <w:jc w:val="both"/>
        <w:rPr>
          <w:color w:val="000000"/>
        </w:rPr>
      </w:pPr>
    </w:p>
    <w:p w:rsidR="00DA4D6A" w:rsidRPr="00F82C40" w:rsidRDefault="00DA4D6A" w:rsidP="00015864">
      <w:pPr>
        <w:jc w:val="both"/>
        <w:rPr>
          <w:color w:val="000000"/>
        </w:rPr>
      </w:pPr>
    </w:p>
    <w:p w:rsidR="00DA4D6A" w:rsidRDefault="00E934C1" w:rsidP="00015864">
      <w:pPr>
        <w:jc w:val="both"/>
        <w:rPr>
          <w:color w:val="000000"/>
        </w:rPr>
      </w:pPr>
      <w:r>
        <w:rPr>
          <w:color w:val="000000"/>
        </w:rPr>
        <w:t xml:space="preserve">Теперь посчитаем </w:t>
      </w:r>
      <w:r w:rsidR="00215B4D">
        <w:rPr>
          <w:color w:val="000000"/>
        </w:rPr>
        <w:t>риск портфеля по модели САРМ, считая стандартное отклонение предложенным способом.</w:t>
      </w:r>
    </w:p>
    <w:p w:rsidR="00215B4D" w:rsidRDefault="00215B4D" w:rsidP="00015864">
      <w:pPr>
        <w:jc w:val="both"/>
        <w:rPr>
          <w:color w:val="000000"/>
        </w:rPr>
      </w:pPr>
    </w:p>
    <w:p w:rsidR="00215B4D" w:rsidRDefault="00271BC5" w:rsidP="00015864">
      <w:pPr>
        <w:jc w:val="both"/>
        <w:rPr>
          <w:color w:val="000000"/>
        </w:rPr>
      </w:pPr>
      <w:r>
        <w:rPr>
          <w:color w:val="000000"/>
        </w:rPr>
        <w:t>Решение. Риски бумаг со скорректированным стандартным отклонением:</w:t>
      </w:r>
    </w:p>
    <w:p w:rsidR="00271BC5" w:rsidRDefault="00271BC5" w:rsidP="00015864">
      <w:pPr>
        <w:jc w:val="both"/>
        <w:rPr>
          <w:color w:val="000000"/>
        </w:rPr>
      </w:pPr>
      <w:r>
        <w:rPr>
          <w:color w:val="000000"/>
        </w:rPr>
        <w:t>1)Для одной бумаги (РАО ЕЭС) = 1,24%</w:t>
      </w:r>
    </w:p>
    <w:p w:rsidR="00271BC5" w:rsidRPr="00CD4969" w:rsidRDefault="00271BC5" w:rsidP="00015864">
      <w:pPr>
        <w:jc w:val="both"/>
        <w:rPr>
          <w:color w:val="000000"/>
        </w:rPr>
      </w:pPr>
      <w:r>
        <w:rPr>
          <w:color w:val="000000"/>
        </w:rPr>
        <w:t xml:space="preserve">2)Для двух бумаг (РАО ЕЭС, Сбербанк) = </w:t>
      </w:r>
      <w:r w:rsidR="00CD4969" w:rsidRPr="00CD4969">
        <w:rPr>
          <w:color w:val="000000"/>
        </w:rPr>
        <w:t>0</w:t>
      </w:r>
      <w:r w:rsidR="00CD4969">
        <w:rPr>
          <w:color w:val="000000"/>
        </w:rPr>
        <w:t>,5*0,5*1,24*1,24*+0,5*0,5*1,25*1,257+</w:t>
      </w:r>
    </w:p>
    <w:p w:rsidR="00271BC5" w:rsidRPr="00CD4969" w:rsidRDefault="00CD4969" w:rsidP="00015864">
      <w:pPr>
        <w:jc w:val="both"/>
        <w:rPr>
          <w:color w:val="000000"/>
        </w:rPr>
      </w:pPr>
      <w:r>
        <w:rPr>
          <w:color w:val="000000"/>
        </w:rPr>
        <w:t>2*0,5*0,5*0,011</w:t>
      </w:r>
      <w:r w:rsidRPr="00CD4969">
        <w:rPr>
          <w:color w:val="000000"/>
        </w:rPr>
        <w:t>= 0,3844 + 0,390625 + 0,0055 = 0,78%</w:t>
      </w:r>
    </w:p>
    <w:p w:rsidR="00CD4969" w:rsidRDefault="00CD4969" w:rsidP="00015864">
      <w:pPr>
        <w:jc w:val="both"/>
        <w:rPr>
          <w:color w:val="000000"/>
        </w:rPr>
      </w:pPr>
      <w:r w:rsidRPr="00CD4969">
        <w:rPr>
          <w:color w:val="000000"/>
        </w:rPr>
        <w:t>3)</w:t>
      </w:r>
      <w:r>
        <w:rPr>
          <w:color w:val="000000"/>
        </w:rPr>
        <w:t>Для трех бумаг (РАО ЕЭС, Сбербанк, Татнефть) = 0,49%</w:t>
      </w:r>
    </w:p>
    <w:p w:rsidR="00CD4969" w:rsidRDefault="00CD4969" w:rsidP="00015864">
      <w:pPr>
        <w:jc w:val="both"/>
        <w:rPr>
          <w:color w:val="000000"/>
        </w:rPr>
      </w:pPr>
      <w:r>
        <w:rPr>
          <w:color w:val="000000"/>
        </w:rPr>
        <w:t>4)Для четырех бумаг (РАО ЕЭС, Сбербанк, Татнефть, Газпром) = 0,48%</w:t>
      </w:r>
    </w:p>
    <w:p w:rsidR="00CD4969" w:rsidRPr="00CD4969" w:rsidRDefault="00CD4969" w:rsidP="00015864">
      <w:pPr>
        <w:jc w:val="both"/>
        <w:rPr>
          <w:color w:val="000000"/>
        </w:rPr>
      </w:pPr>
      <w:r>
        <w:rPr>
          <w:color w:val="000000"/>
        </w:rPr>
        <w:t>5)Для пяти бумаг (РАО ЕЭС, Сбербанк, Татнефть, Газпром, гос. облигации) = 0,3%</w:t>
      </w:r>
    </w:p>
    <w:p w:rsidR="00215B4D" w:rsidRPr="00F82C40" w:rsidRDefault="00215B4D" w:rsidP="00015864">
      <w:pPr>
        <w:jc w:val="both"/>
        <w:rPr>
          <w:color w:val="000000"/>
        </w:rPr>
      </w:pPr>
    </w:p>
    <w:p w:rsidR="00DA4D6A" w:rsidRPr="00F82C40" w:rsidRDefault="00DA4D6A" w:rsidP="00015864">
      <w:pPr>
        <w:jc w:val="both"/>
        <w:rPr>
          <w:color w:val="000000"/>
        </w:rPr>
      </w:pPr>
    </w:p>
    <w:p w:rsidR="00DA4D6A" w:rsidRPr="00F82C40" w:rsidRDefault="00DA4D6A" w:rsidP="00015864">
      <w:pPr>
        <w:jc w:val="both"/>
        <w:rPr>
          <w:color w:val="000000"/>
        </w:rPr>
      </w:pPr>
    </w:p>
    <w:p w:rsidR="00DA4D6A" w:rsidRPr="00AD0472" w:rsidRDefault="002B22E2" w:rsidP="00AD0472">
      <w:pPr>
        <w:jc w:val="center"/>
        <w:rPr>
          <w:color w:val="000000"/>
        </w:rPr>
      </w:pPr>
      <w:r>
        <w:pict>
          <v:shape id="_x0000_i1044" type="#_x0000_t75" style="width:368.25pt;height:213pt">
            <v:imagedata r:id="rId26" o:title=""/>
          </v:shape>
        </w:pict>
      </w:r>
    </w:p>
    <w:p w:rsidR="00DA4D6A" w:rsidRPr="00AD0472" w:rsidRDefault="00AD0472" w:rsidP="00AD0472">
      <w:pPr>
        <w:jc w:val="center"/>
        <w:rPr>
          <w:i/>
          <w:color w:val="000000"/>
        </w:rPr>
      </w:pPr>
      <w:r w:rsidRPr="00AD0472">
        <w:rPr>
          <w:i/>
          <w:color w:val="000000"/>
        </w:rPr>
        <w:t>Рис. 10</w:t>
      </w:r>
    </w:p>
    <w:p w:rsidR="00DA4D6A" w:rsidRPr="00F82C40" w:rsidRDefault="00DA4D6A" w:rsidP="00015864">
      <w:pPr>
        <w:jc w:val="both"/>
        <w:rPr>
          <w:color w:val="000000"/>
        </w:rPr>
      </w:pPr>
    </w:p>
    <w:p w:rsidR="00DA4D6A" w:rsidRPr="00F82C40" w:rsidRDefault="00DA4D6A" w:rsidP="00015864">
      <w:pPr>
        <w:jc w:val="both"/>
        <w:rPr>
          <w:color w:val="000000"/>
        </w:rPr>
      </w:pPr>
    </w:p>
    <w:p w:rsidR="00DA4D6A" w:rsidRPr="00F82C40" w:rsidRDefault="00DA4D6A" w:rsidP="00015864">
      <w:pPr>
        <w:jc w:val="both"/>
        <w:rPr>
          <w:color w:val="000000"/>
        </w:rPr>
      </w:pPr>
    </w:p>
    <w:p w:rsidR="00DA4D6A" w:rsidRPr="00F82C40" w:rsidRDefault="00DA4D6A" w:rsidP="00015864">
      <w:pPr>
        <w:jc w:val="both"/>
        <w:rPr>
          <w:color w:val="000000"/>
        </w:rPr>
      </w:pPr>
    </w:p>
    <w:p w:rsidR="00DA4D6A" w:rsidRPr="00F82C40" w:rsidRDefault="00DA4D6A" w:rsidP="00015864">
      <w:pPr>
        <w:jc w:val="both"/>
        <w:rPr>
          <w:color w:val="000000"/>
        </w:rPr>
      </w:pPr>
    </w:p>
    <w:p w:rsidR="008C7156" w:rsidRDefault="008C7156" w:rsidP="00015864">
      <w:pPr>
        <w:jc w:val="both"/>
        <w:rPr>
          <w:color w:val="000000"/>
        </w:rPr>
      </w:pPr>
    </w:p>
    <w:p w:rsidR="00AD0472" w:rsidRDefault="00AD0472" w:rsidP="00015864">
      <w:pPr>
        <w:jc w:val="both"/>
        <w:rPr>
          <w:color w:val="000000"/>
        </w:rPr>
      </w:pPr>
    </w:p>
    <w:p w:rsidR="00AD0472" w:rsidRDefault="00AD0472" w:rsidP="00015864">
      <w:pPr>
        <w:jc w:val="both"/>
        <w:rPr>
          <w:color w:val="000000"/>
        </w:rPr>
      </w:pPr>
    </w:p>
    <w:p w:rsidR="00AD0472" w:rsidRDefault="00AD0472" w:rsidP="00015864">
      <w:pPr>
        <w:jc w:val="both"/>
        <w:rPr>
          <w:color w:val="000000"/>
        </w:rPr>
      </w:pPr>
    </w:p>
    <w:p w:rsidR="00AD0472" w:rsidRDefault="00AD0472" w:rsidP="00015864">
      <w:pPr>
        <w:jc w:val="both"/>
        <w:rPr>
          <w:color w:val="000000"/>
        </w:rPr>
      </w:pPr>
    </w:p>
    <w:p w:rsidR="00AD0472" w:rsidRDefault="00AD0472" w:rsidP="00015864">
      <w:pPr>
        <w:jc w:val="both"/>
        <w:rPr>
          <w:color w:val="000000"/>
        </w:rPr>
      </w:pPr>
    </w:p>
    <w:p w:rsidR="00AD0472" w:rsidRDefault="00AD0472" w:rsidP="00015864">
      <w:pPr>
        <w:jc w:val="both"/>
        <w:rPr>
          <w:color w:val="000000"/>
        </w:rPr>
      </w:pPr>
    </w:p>
    <w:p w:rsidR="00AD0472" w:rsidRDefault="00AD0472" w:rsidP="00015864">
      <w:pPr>
        <w:jc w:val="both"/>
        <w:rPr>
          <w:color w:val="000000"/>
        </w:rPr>
      </w:pPr>
    </w:p>
    <w:p w:rsidR="00AD0472" w:rsidRDefault="00AD0472" w:rsidP="00015864">
      <w:pPr>
        <w:jc w:val="both"/>
        <w:rPr>
          <w:color w:val="000000"/>
        </w:rPr>
      </w:pPr>
    </w:p>
    <w:p w:rsidR="00AD0472" w:rsidRDefault="00AD0472" w:rsidP="00015864">
      <w:pPr>
        <w:jc w:val="both"/>
        <w:rPr>
          <w:color w:val="000000"/>
        </w:rPr>
      </w:pPr>
    </w:p>
    <w:p w:rsidR="00AD0472" w:rsidRDefault="00AD0472" w:rsidP="00015864">
      <w:pPr>
        <w:jc w:val="both"/>
        <w:rPr>
          <w:color w:val="000000"/>
        </w:rPr>
      </w:pPr>
    </w:p>
    <w:p w:rsidR="00AD0472" w:rsidRDefault="00AD0472" w:rsidP="00015864">
      <w:pPr>
        <w:jc w:val="both"/>
        <w:rPr>
          <w:color w:val="000000"/>
        </w:rPr>
      </w:pPr>
    </w:p>
    <w:p w:rsidR="00AD0472" w:rsidRDefault="00AD0472" w:rsidP="00015864">
      <w:pPr>
        <w:jc w:val="both"/>
        <w:rPr>
          <w:color w:val="000000"/>
        </w:rPr>
      </w:pPr>
    </w:p>
    <w:p w:rsidR="00AD0472" w:rsidRDefault="00AD0472" w:rsidP="00015864">
      <w:pPr>
        <w:jc w:val="both"/>
        <w:rPr>
          <w:color w:val="000000"/>
        </w:rPr>
      </w:pPr>
    </w:p>
    <w:p w:rsidR="00AD0472" w:rsidRDefault="00AD0472" w:rsidP="00015864">
      <w:pPr>
        <w:jc w:val="both"/>
        <w:rPr>
          <w:color w:val="000000"/>
        </w:rPr>
      </w:pPr>
    </w:p>
    <w:p w:rsidR="00AD0472" w:rsidRDefault="00AD0472" w:rsidP="00015864">
      <w:pPr>
        <w:jc w:val="both"/>
        <w:rPr>
          <w:color w:val="000000"/>
        </w:rPr>
      </w:pPr>
    </w:p>
    <w:p w:rsidR="00AD0472" w:rsidRDefault="00AD0472" w:rsidP="00015864">
      <w:pPr>
        <w:jc w:val="both"/>
        <w:rPr>
          <w:color w:val="000000"/>
        </w:rPr>
      </w:pPr>
    </w:p>
    <w:p w:rsidR="00AD0472" w:rsidRDefault="00AD0472" w:rsidP="00015864">
      <w:pPr>
        <w:jc w:val="both"/>
        <w:rPr>
          <w:color w:val="000000"/>
        </w:rPr>
      </w:pPr>
    </w:p>
    <w:p w:rsidR="00AD0472" w:rsidRDefault="00AD0472" w:rsidP="00015864">
      <w:pPr>
        <w:jc w:val="both"/>
        <w:rPr>
          <w:color w:val="000000"/>
        </w:rPr>
      </w:pPr>
    </w:p>
    <w:p w:rsidR="00AD0472" w:rsidRDefault="00AD0472" w:rsidP="00015864">
      <w:pPr>
        <w:jc w:val="both"/>
        <w:rPr>
          <w:color w:val="000000"/>
        </w:rPr>
      </w:pPr>
    </w:p>
    <w:p w:rsidR="00AD0472" w:rsidRDefault="00AD0472" w:rsidP="00015864">
      <w:pPr>
        <w:jc w:val="both"/>
        <w:rPr>
          <w:color w:val="000000"/>
        </w:rPr>
      </w:pPr>
    </w:p>
    <w:p w:rsidR="00AD0472" w:rsidRPr="00F82C40" w:rsidRDefault="00AD0472" w:rsidP="00015864">
      <w:pPr>
        <w:jc w:val="both"/>
        <w:rPr>
          <w:color w:val="000000"/>
        </w:rPr>
      </w:pPr>
    </w:p>
    <w:p w:rsidR="00DA4D6A" w:rsidRPr="00F82C40" w:rsidRDefault="00DA4D6A" w:rsidP="00015864">
      <w:pPr>
        <w:jc w:val="both"/>
        <w:rPr>
          <w:color w:val="000000"/>
        </w:rPr>
      </w:pPr>
    </w:p>
    <w:p w:rsidR="00101FB5" w:rsidRPr="008638BC" w:rsidRDefault="00101FB5" w:rsidP="00015864">
      <w:pPr>
        <w:jc w:val="both"/>
        <w:rPr>
          <w:color w:val="000000"/>
        </w:rPr>
      </w:pPr>
    </w:p>
    <w:p w:rsidR="00445A88" w:rsidRPr="0006250B" w:rsidRDefault="00445A88" w:rsidP="00384FD0">
      <w:pPr>
        <w:jc w:val="center"/>
        <w:rPr>
          <w:b/>
          <w:sz w:val="28"/>
          <w:szCs w:val="28"/>
        </w:rPr>
      </w:pPr>
      <w:r w:rsidRPr="0006250B">
        <w:rPr>
          <w:b/>
          <w:sz w:val="28"/>
          <w:szCs w:val="28"/>
        </w:rPr>
        <w:t>Заключение.</w:t>
      </w:r>
    </w:p>
    <w:p w:rsidR="00445A88" w:rsidRDefault="00445A88" w:rsidP="00384FD0">
      <w:pPr>
        <w:jc w:val="center"/>
        <w:rPr>
          <w:sz w:val="28"/>
          <w:szCs w:val="28"/>
        </w:rPr>
      </w:pPr>
    </w:p>
    <w:p w:rsidR="00807274" w:rsidRPr="00C421E3" w:rsidRDefault="00807274" w:rsidP="0040443B">
      <w:pPr>
        <w:ind w:firstLine="900"/>
        <w:jc w:val="both"/>
      </w:pPr>
      <w:r w:rsidRPr="00C421E3">
        <w:t>Приведенный в этой работе метод корректировки стандартного отклонения приводит к сглаживанию итогового значения стандартного отклонения,</w:t>
      </w:r>
      <w:r w:rsidR="0040443B" w:rsidRPr="00C421E3">
        <w:t xml:space="preserve"> поэтому</w:t>
      </w:r>
      <w:r w:rsidRPr="00C421E3">
        <w:t xml:space="preserve"> скорректированное числовое значение всегда меньше нескорректированного.  </w:t>
      </w:r>
    </w:p>
    <w:p w:rsidR="0040443B" w:rsidRPr="00C421E3" w:rsidRDefault="0040443B" w:rsidP="0040443B">
      <w:pPr>
        <w:ind w:firstLine="900"/>
        <w:jc w:val="both"/>
      </w:pPr>
      <w:r w:rsidRPr="00C421E3">
        <w:t>Сглаженное значение ст. отклонения не содержит в себе шумов, то есть тех ошибок, которые могут исказить итоговый результат и ввести аналитика в заблуждение. Сглаженное значение ст. отклонения отражает более характерную для выбранного актива ситуацию. Оно основано на диапазоне, содержа</w:t>
      </w:r>
      <w:r w:rsidR="00C421E3">
        <w:t>ще</w:t>
      </w:r>
      <w:r w:rsidRPr="00C421E3">
        <w:t xml:space="preserve">м в себе соответствующие данному активу доли положительной и отрицательной  доходности. </w:t>
      </w:r>
    </w:p>
    <w:p w:rsidR="0040443B" w:rsidRPr="00C421E3" w:rsidRDefault="0040443B" w:rsidP="0040443B">
      <w:pPr>
        <w:ind w:firstLine="900"/>
        <w:jc w:val="both"/>
      </w:pPr>
      <w:r w:rsidRPr="00C421E3">
        <w:t>Применение данной коррект</w:t>
      </w:r>
      <w:r w:rsidR="000E4D14" w:rsidRPr="00C421E3">
        <w:t>и</w:t>
      </w:r>
      <w:r w:rsidRPr="00C421E3">
        <w:t>ров</w:t>
      </w:r>
      <w:r w:rsidR="000E4D14" w:rsidRPr="00C421E3">
        <w:t xml:space="preserve">ки, на мой взгляд, широко. Она может быть применима для любой модели, содержащей в себе стандартное отклонение. </w:t>
      </w:r>
    </w:p>
    <w:p w:rsidR="000E4D14" w:rsidRDefault="000E4D14" w:rsidP="0040443B">
      <w:pPr>
        <w:ind w:firstLine="900"/>
        <w:jc w:val="both"/>
      </w:pPr>
      <w:r w:rsidRPr="00C421E3">
        <w:t xml:space="preserve">Рассмотренный в работе пример последствия корректировки стандартного отклонения в модели САРМ говорит о том, что полученное после корректировки более низкое значение стандартного отклонения приводит к более высокому коэффициенту степени риска  </w:t>
      </w:r>
      <w:r w:rsidRPr="009E033C">
        <w:rPr>
          <w:color w:val="000000"/>
          <w:lang w:val="en-US"/>
        </w:rPr>
        <w:t>β</w:t>
      </w:r>
      <w:r w:rsidRPr="009E033C">
        <w:rPr>
          <w:color w:val="000000"/>
        </w:rPr>
        <w:t xml:space="preserve"> </w:t>
      </w:r>
      <w:r w:rsidRPr="00C421E3">
        <w:t xml:space="preserve"> и более высокому значению требуемой доходности актива.</w:t>
      </w:r>
      <w:r w:rsidR="00AD0472">
        <w:t xml:space="preserve"> </w:t>
      </w:r>
      <w:r w:rsidRPr="00C421E3">
        <w:t xml:space="preserve"> </w:t>
      </w:r>
    </w:p>
    <w:p w:rsidR="0047730F" w:rsidRDefault="0047730F" w:rsidP="0040443B">
      <w:pPr>
        <w:ind w:firstLine="900"/>
        <w:jc w:val="both"/>
      </w:pPr>
      <w:r>
        <w:t xml:space="preserve">Зависимость риска от количества бумаг в портфеле при скорректированном стандартном отклонение также выше (более ярко выражено) нежели при не скорректированном стандартном отклонении. </w:t>
      </w: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Default="00E3126C" w:rsidP="0040443B">
      <w:pPr>
        <w:ind w:firstLine="900"/>
        <w:jc w:val="both"/>
      </w:pPr>
    </w:p>
    <w:p w:rsidR="00E3126C" w:rsidRPr="00AD0472" w:rsidRDefault="00E3126C" w:rsidP="0040443B">
      <w:pPr>
        <w:ind w:firstLine="900"/>
        <w:jc w:val="both"/>
      </w:pPr>
    </w:p>
    <w:p w:rsidR="00E3126C" w:rsidRDefault="00E3126C" w:rsidP="00E3126C">
      <w:pPr>
        <w:ind w:firstLine="900"/>
        <w:jc w:val="center"/>
        <w:rPr>
          <w:b/>
          <w:sz w:val="28"/>
          <w:szCs w:val="28"/>
        </w:rPr>
      </w:pPr>
      <w:r w:rsidRPr="00E3126C">
        <w:rPr>
          <w:b/>
          <w:sz w:val="28"/>
          <w:szCs w:val="28"/>
        </w:rPr>
        <w:t>Список используемой  литературы:</w:t>
      </w:r>
    </w:p>
    <w:p w:rsidR="00B5414B" w:rsidRDefault="00B5414B" w:rsidP="00E3126C">
      <w:pPr>
        <w:ind w:firstLine="900"/>
        <w:jc w:val="center"/>
        <w:rPr>
          <w:b/>
          <w:sz w:val="28"/>
          <w:szCs w:val="28"/>
        </w:rPr>
      </w:pPr>
    </w:p>
    <w:p w:rsidR="00B5414B" w:rsidRDefault="00B5414B" w:rsidP="00E3126C">
      <w:pPr>
        <w:ind w:firstLine="900"/>
        <w:jc w:val="center"/>
        <w:rPr>
          <w:b/>
          <w:sz w:val="28"/>
          <w:szCs w:val="28"/>
        </w:rPr>
      </w:pPr>
    </w:p>
    <w:p w:rsidR="00EE06E8" w:rsidRPr="00CB7F11" w:rsidRDefault="00CB7F11" w:rsidP="00CB7F11">
      <w:pPr>
        <w:numPr>
          <w:ilvl w:val="1"/>
          <w:numId w:val="9"/>
        </w:numPr>
        <w:tabs>
          <w:tab w:val="clear" w:pos="1440"/>
          <w:tab w:val="num" w:pos="0"/>
        </w:tabs>
        <w:ind w:left="0" w:firstLine="0"/>
        <w:rPr>
          <w:color w:val="000000"/>
        </w:rPr>
      </w:pPr>
      <w:r w:rsidRPr="002B22E2">
        <w:rPr>
          <w:lang w:val="en-US"/>
        </w:rPr>
        <w:t>http</w:t>
      </w:r>
      <w:r w:rsidRPr="002B22E2">
        <w:t>://</w:t>
      </w:r>
      <w:r w:rsidRPr="002B22E2">
        <w:rPr>
          <w:lang w:val="en-US"/>
        </w:rPr>
        <w:t>www</w:t>
      </w:r>
      <w:r w:rsidRPr="002B22E2">
        <w:t>.</w:t>
      </w:r>
      <w:r w:rsidRPr="002B22E2">
        <w:rPr>
          <w:lang w:val="en-US"/>
        </w:rPr>
        <w:t>investpark</w:t>
      </w:r>
      <w:r w:rsidRPr="002B22E2">
        <w:t>.</w:t>
      </w:r>
      <w:r w:rsidRPr="002B22E2">
        <w:rPr>
          <w:lang w:val="en-US"/>
        </w:rPr>
        <w:t>ru</w:t>
      </w:r>
      <w:r w:rsidRPr="002B22E2">
        <w:t>/?</w:t>
      </w:r>
      <w:r w:rsidRPr="002B22E2">
        <w:rPr>
          <w:lang w:val="en-US"/>
        </w:rPr>
        <w:t>m</w:t>
      </w:r>
      <w:r w:rsidRPr="002B22E2">
        <w:t>=</w:t>
      </w:r>
      <w:r w:rsidRPr="002B22E2">
        <w:rPr>
          <w:lang w:val="en-US"/>
        </w:rPr>
        <w:t>funds</w:t>
      </w:r>
      <w:r w:rsidRPr="002B22E2">
        <w:t>&amp;</w:t>
      </w:r>
      <w:r w:rsidRPr="002B22E2">
        <w:rPr>
          <w:lang w:val="en-US"/>
        </w:rPr>
        <w:t>an</w:t>
      </w:r>
      <w:r w:rsidRPr="002B22E2">
        <w:t>=203_</w:t>
      </w:r>
      <w:r w:rsidRPr="002B22E2">
        <w:rPr>
          <w:lang w:val="en-US"/>
        </w:rPr>
        <w:t>standard</w:t>
      </w:r>
      <w:r w:rsidRPr="002B22E2">
        <w:t>_</w:t>
      </w:r>
      <w:r w:rsidRPr="002B22E2">
        <w:rPr>
          <w:lang w:val="en-US"/>
        </w:rPr>
        <w:t>deviation</w:t>
      </w:r>
    </w:p>
    <w:p w:rsidR="00501526" w:rsidRPr="00501526" w:rsidRDefault="00501526" w:rsidP="00CB7F11">
      <w:pPr>
        <w:numPr>
          <w:ilvl w:val="1"/>
          <w:numId w:val="9"/>
        </w:numPr>
        <w:tabs>
          <w:tab w:val="clear" w:pos="1440"/>
          <w:tab w:val="num" w:pos="0"/>
        </w:tabs>
        <w:ind w:left="0" w:firstLine="0"/>
        <w:rPr>
          <w:color w:val="000000"/>
        </w:rPr>
      </w:pPr>
      <w:r>
        <w:rPr>
          <w:color w:val="000000"/>
          <w:lang w:val="kk-KZ"/>
        </w:rPr>
        <w:t>Электронный учебник-словарь</w:t>
      </w:r>
      <w:r>
        <w:rPr>
          <w:color w:val="000000"/>
        </w:rPr>
        <w:t>.</w:t>
      </w:r>
      <w:r w:rsidR="006579F9" w:rsidRPr="006579F9">
        <w:t xml:space="preserve"> </w:t>
      </w:r>
      <w:r w:rsidR="006579F9" w:rsidRPr="006579F9">
        <w:rPr>
          <w:color w:val="000000"/>
        </w:rPr>
        <w:t>http://www.stat</w:t>
      </w:r>
      <w:r w:rsidR="006579F9">
        <w:rPr>
          <w:color w:val="000000"/>
        </w:rPr>
        <w:t>soft.ru</w:t>
      </w:r>
    </w:p>
    <w:p w:rsidR="00CB7F11" w:rsidRPr="00794E96" w:rsidRDefault="00501526" w:rsidP="00CB7F11">
      <w:pPr>
        <w:numPr>
          <w:ilvl w:val="1"/>
          <w:numId w:val="9"/>
        </w:numPr>
        <w:tabs>
          <w:tab w:val="clear" w:pos="1440"/>
          <w:tab w:val="num" w:pos="0"/>
        </w:tabs>
        <w:ind w:left="0" w:firstLine="0"/>
        <w:rPr>
          <w:color w:val="000000"/>
        </w:rPr>
      </w:pPr>
      <w:r>
        <w:rPr>
          <w:color w:val="000000"/>
        </w:rPr>
        <w:t xml:space="preserve">Электронная энциклопедия. </w:t>
      </w:r>
      <w:r w:rsidR="00794E96" w:rsidRPr="002B22E2">
        <w:t>http://ru.wikipedia.org</w:t>
      </w:r>
    </w:p>
    <w:p w:rsidR="006E1390" w:rsidRPr="006E1390" w:rsidRDefault="006E1390" w:rsidP="00CB7F11">
      <w:pPr>
        <w:numPr>
          <w:ilvl w:val="1"/>
          <w:numId w:val="9"/>
        </w:numPr>
        <w:tabs>
          <w:tab w:val="clear" w:pos="1440"/>
          <w:tab w:val="num" w:pos="0"/>
        </w:tabs>
        <w:ind w:left="0" w:firstLine="0"/>
        <w:rPr>
          <w:color w:val="000000"/>
        </w:rPr>
      </w:pPr>
      <w:r>
        <w:rPr>
          <w:color w:val="000000"/>
          <w:lang w:val="en-US"/>
        </w:rPr>
        <w:t>Forex</w:t>
      </w:r>
      <w:r w:rsidRPr="006E1390">
        <w:rPr>
          <w:color w:val="000000"/>
        </w:rPr>
        <w:t xml:space="preserve"> </w:t>
      </w:r>
      <w:r>
        <w:rPr>
          <w:color w:val="000000"/>
          <w:lang w:val="en-US"/>
        </w:rPr>
        <w:t>Magazine</w:t>
      </w:r>
      <w:r w:rsidRPr="006E1390">
        <w:rPr>
          <w:color w:val="000000"/>
        </w:rPr>
        <w:t xml:space="preserve"> </w:t>
      </w:r>
      <w:r>
        <w:rPr>
          <w:color w:val="000000"/>
          <w:lang w:val="kk-KZ"/>
        </w:rPr>
        <w:t xml:space="preserve">по материала </w:t>
      </w:r>
      <w:r>
        <w:rPr>
          <w:color w:val="000000"/>
          <w:lang w:val="en-US"/>
        </w:rPr>
        <w:t>stockcharts</w:t>
      </w:r>
      <w:r w:rsidRPr="006E1390">
        <w:rPr>
          <w:color w:val="000000"/>
        </w:rPr>
        <w:t>.</w:t>
      </w:r>
      <w:r>
        <w:rPr>
          <w:color w:val="000000"/>
          <w:lang w:val="en-US"/>
        </w:rPr>
        <w:t>com</w:t>
      </w:r>
    </w:p>
    <w:p w:rsidR="00794E96" w:rsidRPr="00C07C36" w:rsidRDefault="00794E96" w:rsidP="00CB7F11">
      <w:pPr>
        <w:numPr>
          <w:ilvl w:val="1"/>
          <w:numId w:val="9"/>
        </w:numPr>
        <w:tabs>
          <w:tab w:val="clear" w:pos="1440"/>
          <w:tab w:val="num" w:pos="0"/>
        </w:tabs>
        <w:ind w:left="0" w:firstLine="0"/>
        <w:rPr>
          <w:color w:val="000000"/>
        </w:rPr>
      </w:pPr>
      <w:r>
        <w:rPr>
          <w:color w:val="000000"/>
          <w:lang w:val="kk-KZ"/>
        </w:rPr>
        <w:t>Яндиев М</w:t>
      </w:r>
      <w:r>
        <w:rPr>
          <w:color w:val="000000"/>
        </w:rPr>
        <w:t>.И.- Финансовые рынки и корпоративные финансы.- Москва -2007, МГУ им. М.В. Ломоносова, стр.15</w:t>
      </w:r>
    </w:p>
    <w:p w:rsidR="00C07C36" w:rsidRPr="00C07C36" w:rsidRDefault="00C07C36" w:rsidP="00CB7F11">
      <w:pPr>
        <w:numPr>
          <w:ilvl w:val="1"/>
          <w:numId w:val="9"/>
        </w:numPr>
        <w:tabs>
          <w:tab w:val="clear" w:pos="1440"/>
          <w:tab w:val="num" w:pos="0"/>
        </w:tabs>
        <w:ind w:left="0" w:firstLine="0"/>
        <w:rPr>
          <w:color w:val="000000"/>
        </w:rPr>
      </w:pPr>
      <w:r>
        <w:rPr>
          <w:color w:val="000000"/>
          <w:lang w:val="kk-KZ"/>
        </w:rPr>
        <w:t>Электронная энциклопедиа</w:t>
      </w:r>
    </w:p>
    <w:p w:rsidR="00C07C36" w:rsidRPr="006579F9" w:rsidRDefault="006579F9" w:rsidP="00CB7F11">
      <w:pPr>
        <w:numPr>
          <w:ilvl w:val="1"/>
          <w:numId w:val="9"/>
        </w:numPr>
        <w:tabs>
          <w:tab w:val="clear" w:pos="1440"/>
          <w:tab w:val="num" w:pos="0"/>
        </w:tabs>
        <w:ind w:left="0" w:firstLine="0"/>
        <w:rPr>
          <w:color w:val="000000"/>
        </w:rPr>
      </w:pPr>
      <w:r w:rsidRPr="002B22E2">
        <w:t>http://www.investpark.ru</w:t>
      </w:r>
    </w:p>
    <w:p w:rsidR="00145C43" w:rsidRPr="00145C43" w:rsidRDefault="00145C43" w:rsidP="00145C43">
      <w:pPr>
        <w:numPr>
          <w:ilvl w:val="1"/>
          <w:numId w:val="9"/>
        </w:numPr>
        <w:tabs>
          <w:tab w:val="clear" w:pos="1440"/>
          <w:tab w:val="num" w:pos="0"/>
        </w:tabs>
        <w:ind w:left="0" w:firstLine="0"/>
        <w:rPr>
          <w:color w:val="000000"/>
        </w:rPr>
      </w:pPr>
      <w:r w:rsidRPr="002B22E2">
        <w:t>http://college.biysk.secna.ru</w:t>
      </w:r>
    </w:p>
    <w:p w:rsidR="00145C43" w:rsidRPr="00145C43" w:rsidRDefault="00145C43" w:rsidP="00CB7F11">
      <w:pPr>
        <w:numPr>
          <w:ilvl w:val="1"/>
          <w:numId w:val="9"/>
        </w:numPr>
        <w:tabs>
          <w:tab w:val="clear" w:pos="1440"/>
          <w:tab w:val="num" w:pos="0"/>
        </w:tabs>
        <w:ind w:left="0" w:firstLine="0"/>
        <w:rPr>
          <w:color w:val="000000"/>
        </w:rPr>
      </w:pPr>
      <w:r w:rsidRPr="002B22E2">
        <w:rPr>
          <w:lang w:val="en-US"/>
        </w:rPr>
        <w:t>www</w:t>
      </w:r>
      <w:r w:rsidRPr="002B22E2">
        <w:t>.</w:t>
      </w:r>
      <w:r w:rsidRPr="002B22E2">
        <w:rPr>
          <w:lang w:val="en-US"/>
        </w:rPr>
        <w:t>metaquotes</w:t>
      </w:r>
      <w:r w:rsidRPr="002B22E2">
        <w:t>.</w:t>
      </w:r>
      <w:r w:rsidRPr="002B22E2">
        <w:rPr>
          <w:lang w:val="en-US"/>
        </w:rPr>
        <w:t>ru</w:t>
      </w:r>
      <w:r w:rsidRPr="002B22E2">
        <w:t>/</w:t>
      </w:r>
      <w:r w:rsidRPr="002B22E2">
        <w:rPr>
          <w:lang w:val="en-US"/>
        </w:rPr>
        <w:t>techanalysis</w:t>
      </w:r>
      <w:r w:rsidRPr="002B22E2">
        <w:t>/</w:t>
      </w:r>
      <w:r w:rsidRPr="002B22E2">
        <w:rPr>
          <w:lang w:val="en-US"/>
        </w:rPr>
        <w:t>standard</w:t>
      </w:r>
      <w:r w:rsidRPr="00145C43">
        <w:rPr>
          <w:color w:val="000000"/>
        </w:rPr>
        <w:t>_</w:t>
      </w:r>
      <w:r>
        <w:rPr>
          <w:color w:val="000000"/>
          <w:lang w:val="en-US"/>
        </w:rPr>
        <w:t>deviation</w:t>
      </w:r>
      <w:r w:rsidRPr="00145C43">
        <w:rPr>
          <w:color w:val="000000"/>
        </w:rPr>
        <w:t>_</w:t>
      </w:r>
      <w:r>
        <w:rPr>
          <w:color w:val="000000"/>
          <w:lang w:val="en-US"/>
        </w:rPr>
        <w:t>channel</w:t>
      </w:r>
      <w:r w:rsidRPr="00145C43">
        <w:rPr>
          <w:color w:val="000000"/>
        </w:rPr>
        <w:t xml:space="preserve"> </w:t>
      </w:r>
    </w:p>
    <w:p w:rsidR="00145C43" w:rsidRPr="00145C43" w:rsidRDefault="00145C43" w:rsidP="00CB7F11">
      <w:pPr>
        <w:numPr>
          <w:ilvl w:val="1"/>
          <w:numId w:val="9"/>
        </w:numPr>
        <w:tabs>
          <w:tab w:val="clear" w:pos="1440"/>
          <w:tab w:val="num" w:pos="0"/>
        </w:tabs>
        <w:ind w:left="0" w:firstLine="0"/>
        <w:rPr>
          <w:color w:val="000000"/>
        </w:rPr>
      </w:pPr>
      <w:r w:rsidRPr="002B22E2">
        <w:t>www.metaquotes.ru/techanalysis/</w:t>
      </w:r>
      <w:r w:rsidRPr="002B22E2">
        <w:rPr>
          <w:lang w:val="en-US"/>
        </w:rPr>
        <w:t>support</w:t>
      </w:r>
    </w:p>
    <w:p w:rsidR="00145C43" w:rsidRPr="009F2F8E" w:rsidRDefault="009F2F8E" w:rsidP="00CB7F11">
      <w:pPr>
        <w:numPr>
          <w:ilvl w:val="1"/>
          <w:numId w:val="9"/>
        </w:numPr>
        <w:tabs>
          <w:tab w:val="clear" w:pos="1440"/>
          <w:tab w:val="num" w:pos="0"/>
        </w:tabs>
        <w:ind w:left="0" w:firstLine="0"/>
        <w:rPr>
          <w:color w:val="000000"/>
        </w:rPr>
      </w:pPr>
      <w:r w:rsidRPr="002B22E2">
        <w:rPr>
          <w:lang w:val="en-US"/>
        </w:rPr>
        <w:t>www.metaquotes.ru/techanalysis/bollinjer</w:t>
      </w:r>
    </w:p>
    <w:p w:rsidR="009F2F8E" w:rsidRPr="00C07C36" w:rsidRDefault="009F2F8E" w:rsidP="009F2F8E">
      <w:pPr>
        <w:numPr>
          <w:ilvl w:val="1"/>
          <w:numId w:val="9"/>
        </w:numPr>
        <w:tabs>
          <w:tab w:val="clear" w:pos="1440"/>
          <w:tab w:val="num" w:pos="0"/>
        </w:tabs>
        <w:ind w:left="0" w:firstLine="0"/>
        <w:rPr>
          <w:color w:val="000000"/>
        </w:rPr>
      </w:pPr>
      <w:r>
        <w:rPr>
          <w:color w:val="000000"/>
          <w:lang w:val="kk-KZ"/>
        </w:rPr>
        <w:t>Яндиев М</w:t>
      </w:r>
      <w:r>
        <w:rPr>
          <w:color w:val="000000"/>
        </w:rPr>
        <w:t>.И.- Финансовые рынки и корпоративные финансы.- Москва -2007, МГУ им. М.В. Ломоносова, с</w:t>
      </w:r>
      <w:r>
        <w:rPr>
          <w:color w:val="000000"/>
          <w:lang w:val="kk-KZ"/>
        </w:rPr>
        <w:t>тр</w:t>
      </w:r>
      <w:r>
        <w:rPr>
          <w:color w:val="000000"/>
        </w:rPr>
        <w:t>.72</w:t>
      </w:r>
    </w:p>
    <w:p w:rsidR="001D2D55" w:rsidRPr="00C07C36" w:rsidRDefault="001D2D55" w:rsidP="001D2D55">
      <w:pPr>
        <w:numPr>
          <w:ilvl w:val="1"/>
          <w:numId w:val="9"/>
        </w:numPr>
        <w:tabs>
          <w:tab w:val="clear" w:pos="1440"/>
          <w:tab w:val="num" w:pos="0"/>
        </w:tabs>
        <w:ind w:left="0" w:firstLine="0"/>
        <w:rPr>
          <w:color w:val="000000"/>
        </w:rPr>
      </w:pPr>
      <w:r>
        <w:rPr>
          <w:color w:val="000000"/>
          <w:lang w:val="kk-KZ"/>
        </w:rPr>
        <w:t>Яндиев М</w:t>
      </w:r>
      <w:r>
        <w:rPr>
          <w:color w:val="000000"/>
        </w:rPr>
        <w:t>.И.- Финансовые рынки и корпоративные финансы.- Москва -2007, МГУ им. М.В. Ломоносова, с</w:t>
      </w:r>
      <w:r>
        <w:rPr>
          <w:color w:val="000000"/>
          <w:lang w:val="kk-KZ"/>
        </w:rPr>
        <w:t>тр</w:t>
      </w:r>
      <w:r>
        <w:rPr>
          <w:color w:val="000000"/>
        </w:rPr>
        <w:t>.</w:t>
      </w:r>
      <w:r>
        <w:rPr>
          <w:color w:val="000000"/>
          <w:lang w:val="en-US"/>
        </w:rPr>
        <w:t>25</w:t>
      </w:r>
    </w:p>
    <w:p w:rsidR="001D2D55" w:rsidRPr="00C07C36" w:rsidRDefault="001D2D55" w:rsidP="001D2D55">
      <w:pPr>
        <w:numPr>
          <w:ilvl w:val="1"/>
          <w:numId w:val="9"/>
        </w:numPr>
        <w:tabs>
          <w:tab w:val="clear" w:pos="1440"/>
          <w:tab w:val="num" w:pos="0"/>
        </w:tabs>
        <w:ind w:left="0" w:firstLine="0"/>
        <w:rPr>
          <w:color w:val="000000"/>
        </w:rPr>
      </w:pPr>
      <w:r>
        <w:rPr>
          <w:color w:val="000000"/>
          <w:lang w:val="kk-KZ"/>
        </w:rPr>
        <w:t>Яндиев М</w:t>
      </w:r>
      <w:r>
        <w:rPr>
          <w:color w:val="000000"/>
        </w:rPr>
        <w:t>.И.- Финансовые рынки и корпоративные финансы.- Москва -2007, МГУ им. М.В. Ломоносова, с</w:t>
      </w:r>
      <w:r>
        <w:rPr>
          <w:color w:val="000000"/>
          <w:lang w:val="kk-KZ"/>
        </w:rPr>
        <w:t>тр</w:t>
      </w:r>
      <w:r>
        <w:rPr>
          <w:color w:val="000000"/>
        </w:rPr>
        <w:t>.</w:t>
      </w:r>
      <w:r>
        <w:rPr>
          <w:color w:val="000000"/>
          <w:lang w:val="en-US"/>
        </w:rPr>
        <w:t>31</w:t>
      </w:r>
    </w:p>
    <w:p w:rsidR="00342546" w:rsidRPr="00C07C36" w:rsidRDefault="00342546" w:rsidP="00342546">
      <w:pPr>
        <w:numPr>
          <w:ilvl w:val="1"/>
          <w:numId w:val="9"/>
        </w:numPr>
        <w:tabs>
          <w:tab w:val="clear" w:pos="1440"/>
          <w:tab w:val="num" w:pos="0"/>
        </w:tabs>
        <w:ind w:left="0" w:firstLine="0"/>
        <w:rPr>
          <w:color w:val="000000"/>
        </w:rPr>
      </w:pPr>
      <w:r>
        <w:rPr>
          <w:color w:val="000000"/>
          <w:lang w:val="kk-KZ"/>
        </w:rPr>
        <w:t>Яндиев М</w:t>
      </w:r>
      <w:r>
        <w:rPr>
          <w:color w:val="000000"/>
        </w:rPr>
        <w:t>.И.- Финансовые рынки и корпоративные финансы.- Москва -2007, МГУ им. М.В. Ломоносова, с</w:t>
      </w:r>
      <w:r>
        <w:rPr>
          <w:color w:val="000000"/>
          <w:lang w:val="kk-KZ"/>
        </w:rPr>
        <w:t>тр</w:t>
      </w:r>
      <w:r>
        <w:rPr>
          <w:color w:val="000000"/>
        </w:rPr>
        <w:t>.</w:t>
      </w:r>
      <w:r>
        <w:rPr>
          <w:color w:val="000000"/>
          <w:lang w:val="en-US"/>
        </w:rPr>
        <w:t xml:space="preserve"> 72</w:t>
      </w:r>
    </w:p>
    <w:p w:rsidR="009F2F8E" w:rsidRPr="008C7156" w:rsidRDefault="003C6F9C" w:rsidP="00CB7F11">
      <w:pPr>
        <w:numPr>
          <w:ilvl w:val="1"/>
          <w:numId w:val="9"/>
        </w:numPr>
        <w:tabs>
          <w:tab w:val="clear" w:pos="1440"/>
          <w:tab w:val="num" w:pos="0"/>
        </w:tabs>
        <w:ind w:left="0" w:firstLine="0"/>
        <w:rPr>
          <w:color w:val="000000"/>
        </w:rPr>
      </w:pPr>
      <w:r>
        <w:rPr>
          <w:color w:val="000000"/>
          <w:lang w:val="kk-KZ"/>
        </w:rPr>
        <w:t>Кремер Н.Ш.- Теория вероятностей и математическая статистика.- М: Юнити-Диана, 2002. – 543 с.</w:t>
      </w:r>
    </w:p>
    <w:p w:rsidR="008C7156" w:rsidRPr="00C07C36" w:rsidRDefault="008C7156" w:rsidP="008C7156">
      <w:pPr>
        <w:numPr>
          <w:ilvl w:val="1"/>
          <w:numId w:val="9"/>
        </w:numPr>
        <w:tabs>
          <w:tab w:val="clear" w:pos="1440"/>
          <w:tab w:val="num" w:pos="0"/>
        </w:tabs>
        <w:ind w:left="0" w:firstLine="0"/>
        <w:rPr>
          <w:color w:val="000000"/>
        </w:rPr>
      </w:pPr>
      <w:r>
        <w:rPr>
          <w:color w:val="000000"/>
          <w:lang w:val="kk-KZ"/>
        </w:rPr>
        <w:t>Яндиев М</w:t>
      </w:r>
      <w:r>
        <w:rPr>
          <w:color w:val="000000"/>
        </w:rPr>
        <w:t>.И.- Финансовые рынки и корпоративные финансы.- Москва -2007, МГУ им. М.В. Ломоносова, с</w:t>
      </w:r>
      <w:r>
        <w:rPr>
          <w:color w:val="000000"/>
          <w:lang w:val="kk-KZ"/>
        </w:rPr>
        <w:t>тр</w:t>
      </w:r>
      <w:r>
        <w:rPr>
          <w:color w:val="000000"/>
        </w:rPr>
        <w:t>.</w:t>
      </w:r>
      <w:r w:rsidRPr="008C7156">
        <w:rPr>
          <w:color w:val="000000"/>
        </w:rPr>
        <w:t xml:space="preserve"> 72</w:t>
      </w:r>
    </w:p>
    <w:p w:rsidR="008C7156" w:rsidRPr="00145C43" w:rsidRDefault="008C7156" w:rsidP="008C7156">
      <w:pPr>
        <w:rPr>
          <w:color w:val="000000"/>
        </w:rPr>
      </w:pPr>
      <w:bookmarkStart w:id="0" w:name="_GoBack"/>
      <w:bookmarkEnd w:id="0"/>
    </w:p>
    <w:sectPr w:rsidR="008C7156" w:rsidRPr="00145C43">
      <w:footerReference w:type="even" r:id="rId27"/>
      <w:foot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B3" w:rsidRDefault="00C44FB3">
      <w:r>
        <w:separator/>
      </w:r>
    </w:p>
  </w:endnote>
  <w:endnote w:type="continuationSeparator" w:id="0">
    <w:p w:rsidR="00C44FB3" w:rsidRDefault="00C4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A50" w:rsidRDefault="00FC3A50" w:rsidP="00D92ED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C3A50" w:rsidRDefault="00FC3A5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A50" w:rsidRDefault="00FC3A50" w:rsidP="00D92ED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7730F">
      <w:rPr>
        <w:rStyle w:val="a8"/>
        <w:noProof/>
      </w:rPr>
      <w:t>20</w:t>
    </w:r>
    <w:r>
      <w:rPr>
        <w:rStyle w:val="a8"/>
      </w:rPr>
      <w:fldChar w:fldCharType="end"/>
    </w:r>
  </w:p>
  <w:p w:rsidR="00FC3A50" w:rsidRDefault="00FC3A5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B3" w:rsidRDefault="00C44FB3">
      <w:r>
        <w:separator/>
      </w:r>
    </w:p>
  </w:footnote>
  <w:footnote w:type="continuationSeparator" w:id="0">
    <w:p w:rsidR="00C44FB3" w:rsidRDefault="00C44F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7A16"/>
    <w:multiLevelType w:val="multilevel"/>
    <w:tmpl w:val="CD4EA1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7E0487"/>
    <w:multiLevelType w:val="multilevel"/>
    <w:tmpl w:val="833C13B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07205EF"/>
    <w:multiLevelType w:val="hybridMultilevel"/>
    <w:tmpl w:val="B838D74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0E5466F"/>
    <w:multiLevelType w:val="hybridMultilevel"/>
    <w:tmpl w:val="A370A07C"/>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
    <w:nsid w:val="1B523FD9"/>
    <w:multiLevelType w:val="hybridMultilevel"/>
    <w:tmpl w:val="833C13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B4312E"/>
    <w:multiLevelType w:val="multilevel"/>
    <w:tmpl w:val="13D2A1B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0BB6673"/>
    <w:multiLevelType w:val="multilevel"/>
    <w:tmpl w:val="50983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651DF1"/>
    <w:multiLevelType w:val="multilevel"/>
    <w:tmpl w:val="9A68184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EF76342"/>
    <w:multiLevelType w:val="multilevel"/>
    <w:tmpl w:val="340029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8449DC"/>
    <w:multiLevelType w:val="hybridMultilevel"/>
    <w:tmpl w:val="29120036"/>
    <w:lvl w:ilvl="0" w:tplc="1FE294F6">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85B0318"/>
    <w:multiLevelType w:val="multilevel"/>
    <w:tmpl w:val="B9EE5D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E501B0"/>
    <w:multiLevelType w:val="hybridMultilevel"/>
    <w:tmpl w:val="9A3C9F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1CC58C3"/>
    <w:multiLevelType w:val="multilevel"/>
    <w:tmpl w:val="05F03E4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34706F6"/>
    <w:multiLevelType w:val="multilevel"/>
    <w:tmpl w:val="08C4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815248"/>
    <w:multiLevelType w:val="multilevel"/>
    <w:tmpl w:val="C6B00A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0806B39"/>
    <w:multiLevelType w:val="multilevel"/>
    <w:tmpl w:val="833C13B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0C22FFD"/>
    <w:multiLevelType w:val="hybridMultilevel"/>
    <w:tmpl w:val="51AEDC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24E1891"/>
    <w:multiLevelType w:val="multilevel"/>
    <w:tmpl w:val="660672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0"/>
  </w:num>
  <w:num w:numId="3">
    <w:abstractNumId w:val="4"/>
  </w:num>
  <w:num w:numId="4">
    <w:abstractNumId w:val="5"/>
  </w:num>
  <w:num w:numId="5">
    <w:abstractNumId w:val="12"/>
  </w:num>
  <w:num w:numId="6">
    <w:abstractNumId w:val="13"/>
  </w:num>
  <w:num w:numId="7">
    <w:abstractNumId w:val="2"/>
  </w:num>
  <w:num w:numId="8">
    <w:abstractNumId w:val="8"/>
  </w:num>
  <w:num w:numId="9">
    <w:abstractNumId w:val="6"/>
  </w:num>
  <w:num w:numId="10">
    <w:abstractNumId w:val="11"/>
  </w:num>
  <w:num w:numId="11">
    <w:abstractNumId w:val="1"/>
  </w:num>
  <w:num w:numId="12">
    <w:abstractNumId w:val="15"/>
  </w:num>
  <w:num w:numId="13">
    <w:abstractNumId w:val="3"/>
  </w:num>
  <w:num w:numId="14">
    <w:abstractNumId w:val="7"/>
  </w:num>
  <w:num w:numId="15">
    <w:abstractNumId w:val="17"/>
  </w:num>
  <w:num w:numId="16">
    <w:abstractNumId w:val="9"/>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54BD"/>
    <w:rsid w:val="00002D10"/>
    <w:rsid w:val="00015864"/>
    <w:rsid w:val="000312FE"/>
    <w:rsid w:val="0003760E"/>
    <w:rsid w:val="00037AE3"/>
    <w:rsid w:val="0004550E"/>
    <w:rsid w:val="00060B1F"/>
    <w:rsid w:val="0006250B"/>
    <w:rsid w:val="00071299"/>
    <w:rsid w:val="00081311"/>
    <w:rsid w:val="000B0190"/>
    <w:rsid w:val="000B448E"/>
    <w:rsid w:val="000D7BA5"/>
    <w:rsid w:val="000E4D14"/>
    <w:rsid w:val="00101FB5"/>
    <w:rsid w:val="0013668F"/>
    <w:rsid w:val="0014268C"/>
    <w:rsid w:val="00145C43"/>
    <w:rsid w:val="0016255A"/>
    <w:rsid w:val="00163DFB"/>
    <w:rsid w:val="0018295A"/>
    <w:rsid w:val="0018448D"/>
    <w:rsid w:val="0019014C"/>
    <w:rsid w:val="0019712A"/>
    <w:rsid w:val="001B63AE"/>
    <w:rsid w:val="001B7634"/>
    <w:rsid w:val="001C0B23"/>
    <w:rsid w:val="001D2D55"/>
    <w:rsid w:val="001E476C"/>
    <w:rsid w:val="00207824"/>
    <w:rsid w:val="00215611"/>
    <w:rsid w:val="00215B4D"/>
    <w:rsid w:val="00217837"/>
    <w:rsid w:val="0022361D"/>
    <w:rsid w:val="002254C8"/>
    <w:rsid w:val="00226FFF"/>
    <w:rsid w:val="00231250"/>
    <w:rsid w:val="0024025F"/>
    <w:rsid w:val="00255D69"/>
    <w:rsid w:val="00267445"/>
    <w:rsid w:val="00271BC5"/>
    <w:rsid w:val="002A6E38"/>
    <w:rsid w:val="002B22E2"/>
    <w:rsid w:val="002F7644"/>
    <w:rsid w:val="003004C5"/>
    <w:rsid w:val="0030461D"/>
    <w:rsid w:val="00307409"/>
    <w:rsid w:val="003078CA"/>
    <w:rsid w:val="0032209F"/>
    <w:rsid w:val="00337B05"/>
    <w:rsid w:val="00340745"/>
    <w:rsid w:val="00342546"/>
    <w:rsid w:val="003530D6"/>
    <w:rsid w:val="003606A2"/>
    <w:rsid w:val="00375DB8"/>
    <w:rsid w:val="00384FD0"/>
    <w:rsid w:val="00395313"/>
    <w:rsid w:val="003B7CB9"/>
    <w:rsid w:val="003C6F9C"/>
    <w:rsid w:val="003D1B20"/>
    <w:rsid w:val="003E4657"/>
    <w:rsid w:val="003E4821"/>
    <w:rsid w:val="003E4A57"/>
    <w:rsid w:val="003F1A0C"/>
    <w:rsid w:val="00401137"/>
    <w:rsid w:val="0040443B"/>
    <w:rsid w:val="0043484E"/>
    <w:rsid w:val="00445A88"/>
    <w:rsid w:val="00460E6F"/>
    <w:rsid w:val="00473573"/>
    <w:rsid w:val="0047730F"/>
    <w:rsid w:val="004773E4"/>
    <w:rsid w:val="004A1857"/>
    <w:rsid w:val="004B25C2"/>
    <w:rsid w:val="004C3030"/>
    <w:rsid w:val="004D7EF2"/>
    <w:rsid w:val="00501526"/>
    <w:rsid w:val="00501C9A"/>
    <w:rsid w:val="00522397"/>
    <w:rsid w:val="0052380E"/>
    <w:rsid w:val="00534FD6"/>
    <w:rsid w:val="005377E7"/>
    <w:rsid w:val="005705EA"/>
    <w:rsid w:val="00580E11"/>
    <w:rsid w:val="00596666"/>
    <w:rsid w:val="005A0997"/>
    <w:rsid w:val="005B12BE"/>
    <w:rsid w:val="005B1865"/>
    <w:rsid w:val="005B22D8"/>
    <w:rsid w:val="005C0DC7"/>
    <w:rsid w:val="005C54B5"/>
    <w:rsid w:val="005C7BB0"/>
    <w:rsid w:val="005E5056"/>
    <w:rsid w:val="00605F89"/>
    <w:rsid w:val="00620009"/>
    <w:rsid w:val="00625332"/>
    <w:rsid w:val="00625412"/>
    <w:rsid w:val="00653195"/>
    <w:rsid w:val="006579F9"/>
    <w:rsid w:val="006765D5"/>
    <w:rsid w:val="006A20CB"/>
    <w:rsid w:val="006C42A9"/>
    <w:rsid w:val="006C4389"/>
    <w:rsid w:val="006E1390"/>
    <w:rsid w:val="006E4E91"/>
    <w:rsid w:val="006E5D14"/>
    <w:rsid w:val="006E5F75"/>
    <w:rsid w:val="006F078B"/>
    <w:rsid w:val="00700A8B"/>
    <w:rsid w:val="007041DE"/>
    <w:rsid w:val="007174DB"/>
    <w:rsid w:val="00732EBC"/>
    <w:rsid w:val="007522F6"/>
    <w:rsid w:val="00756BB6"/>
    <w:rsid w:val="00774C59"/>
    <w:rsid w:val="00780EEA"/>
    <w:rsid w:val="0078289A"/>
    <w:rsid w:val="00794E96"/>
    <w:rsid w:val="007B54BD"/>
    <w:rsid w:val="007C72F6"/>
    <w:rsid w:val="007E0FDC"/>
    <w:rsid w:val="007F4FF1"/>
    <w:rsid w:val="008065AD"/>
    <w:rsid w:val="00807274"/>
    <w:rsid w:val="0082793B"/>
    <w:rsid w:val="008361EA"/>
    <w:rsid w:val="008369D9"/>
    <w:rsid w:val="00837945"/>
    <w:rsid w:val="00845321"/>
    <w:rsid w:val="00845945"/>
    <w:rsid w:val="008638BC"/>
    <w:rsid w:val="00864C8A"/>
    <w:rsid w:val="00874E67"/>
    <w:rsid w:val="00884A91"/>
    <w:rsid w:val="008C7156"/>
    <w:rsid w:val="00915A99"/>
    <w:rsid w:val="009B7651"/>
    <w:rsid w:val="009C3C99"/>
    <w:rsid w:val="009E033C"/>
    <w:rsid w:val="009F2F8E"/>
    <w:rsid w:val="00A0743F"/>
    <w:rsid w:val="00A21735"/>
    <w:rsid w:val="00A4331A"/>
    <w:rsid w:val="00A53ACE"/>
    <w:rsid w:val="00A561F1"/>
    <w:rsid w:val="00A7001A"/>
    <w:rsid w:val="00A73C82"/>
    <w:rsid w:val="00A76E05"/>
    <w:rsid w:val="00A92689"/>
    <w:rsid w:val="00A94E2A"/>
    <w:rsid w:val="00AC03C5"/>
    <w:rsid w:val="00AC2C0E"/>
    <w:rsid w:val="00AC38B5"/>
    <w:rsid w:val="00AC3A66"/>
    <w:rsid w:val="00AD0472"/>
    <w:rsid w:val="00AD1D15"/>
    <w:rsid w:val="00AF398B"/>
    <w:rsid w:val="00B02173"/>
    <w:rsid w:val="00B21EA8"/>
    <w:rsid w:val="00B269F9"/>
    <w:rsid w:val="00B502EB"/>
    <w:rsid w:val="00B52DEE"/>
    <w:rsid w:val="00B5414B"/>
    <w:rsid w:val="00B676A0"/>
    <w:rsid w:val="00B8159D"/>
    <w:rsid w:val="00B95049"/>
    <w:rsid w:val="00BD0D66"/>
    <w:rsid w:val="00BF5A88"/>
    <w:rsid w:val="00BF5CFB"/>
    <w:rsid w:val="00C0323C"/>
    <w:rsid w:val="00C07C36"/>
    <w:rsid w:val="00C20BCF"/>
    <w:rsid w:val="00C34976"/>
    <w:rsid w:val="00C421E3"/>
    <w:rsid w:val="00C44FB3"/>
    <w:rsid w:val="00C45181"/>
    <w:rsid w:val="00C6041A"/>
    <w:rsid w:val="00CB7F11"/>
    <w:rsid w:val="00CC6AD4"/>
    <w:rsid w:val="00CD4969"/>
    <w:rsid w:val="00CD74F2"/>
    <w:rsid w:val="00CE362E"/>
    <w:rsid w:val="00D04165"/>
    <w:rsid w:val="00D27488"/>
    <w:rsid w:val="00D329A3"/>
    <w:rsid w:val="00D40264"/>
    <w:rsid w:val="00D51A31"/>
    <w:rsid w:val="00D66DB2"/>
    <w:rsid w:val="00D8138E"/>
    <w:rsid w:val="00D8508F"/>
    <w:rsid w:val="00D86E11"/>
    <w:rsid w:val="00D92ED9"/>
    <w:rsid w:val="00DA4D6A"/>
    <w:rsid w:val="00DD34AB"/>
    <w:rsid w:val="00DE5CBB"/>
    <w:rsid w:val="00DF45C5"/>
    <w:rsid w:val="00E044F9"/>
    <w:rsid w:val="00E11D79"/>
    <w:rsid w:val="00E1620F"/>
    <w:rsid w:val="00E26475"/>
    <w:rsid w:val="00E3126C"/>
    <w:rsid w:val="00E327CD"/>
    <w:rsid w:val="00E51CC8"/>
    <w:rsid w:val="00E614D6"/>
    <w:rsid w:val="00E667A2"/>
    <w:rsid w:val="00E672E5"/>
    <w:rsid w:val="00E7037D"/>
    <w:rsid w:val="00E934C1"/>
    <w:rsid w:val="00E96385"/>
    <w:rsid w:val="00E971C7"/>
    <w:rsid w:val="00EA7B4B"/>
    <w:rsid w:val="00ED7DE6"/>
    <w:rsid w:val="00EE06E8"/>
    <w:rsid w:val="00EF0E2C"/>
    <w:rsid w:val="00F01A38"/>
    <w:rsid w:val="00F22914"/>
    <w:rsid w:val="00F25014"/>
    <w:rsid w:val="00F35049"/>
    <w:rsid w:val="00F62107"/>
    <w:rsid w:val="00F631CE"/>
    <w:rsid w:val="00F702E8"/>
    <w:rsid w:val="00F82C40"/>
    <w:rsid w:val="00F87D79"/>
    <w:rsid w:val="00F9498E"/>
    <w:rsid w:val="00FA5DA8"/>
    <w:rsid w:val="00FC3A50"/>
    <w:rsid w:val="00FC4C40"/>
    <w:rsid w:val="00FD2739"/>
    <w:rsid w:val="00FD35E0"/>
    <w:rsid w:val="00FE10DC"/>
    <w:rsid w:val="00FF2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87"/>
    <o:shapelayout v:ext="edit">
      <o:idmap v:ext="edit" data="1"/>
    </o:shapelayout>
  </w:shapeDefaults>
  <w:decimalSymbol w:val=","/>
  <w:listSeparator w:val=";"/>
  <w15:chartTrackingRefBased/>
  <w15:docId w15:val="{8D6FBA76-7F09-4DEE-A983-8D6CD118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qFormat/>
    <w:rsid w:val="00B8159D"/>
    <w:pPr>
      <w:spacing w:before="100" w:beforeAutospacing="1" w:after="100" w:afterAutospacing="1"/>
      <w:outlineLvl w:val="3"/>
    </w:pPr>
    <w:rPr>
      <w:b/>
      <w:bCs/>
    </w:rPr>
  </w:style>
  <w:style w:type="paragraph" w:styleId="5">
    <w:name w:val="heading 5"/>
    <w:basedOn w:val="a"/>
    <w:next w:val="a"/>
    <w:qFormat/>
    <w:rsid w:val="002254C8"/>
    <w:pPr>
      <w:spacing w:before="240" w:after="60"/>
      <w:outlineLvl w:val="4"/>
    </w:pPr>
    <w:rPr>
      <w:b/>
      <w:bCs/>
      <w:i/>
      <w:iCs/>
      <w:sz w:val="26"/>
      <w:szCs w:val="26"/>
    </w:rPr>
  </w:style>
  <w:style w:type="paragraph" w:styleId="6">
    <w:name w:val="heading 6"/>
    <w:basedOn w:val="a"/>
    <w:next w:val="a"/>
    <w:qFormat/>
    <w:rsid w:val="002254C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614D6"/>
    <w:pPr>
      <w:spacing w:before="100" w:beforeAutospacing="1" w:after="100" w:afterAutospacing="1"/>
    </w:pPr>
  </w:style>
  <w:style w:type="character" w:styleId="a4">
    <w:name w:val="Hyperlink"/>
    <w:basedOn w:val="a0"/>
    <w:rsid w:val="00E614D6"/>
    <w:rPr>
      <w:color w:val="0000FF"/>
      <w:u w:val="single"/>
    </w:rPr>
  </w:style>
  <w:style w:type="character" w:styleId="a5">
    <w:name w:val="Strong"/>
    <w:basedOn w:val="a0"/>
    <w:qFormat/>
    <w:rsid w:val="00E614D6"/>
    <w:rPr>
      <w:b/>
      <w:bCs/>
    </w:rPr>
  </w:style>
  <w:style w:type="character" w:styleId="a6">
    <w:name w:val="Emphasis"/>
    <w:basedOn w:val="a0"/>
    <w:qFormat/>
    <w:rsid w:val="000B448E"/>
    <w:rPr>
      <w:i/>
      <w:iCs/>
    </w:rPr>
  </w:style>
  <w:style w:type="character" w:customStyle="1" w:styleId="cyfra">
    <w:name w:val="cyfra"/>
    <w:basedOn w:val="a0"/>
    <w:rsid w:val="002254C8"/>
  </w:style>
  <w:style w:type="paragraph" w:styleId="a7">
    <w:name w:val="footer"/>
    <w:basedOn w:val="a"/>
    <w:rsid w:val="00163DFB"/>
    <w:pPr>
      <w:tabs>
        <w:tab w:val="center" w:pos="4677"/>
        <w:tab w:val="right" w:pos="9355"/>
      </w:tabs>
    </w:pPr>
  </w:style>
  <w:style w:type="character" w:styleId="a8">
    <w:name w:val="page number"/>
    <w:basedOn w:val="a0"/>
    <w:rsid w:val="00163DFB"/>
  </w:style>
  <w:style w:type="table" w:styleId="a9">
    <w:name w:val="Table Grid"/>
    <w:basedOn w:val="a1"/>
    <w:rsid w:val="005C0D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9674">
      <w:bodyDiv w:val="1"/>
      <w:marLeft w:val="0"/>
      <w:marRight w:val="0"/>
      <w:marTop w:val="0"/>
      <w:marBottom w:val="0"/>
      <w:divBdr>
        <w:top w:val="none" w:sz="0" w:space="0" w:color="auto"/>
        <w:left w:val="none" w:sz="0" w:space="0" w:color="auto"/>
        <w:bottom w:val="none" w:sz="0" w:space="0" w:color="auto"/>
        <w:right w:val="none" w:sz="0" w:space="0" w:color="auto"/>
      </w:divBdr>
    </w:div>
    <w:div w:id="33431472">
      <w:bodyDiv w:val="1"/>
      <w:marLeft w:val="0"/>
      <w:marRight w:val="0"/>
      <w:marTop w:val="0"/>
      <w:marBottom w:val="0"/>
      <w:divBdr>
        <w:top w:val="none" w:sz="0" w:space="0" w:color="auto"/>
        <w:left w:val="none" w:sz="0" w:space="0" w:color="auto"/>
        <w:bottom w:val="none" w:sz="0" w:space="0" w:color="auto"/>
        <w:right w:val="none" w:sz="0" w:space="0" w:color="auto"/>
      </w:divBdr>
    </w:div>
    <w:div w:id="133984548">
      <w:bodyDiv w:val="1"/>
      <w:marLeft w:val="0"/>
      <w:marRight w:val="0"/>
      <w:marTop w:val="0"/>
      <w:marBottom w:val="0"/>
      <w:divBdr>
        <w:top w:val="none" w:sz="0" w:space="0" w:color="auto"/>
        <w:left w:val="none" w:sz="0" w:space="0" w:color="auto"/>
        <w:bottom w:val="none" w:sz="0" w:space="0" w:color="auto"/>
        <w:right w:val="none" w:sz="0" w:space="0" w:color="auto"/>
      </w:divBdr>
    </w:div>
    <w:div w:id="329260030">
      <w:bodyDiv w:val="1"/>
      <w:marLeft w:val="0"/>
      <w:marRight w:val="0"/>
      <w:marTop w:val="0"/>
      <w:marBottom w:val="0"/>
      <w:divBdr>
        <w:top w:val="none" w:sz="0" w:space="0" w:color="auto"/>
        <w:left w:val="none" w:sz="0" w:space="0" w:color="auto"/>
        <w:bottom w:val="none" w:sz="0" w:space="0" w:color="auto"/>
        <w:right w:val="none" w:sz="0" w:space="0" w:color="auto"/>
      </w:divBdr>
    </w:div>
    <w:div w:id="330718455">
      <w:bodyDiv w:val="1"/>
      <w:marLeft w:val="0"/>
      <w:marRight w:val="0"/>
      <w:marTop w:val="0"/>
      <w:marBottom w:val="0"/>
      <w:divBdr>
        <w:top w:val="none" w:sz="0" w:space="0" w:color="auto"/>
        <w:left w:val="none" w:sz="0" w:space="0" w:color="auto"/>
        <w:bottom w:val="none" w:sz="0" w:space="0" w:color="auto"/>
        <w:right w:val="none" w:sz="0" w:space="0" w:color="auto"/>
      </w:divBdr>
    </w:div>
    <w:div w:id="342127993">
      <w:bodyDiv w:val="1"/>
      <w:marLeft w:val="0"/>
      <w:marRight w:val="0"/>
      <w:marTop w:val="0"/>
      <w:marBottom w:val="0"/>
      <w:divBdr>
        <w:top w:val="none" w:sz="0" w:space="0" w:color="auto"/>
        <w:left w:val="none" w:sz="0" w:space="0" w:color="auto"/>
        <w:bottom w:val="none" w:sz="0" w:space="0" w:color="auto"/>
        <w:right w:val="none" w:sz="0" w:space="0" w:color="auto"/>
      </w:divBdr>
    </w:div>
    <w:div w:id="409237826">
      <w:bodyDiv w:val="1"/>
      <w:marLeft w:val="0"/>
      <w:marRight w:val="0"/>
      <w:marTop w:val="0"/>
      <w:marBottom w:val="0"/>
      <w:divBdr>
        <w:top w:val="none" w:sz="0" w:space="0" w:color="auto"/>
        <w:left w:val="none" w:sz="0" w:space="0" w:color="auto"/>
        <w:bottom w:val="none" w:sz="0" w:space="0" w:color="auto"/>
        <w:right w:val="none" w:sz="0" w:space="0" w:color="auto"/>
      </w:divBdr>
    </w:div>
    <w:div w:id="464666016">
      <w:bodyDiv w:val="1"/>
      <w:marLeft w:val="0"/>
      <w:marRight w:val="0"/>
      <w:marTop w:val="0"/>
      <w:marBottom w:val="0"/>
      <w:divBdr>
        <w:top w:val="none" w:sz="0" w:space="0" w:color="auto"/>
        <w:left w:val="none" w:sz="0" w:space="0" w:color="auto"/>
        <w:bottom w:val="none" w:sz="0" w:space="0" w:color="auto"/>
        <w:right w:val="none" w:sz="0" w:space="0" w:color="auto"/>
      </w:divBdr>
    </w:div>
    <w:div w:id="524442296">
      <w:bodyDiv w:val="1"/>
      <w:marLeft w:val="0"/>
      <w:marRight w:val="0"/>
      <w:marTop w:val="0"/>
      <w:marBottom w:val="0"/>
      <w:divBdr>
        <w:top w:val="none" w:sz="0" w:space="0" w:color="auto"/>
        <w:left w:val="none" w:sz="0" w:space="0" w:color="auto"/>
        <w:bottom w:val="none" w:sz="0" w:space="0" w:color="auto"/>
        <w:right w:val="none" w:sz="0" w:space="0" w:color="auto"/>
      </w:divBdr>
    </w:div>
    <w:div w:id="538906202">
      <w:bodyDiv w:val="1"/>
      <w:marLeft w:val="0"/>
      <w:marRight w:val="0"/>
      <w:marTop w:val="0"/>
      <w:marBottom w:val="0"/>
      <w:divBdr>
        <w:top w:val="none" w:sz="0" w:space="0" w:color="auto"/>
        <w:left w:val="none" w:sz="0" w:space="0" w:color="auto"/>
        <w:bottom w:val="none" w:sz="0" w:space="0" w:color="auto"/>
        <w:right w:val="none" w:sz="0" w:space="0" w:color="auto"/>
      </w:divBdr>
    </w:div>
    <w:div w:id="551423412">
      <w:bodyDiv w:val="1"/>
      <w:marLeft w:val="0"/>
      <w:marRight w:val="0"/>
      <w:marTop w:val="15"/>
      <w:marBottom w:val="0"/>
      <w:divBdr>
        <w:top w:val="none" w:sz="0" w:space="0" w:color="auto"/>
        <w:left w:val="none" w:sz="0" w:space="0" w:color="auto"/>
        <w:bottom w:val="none" w:sz="0" w:space="0" w:color="auto"/>
        <w:right w:val="none" w:sz="0" w:space="0" w:color="auto"/>
      </w:divBdr>
      <w:divsChild>
        <w:div w:id="441455398">
          <w:marLeft w:val="0"/>
          <w:marRight w:val="0"/>
          <w:marTop w:val="0"/>
          <w:marBottom w:val="0"/>
          <w:divBdr>
            <w:top w:val="single" w:sz="36" w:space="0" w:color="7F9A65"/>
            <w:left w:val="single" w:sz="36" w:space="0" w:color="7F9A65"/>
            <w:bottom w:val="single" w:sz="36" w:space="0" w:color="7F9A65"/>
            <w:right w:val="single" w:sz="36" w:space="0" w:color="7F9A65"/>
          </w:divBdr>
          <w:divsChild>
            <w:div w:id="138964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81126">
      <w:bodyDiv w:val="1"/>
      <w:marLeft w:val="0"/>
      <w:marRight w:val="0"/>
      <w:marTop w:val="0"/>
      <w:marBottom w:val="0"/>
      <w:divBdr>
        <w:top w:val="none" w:sz="0" w:space="0" w:color="auto"/>
        <w:left w:val="none" w:sz="0" w:space="0" w:color="auto"/>
        <w:bottom w:val="none" w:sz="0" w:space="0" w:color="auto"/>
        <w:right w:val="none" w:sz="0" w:space="0" w:color="auto"/>
      </w:divBdr>
    </w:div>
    <w:div w:id="702905462">
      <w:bodyDiv w:val="1"/>
      <w:marLeft w:val="0"/>
      <w:marRight w:val="0"/>
      <w:marTop w:val="0"/>
      <w:marBottom w:val="0"/>
      <w:divBdr>
        <w:top w:val="none" w:sz="0" w:space="0" w:color="auto"/>
        <w:left w:val="none" w:sz="0" w:space="0" w:color="auto"/>
        <w:bottom w:val="none" w:sz="0" w:space="0" w:color="auto"/>
        <w:right w:val="none" w:sz="0" w:space="0" w:color="auto"/>
      </w:divBdr>
    </w:div>
    <w:div w:id="713387773">
      <w:bodyDiv w:val="1"/>
      <w:marLeft w:val="0"/>
      <w:marRight w:val="0"/>
      <w:marTop w:val="0"/>
      <w:marBottom w:val="0"/>
      <w:divBdr>
        <w:top w:val="none" w:sz="0" w:space="0" w:color="auto"/>
        <w:left w:val="none" w:sz="0" w:space="0" w:color="auto"/>
        <w:bottom w:val="none" w:sz="0" w:space="0" w:color="auto"/>
        <w:right w:val="none" w:sz="0" w:space="0" w:color="auto"/>
      </w:divBdr>
    </w:div>
    <w:div w:id="779835966">
      <w:bodyDiv w:val="1"/>
      <w:marLeft w:val="0"/>
      <w:marRight w:val="0"/>
      <w:marTop w:val="0"/>
      <w:marBottom w:val="0"/>
      <w:divBdr>
        <w:top w:val="none" w:sz="0" w:space="0" w:color="auto"/>
        <w:left w:val="none" w:sz="0" w:space="0" w:color="auto"/>
        <w:bottom w:val="none" w:sz="0" w:space="0" w:color="auto"/>
        <w:right w:val="none" w:sz="0" w:space="0" w:color="auto"/>
      </w:divBdr>
    </w:div>
    <w:div w:id="837693294">
      <w:bodyDiv w:val="1"/>
      <w:marLeft w:val="0"/>
      <w:marRight w:val="0"/>
      <w:marTop w:val="0"/>
      <w:marBottom w:val="0"/>
      <w:divBdr>
        <w:top w:val="none" w:sz="0" w:space="0" w:color="auto"/>
        <w:left w:val="none" w:sz="0" w:space="0" w:color="auto"/>
        <w:bottom w:val="none" w:sz="0" w:space="0" w:color="auto"/>
        <w:right w:val="none" w:sz="0" w:space="0" w:color="auto"/>
      </w:divBdr>
      <w:divsChild>
        <w:div w:id="1476143045">
          <w:marLeft w:val="0"/>
          <w:marRight w:val="0"/>
          <w:marTop w:val="0"/>
          <w:marBottom w:val="0"/>
          <w:divBdr>
            <w:top w:val="none" w:sz="0" w:space="0" w:color="auto"/>
            <w:left w:val="none" w:sz="0" w:space="0" w:color="auto"/>
            <w:bottom w:val="none" w:sz="0" w:space="0" w:color="auto"/>
            <w:right w:val="none" w:sz="0" w:space="0" w:color="auto"/>
          </w:divBdr>
        </w:div>
      </w:divsChild>
    </w:div>
    <w:div w:id="857932164">
      <w:bodyDiv w:val="1"/>
      <w:marLeft w:val="0"/>
      <w:marRight w:val="0"/>
      <w:marTop w:val="0"/>
      <w:marBottom w:val="0"/>
      <w:divBdr>
        <w:top w:val="none" w:sz="0" w:space="0" w:color="auto"/>
        <w:left w:val="none" w:sz="0" w:space="0" w:color="auto"/>
        <w:bottom w:val="none" w:sz="0" w:space="0" w:color="auto"/>
        <w:right w:val="none" w:sz="0" w:space="0" w:color="auto"/>
      </w:divBdr>
    </w:div>
    <w:div w:id="862939146">
      <w:bodyDiv w:val="1"/>
      <w:marLeft w:val="0"/>
      <w:marRight w:val="0"/>
      <w:marTop w:val="0"/>
      <w:marBottom w:val="0"/>
      <w:divBdr>
        <w:top w:val="none" w:sz="0" w:space="0" w:color="auto"/>
        <w:left w:val="none" w:sz="0" w:space="0" w:color="auto"/>
        <w:bottom w:val="none" w:sz="0" w:space="0" w:color="auto"/>
        <w:right w:val="none" w:sz="0" w:space="0" w:color="auto"/>
      </w:divBdr>
    </w:div>
    <w:div w:id="887496975">
      <w:bodyDiv w:val="1"/>
      <w:marLeft w:val="0"/>
      <w:marRight w:val="0"/>
      <w:marTop w:val="0"/>
      <w:marBottom w:val="0"/>
      <w:divBdr>
        <w:top w:val="none" w:sz="0" w:space="0" w:color="auto"/>
        <w:left w:val="none" w:sz="0" w:space="0" w:color="auto"/>
        <w:bottom w:val="none" w:sz="0" w:space="0" w:color="auto"/>
        <w:right w:val="none" w:sz="0" w:space="0" w:color="auto"/>
      </w:divBdr>
    </w:div>
    <w:div w:id="937524573">
      <w:bodyDiv w:val="1"/>
      <w:marLeft w:val="0"/>
      <w:marRight w:val="0"/>
      <w:marTop w:val="0"/>
      <w:marBottom w:val="0"/>
      <w:divBdr>
        <w:top w:val="none" w:sz="0" w:space="0" w:color="auto"/>
        <w:left w:val="none" w:sz="0" w:space="0" w:color="auto"/>
        <w:bottom w:val="none" w:sz="0" w:space="0" w:color="auto"/>
        <w:right w:val="none" w:sz="0" w:space="0" w:color="auto"/>
      </w:divBdr>
    </w:div>
    <w:div w:id="1118374102">
      <w:bodyDiv w:val="1"/>
      <w:marLeft w:val="0"/>
      <w:marRight w:val="0"/>
      <w:marTop w:val="0"/>
      <w:marBottom w:val="0"/>
      <w:divBdr>
        <w:top w:val="none" w:sz="0" w:space="0" w:color="auto"/>
        <w:left w:val="none" w:sz="0" w:space="0" w:color="auto"/>
        <w:bottom w:val="none" w:sz="0" w:space="0" w:color="auto"/>
        <w:right w:val="none" w:sz="0" w:space="0" w:color="auto"/>
      </w:divBdr>
      <w:divsChild>
        <w:div w:id="662700164">
          <w:marLeft w:val="0"/>
          <w:marRight w:val="0"/>
          <w:marTop w:val="0"/>
          <w:marBottom w:val="0"/>
          <w:divBdr>
            <w:top w:val="none" w:sz="0" w:space="0" w:color="auto"/>
            <w:left w:val="none" w:sz="0" w:space="0" w:color="auto"/>
            <w:bottom w:val="none" w:sz="0" w:space="0" w:color="auto"/>
            <w:right w:val="none" w:sz="0" w:space="0" w:color="auto"/>
          </w:divBdr>
        </w:div>
      </w:divsChild>
    </w:div>
    <w:div w:id="1280335683">
      <w:bodyDiv w:val="1"/>
      <w:marLeft w:val="0"/>
      <w:marRight w:val="0"/>
      <w:marTop w:val="0"/>
      <w:marBottom w:val="0"/>
      <w:divBdr>
        <w:top w:val="none" w:sz="0" w:space="0" w:color="auto"/>
        <w:left w:val="none" w:sz="0" w:space="0" w:color="auto"/>
        <w:bottom w:val="none" w:sz="0" w:space="0" w:color="auto"/>
        <w:right w:val="none" w:sz="0" w:space="0" w:color="auto"/>
      </w:divBdr>
      <w:divsChild>
        <w:div w:id="132547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058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886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421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863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934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71519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586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115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513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0025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878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07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608470">
      <w:bodyDiv w:val="1"/>
      <w:marLeft w:val="0"/>
      <w:marRight w:val="0"/>
      <w:marTop w:val="0"/>
      <w:marBottom w:val="0"/>
      <w:divBdr>
        <w:top w:val="none" w:sz="0" w:space="0" w:color="auto"/>
        <w:left w:val="none" w:sz="0" w:space="0" w:color="auto"/>
        <w:bottom w:val="none" w:sz="0" w:space="0" w:color="auto"/>
        <w:right w:val="none" w:sz="0" w:space="0" w:color="auto"/>
      </w:divBdr>
    </w:div>
    <w:div w:id="1576551083">
      <w:bodyDiv w:val="1"/>
      <w:marLeft w:val="0"/>
      <w:marRight w:val="0"/>
      <w:marTop w:val="0"/>
      <w:marBottom w:val="0"/>
      <w:divBdr>
        <w:top w:val="none" w:sz="0" w:space="0" w:color="auto"/>
        <w:left w:val="none" w:sz="0" w:space="0" w:color="auto"/>
        <w:bottom w:val="none" w:sz="0" w:space="0" w:color="auto"/>
        <w:right w:val="none" w:sz="0" w:space="0" w:color="auto"/>
      </w:divBdr>
    </w:div>
    <w:div w:id="1709602768">
      <w:bodyDiv w:val="1"/>
      <w:marLeft w:val="0"/>
      <w:marRight w:val="0"/>
      <w:marTop w:val="0"/>
      <w:marBottom w:val="0"/>
      <w:divBdr>
        <w:top w:val="none" w:sz="0" w:space="0" w:color="auto"/>
        <w:left w:val="none" w:sz="0" w:space="0" w:color="auto"/>
        <w:bottom w:val="none" w:sz="0" w:space="0" w:color="auto"/>
        <w:right w:val="none" w:sz="0" w:space="0" w:color="auto"/>
      </w:divBdr>
    </w:div>
    <w:div w:id="1719623493">
      <w:bodyDiv w:val="1"/>
      <w:marLeft w:val="0"/>
      <w:marRight w:val="0"/>
      <w:marTop w:val="0"/>
      <w:marBottom w:val="0"/>
      <w:divBdr>
        <w:top w:val="none" w:sz="0" w:space="0" w:color="auto"/>
        <w:left w:val="none" w:sz="0" w:space="0" w:color="auto"/>
        <w:bottom w:val="none" w:sz="0" w:space="0" w:color="auto"/>
        <w:right w:val="none" w:sz="0" w:space="0" w:color="auto"/>
      </w:divBdr>
      <w:divsChild>
        <w:div w:id="493886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277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471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147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754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636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076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921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691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105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1041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157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174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199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82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43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050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8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507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6007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8968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735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790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2045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817645">
      <w:bodyDiv w:val="1"/>
      <w:marLeft w:val="0"/>
      <w:marRight w:val="0"/>
      <w:marTop w:val="0"/>
      <w:marBottom w:val="0"/>
      <w:divBdr>
        <w:top w:val="none" w:sz="0" w:space="0" w:color="auto"/>
        <w:left w:val="none" w:sz="0" w:space="0" w:color="auto"/>
        <w:bottom w:val="none" w:sz="0" w:space="0" w:color="auto"/>
        <w:right w:val="none" w:sz="0" w:space="0" w:color="auto"/>
      </w:divBdr>
      <w:divsChild>
        <w:div w:id="1095709692">
          <w:marLeft w:val="0"/>
          <w:marRight w:val="0"/>
          <w:marTop w:val="0"/>
          <w:marBottom w:val="0"/>
          <w:divBdr>
            <w:top w:val="none" w:sz="0" w:space="0" w:color="auto"/>
            <w:left w:val="none" w:sz="0" w:space="0" w:color="auto"/>
            <w:bottom w:val="none" w:sz="0" w:space="0" w:color="auto"/>
            <w:right w:val="none" w:sz="0" w:space="0" w:color="auto"/>
          </w:divBdr>
          <w:divsChild>
            <w:div w:id="499663862">
              <w:marLeft w:val="0"/>
              <w:marRight w:val="0"/>
              <w:marTop w:val="0"/>
              <w:marBottom w:val="0"/>
              <w:divBdr>
                <w:top w:val="none" w:sz="0" w:space="0" w:color="auto"/>
                <w:left w:val="none" w:sz="0" w:space="0" w:color="auto"/>
                <w:bottom w:val="none" w:sz="0" w:space="0" w:color="auto"/>
                <w:right w:val="none" w:sz="0" w:space="0" w:color="auto"/>
              </w:divBdr>
              <w:divsChild>
                <w:div w:id="417561726">
                  <w:marLeft w:val="0"/>
                  <w:marRight w:val="0"/>
                  <w:marTop w:val="0"/>
                  <w:marBottom w:val="0"/>
                  <w:divBdr>
                    <w:top w:val="none" w:sz="0" w:space="0" w:color="auto"/>
                    <w:left w:val="none" w:sz="0" w:space="0" w:color="auto"/>
                    <w:bottom w:val="none" w:sz="0" w:space="0" w:color="auto"/>
                    <w:right w:val="none" w:sz="0" w:space="0" w:color="auto"/>
                  </w:divBdr>
                  <w:divsChild>
                    <w:div w:id="20030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670326">
      <w:bodyDiv w:val="1"/>
      <w:marLeft w:val="0"/>
      <w:marRight w:val="0"/>
      <w:marTop w:val="0"/>
      <w:marBottom w:val="0"/>
      <w:divBdr>
        <w:top w:val="none" w:sz="0" w:space="0" w:color="auto"/>
        <w:left w:val="none" w:sz="0" w:space="0" w:color="auto"/>
        <w:bottom w:val="none" w:sz="0" w:space="0" w:color="auto"/>
        <w:right w:val="none" w:sz="0" w:space="0" w:color="auto"/>
      </w:divBdr>
    </w:div>
    <w:div w:id="1829666180">
      <w:bodyDiv w:val="1"/>
      <w:marLeft w:val="0"/>
      <w:marRight w:val="0"/>
      <w:marTop w:val="0"/>
      <w:marBottom w:val="0"/>
      <w:divBdr>
        <w:top w:val="none" w:sz="0" w:space="0" w:color="auto"/>
        <w:left w:val="none" w:sz="0" w:space="0" w:color="auto"/>
        <w:bottom w:val="none" w:sz="0" w:space="0" w:color="auto"/>
        <w:right w:val="none" w:sz="0" w:space="0" w:color="auto"/>
      </w:divBdr>
    </w:div>
    <w:div w:id="1923679391">
      <w:bodyDiv w:val="1"/>
      <w:marLeft w:val="0"/>
      <w:marRight w:val="0"/>
      <w:marTop w:val="0"/>
      <w:marBottom w:val="0"/>
      <w:divBdr>
        <w:top w:val="none" w:sz="0" w:space="0" w:color="auto"/>
        <w:left w:val="none" w:sz="0" w:space="0" w:color="auto"/>
        <w:bottom w:val="none" w:sz="0" w:space="0" w:color="auto"/>
        <w:right w:val="none" w:sz="0" w:space="0" w:color="auto"/>
      </w:divBdr>
    </w:div>
    <w:div w:id="202343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6.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4852</Words>
  <Characters>27659</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Проведение корректировки формулы расчета риска актива (стандартное отклонение доходности)</vt:lpstr>
    </vt:vector>
  </TitlesOfParts>
  <Company/>
  <LinksUpToDate>false</LinksUpToDate>
  <CharactersWithSpaces>32447</CharactersWithSpaces>
  <SharedDoc>false</SharedDoc>
  <HLinks>
    <vt:vector size="144" baseType="variant">
      <vt:variant>
        <vt:i4>3276921</vt:i4>
      </vt:variant>
      <vt:variant>
        <vt:i4>96</vt:i4>
      </vt:variant>
      <vt:variant>
        <vt:i4>0</vt:i4>
      </vt:variant>
      <vt:variant>
        <vt:i4>5</vt:i4>
      </vt:variant>
      <vt:variant>
        <vt:lpwstr>http://www.metaquotes.ru/techanalysis/bollinjer</vt:lpwstr>
      </vt:variant>
      <vt:variant>
        <vt:lpwstr/>
      </vt:variant>
      <vt:variant>
        <vt:i4>5046296</vt:i4>
      </vt:variant>
      <vt:variant>
        <vt:i4>93</vt:i4>
      </vt:variant>
      <vt:variant>
        <vt:i4>0</vt:i4>
      </vt:variant>
      <vt:variant>
        <vt:i4>5</vt:i4>
      </vt:variant>
      <vt:variant>
        <vt:lpwstr>http://www.metaquotes.ru/techanalysis/support</vt:lpwstr>
      </vt:variant>
      <vt:variant>
        <vt:lpwstr/>
      </vt:variant>
      <vt:variant>
        <vt:i4>2424944</vt:i4>
      </vt:variant>
      <vt:variant>
        <vt:i4>90</vt:i4>
      </vt:variant>
      <vt:variant>
        <vt:i4>0</vt:i4>
      </vt:variant>
      <vt:variant>
        <vt:i4>5</vt:i4>
      </vt:variant>
      <vt:variant>
        <vt:lpwstr>http://www.metaquotes.ru/techanalysis/standard</vt:lpwstr>
      </vt:variant>
      <vt:variant>
        <vt:lpwstr/>
      </vt:variant>
      <vt:variant>
        <vt:i4>7864359</vt:i4>
      </vt:variant>
      <vt:variant>
        <vt:i4>87</vt:i4>
      </vt:variant>
      <vt:variant>
        <vt:i4>0</vt:i4>
      </vt:variant>
      <vt:variant>
        <vt:i4>5</vt:i4>
      </vt:variant>
      <vt:variant>
        <vt:lpwstr>http://college.biysk.secna.ru/</vt:lpwstr>
      </vt:variant>
      <vt:variant>
        <vt:lpwstr/>
      </vt:variant>
      <vt:variant>
        <vt:i4>1966167</vt:i4>
      </vt:variant>
      <vt:variant>
        <vt:i4>84</vt:i4>
      </vt:variant>
      <vt:variant>
        <vt:i4>0</vt:i4>
      </vt:variant>
      <vt:variant>
        <vt:i4>5</vt:i4>
      </vt:variant>
      <vt:variant>
        <vt:lpwstr>http://www.investpark.ru/</vt:lpwstr>
      </vt:variant>
      <vt:variant>
        <vt:lpwstr/>
      </vt:variant>
      <vt:variant>
        <vt:i4>524317</vt:i4>
      </vt:variant>
      <vt:variant>
        <vt:i4>81</vt:i4>
      </vt:variant>
      <vt:variant>
        <vt:i4>0</vt:i4>
      </vt:variant>
      <vt:variant>
        <vt:i4>5</vt:i4>
      </vt:variant>
      <vt:variant>
        <vt:lpwstr>http://ru.wikipedia.org/</vt:lpwstr>
      </vt:variant>
      <vt:variant>
        <vt:lpwstr/>
      </vt:variant>
      <vt:variant>
        <vt:i4>524376</vt:i4>
      </vt:variant>
      <vt:variant>
        <vt:i4>78</vt:i4>
      </vt:variant>
      <vt:variant>
        <vt:i4>0</vt:i4>
      </vt:variant>
      <vt:variant>
        <vt:i4>5</vt:i4>
      </vt:variant>
      <vt:variant>
        <vt:lpwstr>http://www.investpark.ru/?m=funds&amp;an=203_standard_deviation</vt:lpwstr>
      </vt:variant>
      <vt:variant>
        <vt:lpwstr/>
      </vt:variant>
      <vt:variant>
        <vt:i4>5701645</vt:i4>
      </vt:variant>
      <vt:variant>
        <vt:i4>75</vt:i4>
      </vt:variant>
      <vt:variant>
        <vt:i4>0</vt:i4>
      </vt:variant>
      <vt:variant>
        <vt:i4>5</vt:i4>
      </vt:variant>
      <vt:variant>
        <vt:lpwstr>http://www.metaquotes.ru/techanalysis/trendlines</vt:lpwstr>
      </vt:variant>
      <vt:variant>
        <vt:lpwstr/>
      </vt:variant>
      <vt:variant>
        <vt:i4>5046296</vt:i4>
      </vt:variant>
      <vt:variant>
        <vt:i4>72</vt:i4>
      </vt:variant>
      <vt:variant>
        <vt:i4>0</vt:i4>
      </vt:variant>
      <vt:variant>
        <vt:i4>5</vt:i4>
      </vt:variant>
      <vt:variant>
        <vt:lpwstr>http://www.metaquotes.ru/techanalysis/support</vt:lpwstr>
      </vt:variant>
      <vt:variant>
        <vt:lpwstr/>
      </vt:variant>
      <vt:variant>
        <vt:i4>5046296</vt:i4>
      </vt:variant>
      <vt:variant>
        <vt:i4>69</vt:i4>
      </vt:variant>
      <vt:variant>
        <vt:i4>0</vt:i4>
      </vt:variant>
      <vt:variant>
        <vt:i4>5</vt:i4>
      </vt:variant>
      <vt:variant>
        <vt:lpwstr>http://www.metaquotes.ru/techanalysis/support</vt:lpwstr>
      </vt:variant>
      <vt:variant>
        <vt:lpwstr/>
      </vt:variant>
      <vt:variant>
        <vt:i4>5701645</vt:i4>
      </vt:variant>
      <vt:variant>
        <vt:i4>66</vt:i4>
      </vt:variant>
      <vt:variant>
        <vt:i4>0</vt:i4>
      </vt:variant>
      <vt:variant>
        <vt:i4>5</vt:i4>
      </vt:variant>
      <vt:variant>
        <vt:lpwstr>http://www.metaquotes.ru/techanalysis/trendlines</vt:lpwstr>
      </vt:variant>
      <vt:variant>
        <vt:lpwstr/>
      </vt:variant>
      <vt:variant>
        <vt:i4>3145762</vt:i4>
      </vt:variant>
      <vt:variant>
        <vt:i4>54</vt:i4>
      </vt:variant>
      <vt:variant>
        <vt:i4>0</vt:i4>
      </vt:variant>
      <vt:variant>
        <vt:i4>5</vt:i4>
      </vt:variant>
      <vt:variant>
        <vt:lpwstr>http://www.investpark.ru/?m=def&amp;an=risk</vt:lpwstr>
      </vt:variant>
      <vt:variant>
        <vt:lpwstr/>
      </vt:variant>
      <vt:variant>
        <vt:i4>6094879</vt:i4>
      </vt:variant>
      <vt:variant>
        <vt:i4>51</vt:i4>
      </vt:variant>
      <vt:variant>
        <vt:i4>0</vt:i4>
      </vt:variant>
      <vt:variant>
        <vt:i4>5</vt:i4>
      </vt:variant>
      <vt:variant>
        <vt:lpwstr>http://www.bdp.ru/cgi-bin/slovar.cgi?a=1&amp;slv=270</vt:lpwstr>
      </vt:variant>
      <vt:variant>
        <vt:lpwstr/>
      </vt:variant>
      <vt:variant>
        <vt:i4>10158258</vt:i4>
      </vt:variant>
      <vt:variant>
        <vt:i4>48</vt:i4>
      </vt:variant>
      <vt:variant>
        <vt:i4>0</vt:i4>
      </vt:variant>
      <vt:variant>
        <vt:i4>5</vt:i4>
      </vt:variant>
      <vt:variant>
        <vt:lpwstr>http://ru.wikipedia.org/wiki/Ð¡ÑÐµÐ´Ð½ÐµÐµ_Ð°ÑÐ¸ÑÐ¼ÐµÑÐ¸ÑÐµÑÐºÐ¾Ðµ</vt:lpwstr>
      </vt:variant>
      <vt:variant>
        <vt:lpwstr/>
      </vt:variant>
      <vt:variant>
        <vt:i4>5898359</vt:i4>
      </vt:variant>
      <vt:variant>
        <vt:i4>45</vt:i4>
      </vt:variant>
      <vt:variant>
        <vt:i4>0</vt:i4>
      </vt:variant>
      <vt:variant>
        <vt:i4>5</vt:i4>
      </vt:variant>
      <vt:variant>
        <vt:lpwstr>http://ru.wikipedia.org/w/index.php?title=%D0%A1%D1%82%D0%B0%D0%BD%D0%B4%D0%B0%D1%80%D1%82%D0%BD%D0%B0%D1%8F_%D0%BE%D1%88%D0%B8%D0%B1%D0%BA%D0%B0&amp;action=edit</vt:lpwstr>
      </vt:variant>
      <vt:variant>
        <vt:lpwstr/>
      </vt:variant>
      <vt:variant>
        <vt:i4>6160410</vt:i4>
      </vt:variant>
      <vt:variant>
        <vt:i4>42</vt:i4>
      </vt:variant>
      <vt:variant>
        <vt:i4>0</vt:i4>
      </vt:variant>
      <vt:variant>
        <vt:i4>5</vt:i4>
      </vt:variant>
      <vt:variant>
        <vt:lpwstr>http://www.bdp.ru/cgi-bin/slovar.cgi?a=1&amp;slv=322</vt:lpwstr>
      </vt:variant>
      <vt:variant>
        <vt:lpwstr/>
      </vt:variant>
      <vt:variant>
        <vt:i4>6029343</vt:i4>
      </vt:variant>
      <vt:variant>
        <vt:i4>39</vt:i4>
      </vt:variant>
      <vt:variant>
        <vt:i4>0</vt:i4>
      </vt:variant>
      <vt:variant>
        <vt:i4>5</vt:i4>
      </vt:variant>
      <vt:variant>
        <vt:lpwstr>http://www.bdp.ru/cgi-bin/slovar.cgi?a=1&amp;slv=271</vt:lpwstr>
      </vt:variant>
      <vt:variant>
        <vt:lpwstr/>
      </vt:variant>
      <vt:variant>
        <vt:i4>6160414</vt:i4>
      </vt:variant>
      <vt:variant>
        <vt:i4>36</vt:i4>
      </vt:variant>
      <vt:variant>
        <vt:i4>0</vt:i4>
      </vt:variant>
      <vt:variant>
        <vt:i4>5</vt:i4>
      </vt:variant>
      <vt:variant>
        <vt:lpwstr>http://www.bdp.ru/cgi-bin/slovar.cgi?a=1&amp;slv=263</vt:lpwstr>
      </vt:variant>
      <vt:variant>
        <vt:lpwstr/>
      </vt:variant>
      <vt:variant>
        <vt:i4>7667800</vt:i4>
      </vt:variant>
      <vt:variant>
        <vt:i4>15</vt:i4>
      </vt:variant>
      <vt:variant>
        <vt:i4>0</vt:i4>
      </vt:variant>
      <vt:variant>
        <vt:i4>5</vt:i4>
      </vt:variant>
      <vt:variant>
        <vt:lpwstr>http://ru.wikipedia.org/wiki/ÐÐ¸ÑÐ¿ÐµÑÑÐ¸Ñ_(ÑÐµÐ¾ÑÐ¸Ñ_Ð²ÐµÑÐ¾ÑÑÐ½Ð¾ÑÑÐ¸)</vt:lpwstr>
      </vt:variant>
      <vt:variant>
        <vt:lpwstr/>
      </vt:variant>
      <vt:variant>
        <vt:i4>5636159</vt:i4>
      </vt:variant>
      <vt:variant>
        <vt:i4>12</vt:i4>
      </vt:variant>
      <vt:variant>
        <vt:i4>0</vt:i4>
      </vt:variant>
      <vt:variant>
        <vt:i4>5</vt:i4>
      </vt:variant>
      <vt:variant>
        <vt:lpwstr>http://ru.wikipedia.org/wiki/ÐÐ²Ð°Ð´ÑÐ°ÑÐ½ÑÐ¹_ÐºÐ¾ÑÐµÐ½Ñ</vt:lpwstr>
      </vt:variant>
      <vt:variant>
        <vt:lpwstr/>
      </vt:variant>
      <vt:variant>
        <vt:i4>5439489</vt:i4>
      </vt:variant>
      <vt:variant>
        <vt:i4>9</vt:i4>
      </vt:variant>
      <vt:variant>
        <vt:i4>0</vt:i4>
      </vt:variant>
      <vt:variant>
        <vt:i4>5</vt:i4>
      </vt:variant>
      <vt:variant>
        <vt:lpwstr>http://ru.wikipedia.org/wiki/ÐÐ°ÑÐµÐ¼Ð°ÑÐ¸ÑÐµÑÐºÐ¾Ðµ_Ð¾Ð¶Ð¸Ð´Ð°Ð½Ð¸Ðµ</vt:lpwstr>
      </vt:variant>
      <vt:variant>
        <vt:lpwstr/>
      </vt:variant>
      <vt:variant>
        <vt:i4>524431</vt:i4>
      </vt:variant>
      <vt:variant>
        <vt:i4>6</vt:i4>
      </vt:variant>
      <vt:variant>
        <vt:i4>0</vt:i4>
      </vt:variant>
      <vt:variant>
        <vt:i4>5</vt:i4>
      </vt:variant>
      <vt:variant>
        <vt:lpwstr>http://ru.wikipedia.org/wiki/Ð¡Ð</vt:lpwstr>
      </vt:variant>
      <vt:variant>
        <vt:lpwstr/>
      </vt:variant>
      <vt:variant>
        <vt:i4>524422</vt:i4>
      </vt:variant>
      <vt:variant>
        <vt:i4>3</vt:i4>
      </vt:variant>
      <vt:variant>
        <vt:i4>0</vt:i4>
      </vt:variant>
      <vt:variant>
        <vt:i4>5</vt:i4>
      </vt:variant>
      <vt:variant>
        <vt:lpwstr>http://ru.wikipedia.org/wiki/Ð¡ÑÐ°ÑÐ¸ÑÑÐ¸ÐºÐ°</vt:lpwstr>
      </vt:variant>
      <vt:variant>
        <vt:lpwstr/>
      </vt:variant>
      <vt:variant>
        <vt:i4>14352577</vt:i4>
      </vt:variant>
      <vt:variant>
        <vt:i4>0</vt:i4>
      </vt:variant>
      <vt:variant>
        <vt:i4>0</vt:i4>
      </vt:variant>
      <vt:variant>
        <vt:i4>5</vt:i4>
      </vt:variant>
      <vt:variant>
        <vt:lpwstr>http://ru.wikipedia.org/wiki/Ð¢ÐµÐ¾ÑÐ¸Ñ_Ð²ÐµÑÐ¾ÑÑÐ½Ð¾ÑÑÐ¸</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Проведение корректировки формулы расчета риска актива (стандартное отклонение доходности)</dc:title>
  <dc:subject/>
  <dc:creator>User</dc:creator>
  <cp:keywords/>
  <dc:description/>
  <cp:lastModifiedBy>Irina</cp:lastModifiedBy>
  <cp:revision>2</cp:revision>
  <dcterms:created xsi:type="dcterms:W3CDTF">2014-09-05T01:32:00Z</dcterms:created>
  <dcterms:modified xsi:type="dcterms:W3CDTF">2014-09-05T01:32:00Z</dcterms:modified>
</cp:coreProperties>
</file>