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3105F4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en-US"/>
        </w:rPr>
      </w:pPr>
    </w:p>
    <w:p w:rsidR="003105F4" w:rsidRDefault="005B109E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cs="Times New Roman"/>
          <w:b w:val="0"/>
          <w:i w:val="0"/>
          <w:iCs w:val="0"/>
        </w:rPr>
        <w:t>Реферат на тему:</w:t>
      </w:r>
    </w:p>
    <w:p w:rsidR="003105F4" w:rsidRDefault="005B109E">
      <w:pPr>
        <w:pStyle w:val="2"/>
        <w:spacing w:before="0" w:after="0" w:line="36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  <w:r>
        <w:rPr>
          <w:rFonts w:ascii="Times New Roman" w:hAnsi="Times New Roman" w:cs="Times New Roman"/>
          <w:b w:val="0"/>
          <w:i w:val="0"/>
          <w:iCs w:val="0"/>
        </w:rPr>
        <w:t>Постановлення суддею (суддями) завідомо неправосудного вироку</w:t>
      </w:r>
      <w:r>
        <w:rPr>
          <w:rFonts w:ascii="Times New Roman" w:hAnsi="Times New Roman" w:cs="Times New Roman"/>
          <w:b w:val="0"/>
          <w:i w:val="0"/>
          <w:iCs w:val="0"/>
          <w:lang w:val="ru-RU"/>
        </w:rPr>
        <w:t xml:space="preserve">. </w:t>
      </w:r>
      <w:r>
        <w:rPr>
          <w:rFonts w:ascii="Times New Roman" w:hAnsi="Times New Roman" w:cs="Times New Roman"/>
          <w:b w:val="0"/>
          <w:i w:val="0"/>
          <w:iCs w:val="0"/>
        </w:rPr>
        <w:t xml:space="preserve">Погроза або насильство щодо судді, </w:t>
      </w:r>
      <w:r>
        <w:rPr>
          <w:rFonts w:ascii="Times New Roman" w:hAnsi="Times New Roman" w:cs="Times New Roman"/>
          <w:b w:val="0"/>
          <w:i w:val="0"/>
          <w:iCs w:val="0"/>
          <w:lang w:val="ru-RU"/>
        </w:rPr>
        <w:t xml:space="preserve">. 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Втручання в діяльність судових органів</w:t>
      </w:r>
    </w:p>
    <w:p w:rsidR="003105F4" w:rsidRDefault="003105F4">
      <w:pPr>
        <w:pStyle w:val="5"/>
        <w:spacing w:before="0" w:after="0" w:line="360" w:lineRule="auto"/>
        <w:ind w:left="720" w:hanging="720"/>
        <w:jc w:val="both"/>
        <w:rPr>
          <w:b w:val="0"/>
          <w:i w:val="0"/>
          <w:iCs w:val="0"/>
          <w:sz w:val="28"/>
          <w:szCs w:val="28"/>
          <w:lang w:val="ru-RU"/>
        </w:rPr>
      </w:pPr>
    </w:p>
    <w:p w:rsidR="003105F4" w:rsidRDefault="003105F4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br w:type="page"/>
        <w:t>1. Постановлення суддею (суддями) завідомо неправосудного вироку, рішення, ухвали або постанови—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обмеженням волі на строк до п’яти років або позбавленням волі на строк від двох до п’яти років.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2. Ті самі дії, що спричинили тяжкі наслідки або вчинені з корисливих мотивів чи в інших особистих інтересах,—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караються позбавленням волі на строк від п’яти до восьми років.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Основним безпосереднім об’єктом злочину є встановлений порядок реалізації конституційних засад здійснення судочинства. Додатковим факультативним об’єктом можуть виступати честь та гідність особи, її здоров’я та недоторканність, майнові блага.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2. Предметом </w:t>
      </w:r>
      <w:r>
        <w:rPr>
          <w:sz w:val="28"/>
          <w:szCs w:val="28"/>
        </w:rPr>
        <w:t>злочину є вирок, рішення, ухвала або постанова, що постановляються суддею (суддями). Про їх поняття див. коментар до ст. 382.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3. Об’єктивна сторона </w:t>
      </w:r>
      <w:r>
        <w:rPr>
          <w:sz w:val="28"/>
          <w:szCs w:val="28"/>
        </w:rPr>
        <w:t xml:space="preserve">злочину полягає у постановленні суддею (суддями) завідомо неправосудного судового рішення. </w:t>
      </w:r>
      <w:r>
        <w:rPr>
          <w:i/>
          <w:iCs/>
          <w:sz w:val="28"/>
          <w:szCs w:val="28"/>
        </w:rPr>
        <w:t xml:space="preserve">Неправосудним </w:t>
      </w:r>
      <w:r>
        <w:rPr>
          <w:sz w:val="28"/>
          <w:szCs w:val="28"/>
        </w:rPr>
        <w:t>є судове рішення, в якому завідомо неправильно застосовано норму матеріального права, яке постановлено з грубим порушенням норм процесуального права, або в якому завідомо є невідповідність висновків суду фактичним обставинам справи.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 вважається закінченим з моменту Постановлення суддею /суддями) судового рішення.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4. Суб’єктом </w:t>
      </w:r>
      <w:r>
        <w:rPr>
          <w:sz w:val="28"/>
          <w:szCs w:val="28"/>
        </w:rPr>
        <w:t>злочину можуть бути тільки судді, які одноособове чи в колегіальному складі розглядають справи у судах першої інстанції, апеляційних або касаційних судах.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5. Суб’єктивна сторона </w:t>
      </w:r>
      <w:r>
        <w:rPr>
          <w:sz w:val="28"/>
          <w:szCs w:val="28"/>
        </w:rPr>
        <w:t>злочину характеризується прямим умислом.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6. Кваліфікуючими ознаками </w:t>
      </w:r>
      <w:r>
        <w:rPr>
          <w:sz w:val="28"/>
          <w:szCs w:val="28"/>
        </w:rPr>
        <w:t>злочину (ч. 2 ст. 375) є: 1) спричинення тяжких наслідків; 2) вчинення його з корисливих мотивів чи в інших особистих інтересах.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 тяжких </w:t>
      </w:r>
      <w:r>
        <w:rPr>
          <w:i/>
          <w:iCs/>
          <w:sz w:val="28"/>
          <w:szCs w:val="28"/>
        </w:rPr>
        <w:t xml:space="preserve">Наслідків </w:t>
      </w:r>
      <w:r>
        <w:rPr>
          <w:sz w:val="28"/>
          <w:szCs w:val="28"/>
        </w:rPr>
        <w:t xml:space="preserve">можна віднести засудження потерпілого до позбавлення волі, його самогубство чи замах на нього, тяжке захворювання тощо. Про поняття корисливого мотиву чи </w:t>
      </w:r>
      <w:r>
        <w:rPr>
          <w:i/>
          <w:iCs/>
          <w:sz w:val="28"/>
          <w:szCs w:val="28"/>
        </w:rPr>
        <w:t xml:space="preserve">інших особистих </w:t>
      </w:r>
      <w:r>
        <w:rPr>
          <w:sz w:val="28"/>
          <w:szCs w:val="28"/>
        </w:rPr>
        <w:t>інтересів див. коментар до ст. ст. 115 і 148.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Конституція України (ст. 129).</w:t>
      </w:r>
    </w:p>
    <w:p w:rsidR="003105F4" w:rsidRDefault="003105F4">
      <w:pPr>
        <w:pStyle w:val="2"/>
        <w:spacing w:before="0" w:after="0" w:line="360" w:lineRule="auto"/>
        <w:ind w:left="720" w:hanging="720"/>
        <w:jc w:val="both"/>
        <w:rPr>
          <w:rFonts w:ascii="Times New Roman" w:hAnsi="Times New Roman" w:cs="Times New Roman"/>
          <w:i w:val="0"/>
          <w:iCs w:val="0"/>
          <w:lang w:val="en-US"/>
        </w:rPr>
      </w:pPr>
    </w:p>
    <w:p w:rsidR="003105F4" w:rsidRDefault="005B109E">
      <w:pPr>
        <w:pStyle w:val="2"/>
        <w:spacing w:before="0" w:after="0" w:line="360" w:lineRule="auto"/>
        <w:ind w:left="720" w:hanging="720"/>
        <w:jc w:val="both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i w:val="0"/>
          <w:iCs w:val="0"/>
        </w:rPr>
        <w:t xml:space="preserve"> Втручання в діяльність судових органів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1. Втручання в будь-якій формі в діяльність судді з метою перешкодити виконанню ним службових обов’язків або добитися винесення неправосудного рішення 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штрафом до п’ятдесяти неоподатковуваних мінімумів доходів громадян або виправними роботами на строк до двох років, або арештом на строк до шести місяців.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2. Ті самі дії, якщо вони перешкодили запобіганню злочину чи затриманню особи, яка його вчинила, або вчинені особою з використанням свого службового становища,—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караються позбавленням права обіймати певні посади чи займатися певною діяльністю на строк до п’яти років або арештом на строк до шести місяців, або позбавленням волі на строк до трьох років.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1. Об”єктом </w:t>
      </w:r>
      <w:r>
        <w:rPr>
          <w:sz w:val="28"/>
          <w:szCs w:val="28"/>
        </w:rPr>
        <w:t>злочину є порядок здійснення правосуддя в частині реалізації загального конституційного принципу незалежності суддів при здійсненні правосуддя.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2. Потерпілим </w:t>
      </w:r>
      <w:r>
        <w:rPr>
          <w:sz w:val="28"/>
          <w:szCs w:val="28"/>
        </w:rPr>
        <w:t xml:space="preserve">від злочину є суддя. Про поняття </w:t>
      </w:r>
      <w:r>
        <w:rPr>
          <w:i/>
          <w:iCs/>
          <w:sz w:val="28"/>
          <w:szCs w:val="28"/>
        </w:rPr>
        <w:t xml:space="preserve">судді </w:t>
      </w:r>
      <w:r>
        <w:rPr>
          <w:sz w:val="28"/>
          <w:szCs w:val="28"/>
        </w:rPr>
        <w:t>див. коментар до ст. 377.</w:t>
      </w:r>
    </w:p>
    <w:p w:rsidR="003105F4" w:rsidRDefault="005B109E">
      <w:pPr>
        <w:pStyle w:val="3"/>
        <w:spacing w:before="0" w:after="0" w:line="360" w:lineRule="auto"/>
        <w:ind w:left="720" w:hanging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Об’єктивна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сторона злочину полягає у втручанні в діяльністьсудді.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Під втручанням розуміється вплив у будь-якій формі на суддю з метою перешкодити виконанню ним своїх службових обов’язків або добитися винесення неправосудного рішення. До конкретних форм впливу можна віднести: прохання, вказівку, погрозу, підкуп, критику судді в засобах масової інформації до вирішення конкретної справи у зв’язку з її розглядом, проведення пікетів, мітингів тощо. Вплив на суддю може здійснюватись і через третіх осіб — близьких родичів, колег по роботі тощо. У випадках, коли формою впливу на суддю є погроза або насильство, вчинене за наявності підстав підлягає кваліфікації за сукупністю злочинів, передбачених ст. 376 і ст. 377. 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 вважається закінченим з моменту здійснення впливу на суддю, незалежно від того, чи вдалося винному перешкодити судді у виконанні ним службових обов’язків або добитися винесення неправосудного рішення.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 Суб’єкт злочину загальний.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 Суб’єктивна сторона злочину характеризується прямим умислом. Обов’язковою ознакою суб’єктивної сторони злочину є мета — перешкодити виконання суддею службових обов’язків або добитися винесення неправосудного рішення.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 Кваліфікуючими ознаками злочину є втручання в діяльність судді, яке: 1) перешкодило запобіганню злочину чи затриманню особи, яка його вчинила; 2) вчинено особою з використанням свого службового становища.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Вплив на суддю, що став перешкодою </w:t>
      </w:r>
      <w:r>
        <w:rPr>
          <w:i/>
          <w:iCs/>
          <w:sz w:val="28"/>
          <w:szCs w:val="28"/>
        </w:rPr>
        <w:t xml:space="preserve">запобіганню злочину чи затриманню особи, </w:t>
      </w:r>
      <w:r>
        <w:rPr>
          <w:sz w:val="28"/>
          <w:szCs w:val="28"/>
        </w:rPr>
        <w:t xml:space="preserve">яка його вчинила, утворює кваліфікуючу ознаку тільки у випадку, коли здійснення впливу на суддю безпосередньо призвело до зазначених наслідків/ Втручання в діяльність судді, вчинене </w:t>
      </w:r>
      <w:r>
        <w:rPr>
          <w:i/>
          <w:iCs/>
          <w:sz w:val="28"/>
          <w:szCs w:val="28"/>
        </w:rPr>
        <w:t xml:space="preserve">особою з використанням свого службового становища, — </w:t>
      </w:r>
      <w:r>
        <w:rPr>
          <w:sz w:val="28"/>
          <w:szCs w:val="28"/>
        </w:rPr>
        <w:t xml:space="preserve">це зловживання службовою особою своїми повноваженнями задля впливу на суддю з метою перешкодити виконанню ним службових обов’язків або добитися винесення неправосудного рішення. Про поняття службової особи див. ст. 364 і коментар, викладений у Загальних положеннях до розділу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Особливої частини КК.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Конституція України (ст. ст. 124—129).</w:t>
      </w:r>
    </w:p>
    <w:p w:rsidR="003105F4" w:rsidRDefault="003105F4">
      <w:pPr>
        <w:pStyle w:val="5"/>
        <w:spacing w:before="0" w:after="0" w:line="360" w:lineRule="auto"/>
        <w:ind w:left="720" w:hanging="720"/>
        <w:jc w:val="both"/>
        <w:rPr>
          <w:i w:val="0"/>
          <w:iCs w:val="0"/>
          <w:sz w:val="28"/>
          <w:szCs w:val="28"/>
          <w:lang w:val="en-US"/>
        </w:rPr>
      </w:pPr>
    </w:p>
    <w:p w:rsidR="003105F4" w:rsidRDefault="003105F4">
      <w:pPr>
        <w:pStyle w:val="5"/>
        <w:spacing w:before="0" w:after="0" w:line="360" w:lineRule="auto"/>
        <w:ind w:left="720" w:hanging="720"/>
        <w:jc w:val="both"/>
        <w:rPr>
          <w:i w:val="0"/>
          <w:iCs w:val="0"/>
          <w:sz w:val="28"/>
          <w:szCs w:val="28"/>
          <w:lang w:val="en-US"/>
        </w:rPr>
      </w:pPr>
    </w:p>
    <w:p w:rsidR="003105F4" w:rsidRDefault="005B109E">
      <w:pPr>
        <w:pStyle w:val="5"/>
        <w:spacing w:before="0" w:after="0" w:line="360" w:lineRule="auto"/>
        <w:ind w:left="720" w:hanging="720"/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t>Погроза або насильство щодо судді, народного засідателя чи присяжного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1. Погроза вбивством, насильством або знищенням чи пошкодженням майна щодо судді, народного засідателя чи присяжного, а також щодо їх близьких родичів у зв’язку з їх діяльністю, пов’язаною із здійсненням правосуддя,—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виправними роботами на строк до двох ро-г ків або арештом на строк до шести місяців, або обмеженням волі на строк до трьох років, або позбавленням волі на той самий строк.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2. Умисне заподіяння суддії народному засідателю чи присяжному або їх близьким родичам побоїв, легких або середньої тяжкості тілесних ушкоджень у зв’язку з їх діяльністю, пов’язаною із здійсненням правосуддя,—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обмеженням волі на строк до п’яти років або позбавленням волі на строк до шести років.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3. Умисне заподіяння судді, народному засідателю чи присяжному або їх близьким родичам тяжкого тілесного ушкодження у зв’язку з їх діяльністю, пов’язаною із здійсненням правосуддя,—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позбавленням волі на строк від п’яти до дванадцяти років.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Основним безпосереднім об’єктом злочину є встановлений законом порядок здійснення правосуддя в частині діяльності судді, народного засідателя чи присяжного. Додатковим обов’язковим його об’єктом виступає психічна та фізична недоторканність особи, а додатковим факультативним — її здоров’я.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Потерпілими від злочину можуть бути: 1) суддя; 2) народний засідатель; 3) присяжний; 4) їхні близькі родичі.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Під </w:t>
      </w:r>
      <w:r>
        <w:rPr>
          <w:i/>
          <w:iCs/>
          <w:sz w:val="28"/>
          <w:szCs w:val="28"/>
        </w:rPr>
        <w:t xml:space="preserve">суддею </w:t>
      </w:r>
      <w:r>
        <w:rPr>
          <w:sz w:val="28"/>
          <w:szCs w:val="28"/>
        </w:rPr>
        <w:t xml:space="preserve">у ст. 377 розуміється професійний суддя, який є службовою особою і в конституційному порядку наділений повноваженнями здійснювати правосуддя у КС чи будь-якому суді загальної юрисдикції (місцевому, апеляційному, касаційному, вищому спеціалізованому, ВС). Поняттям </w:t>
      </w:r>
      <w:r>
        <w:rPr>
          <w:i/>
          <w:iCs/>
          <w:sz w:val="28"/>
          <w:szCs w:val="28"/>
        </w:rPr>
        <w:t xml:space="preserve">суддя </w:t>
      </w:r>
      <w:r>
        <w:rPr>
          <w:sz w:val="28"/>
          <w:szCs w:val="28"/>
        </w:rPr>
        <w:t xml:space="preserve">охоплюються також голови і заступники вказаних судів: Водночас у даному випадку не охоплюються цим поняттям народний засідатель і присяжний, які у разі, коли вони беруть участь у розгляді справи, є також суддями- </w:t>
      </w:r>
      <w:r>
        <w:rPr>
          <w:i/>
          <w:iCs/>
          <w:sz w:val="28"/>
          <w:szCs w:val="28"/>
        </w:rPr>
        <w:t xml:space="preserve">Народні засідателі </w:t>
      </w:r>
      <w:r>
        <w:rPr>
          <w:sz w:val="28"/>
          <w:szCs w:val="28"/>
        </w:rPr>
        <w:t xml:space="preserve">і </w:t>
      </w:r>
      <w:r>
        <w:rPr>
          <w:i/>
          <w:iCs/>
          <w:sz w:val="28"/>
          <w:szCs w:val="28"/>
        </w:rPr>
        <w:t xml:space="preserve">присяжні — </w:t>
      </w:r>
      <w:r>
        <w:rPr>
          <w:sz w:val="28"/>
          <w:szCs w:val="28"/>
        </w:rPr>
        <w:t xml:space="preserve">це представники народу, які у визначених законом випадках залучаються для здійснення правосуддя. Порядок обрання (призначення), порядок залучення до правосуддя, процесуальний статус народних засідателів і присяжних визначаються законом. Про поняття близьких </w:t>
      </w:r>
      <w:r>
        <w:rPr>
          <w:i/>
          <w:iCs/>
          <w:sz w:val="28"/>
          <w:szCs w:val="28"/>
        </w:rPr>
        <w:t xml:space="preserve">родичів </w:t>
      </w:r>
      <w:r>
        <w:rPr>
          <w:sz w:val="28"/>
          <w:szCs w:val="28"/>
        </w:rPr>
        <w:t>див. коментар до ст. 115. Для кваліфікації посягання за ст- 377 не вимагається, щоб на момент його вчинення суддя обов’язково перебував на посаді судді, а народний засідатель та присяжний були залучені до здійснення правосуддя.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Об’єктивна сторона злочину полягає у вчиненні суспільно небезпечних дій чи бездіяльності і може виражатися у: 1) погрозі вбивством, насильством або знищенням чи пошкодженням майна щодо судді, народного засідателя чи присяжного, а також щодо їх близьких родичів (ч. 1 ст. 377); 2) умисному заподіянні цим особам побоїв, легких або середньої тяжкості тілесних ушкоджень (ч. 2 ст 377) 3) умисному зал одіянні тим самим особам тяжкого тілесного ушкодження (ч 3 ст. 377).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Усі ці діяння вчиняються у зв’язку з </w:t>
      </w:r>
      <w:r>
        <w:rPr>
          <w:i/>
          <w:iCs/>
          <w:sz w:val="28"/>
          <w:szCs w:val="28"/>
        </w:rPr>
        <w:t xml:space="preserve">діяльністю зазначених осіб, пов’язаною із здійсненням правосуддя. </w:t>
      </w:r>
      <w:r>
        <w:rPr>
          <w:sz w:val="28"/>
          <w:szCs w:val="28"/>
        </w:rPr>
        <w:t>Такою діяльністю насамперед слід визнавати діяльність суддії народного засідателя чи присяжного, яка власне і становить зміст здійснення правосуддя, а саме реалізацію у встановленому законом порядку своїх повноважень з підготовки до розгляду, розгляду судової справи, винесення у ній рішення та його виконання Діяльністю, пов’язаною із здій-ненням правосуддя, слід також визнавати будь-яку іншу службову діяльність судді яка хоч і опосередковано, але має відношення до здійснення правосуддя (проведення узагальнення судової практики розгляд звернень громадян тощо). Такою діяльністю є також дії організаційного та процесуального характеру, які суддя вчиняє у зв’язку із зайняттям ним адміністративної посади у суді (голови суду, його заступника) і які безпосередньо впливають на розгляд судової справи і полягають, зокрема, у призначенні суддів як головуючих у судових засіданнях, відводі суддів, принесенні протестів на рішення у судових справах, зупиненні виконання таких рішень, або пов’язані з вирішенням питань щодо організації діяльності суду (призначення і звільнення працівників суду, підвищення їх кваліфікації, керівництва канцелярією суду, кликання президії чи пленуму суду тощо). Водночас здійснення суддею діяльності, яка хоча певною мірою і обумовлена його статусом, але головним чином прямована на виконання інших, ніж здійснення правосуддя, функцій (наприклад, участь судді у науково-практичній конференції, підготовці нормативно-правових актів тощо), не охоплюється розглядуваним поняттям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Погроза або насильство щодо судді, народного засідателя чи присяжного, а також щодо їх близьких родичів, вчинені не у зв’язку з діяльністю, пов’язаною із здійсненням правосуддя, утворюють склад злочину проти здоров’я особи і потребують кваліфікації за відповідними статтями )собливої частини КК (ст. ст. 121, 122, 125, 129).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Описані у ст. 377 діяння можуть бути вчинені щодо судді, народного засідателя чи присяжного, а також їх близьких родичів до здійснення зазначеної діяльності, під час або після її здійснення.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поняття </w:t>
      </w:r>
      <w:r>
        <w:rPr>
          <w:i/>
          <w:iCs/>
          <w:sz w:val="28"/>
          <w:szCs w:val="28"/>
        </w:rPr>
        <w:t xml:space="preserve">погрози вбивством, насильством або знищенням майна </w:t>
      </w:r>
      <w:r>
        <w:rPr>
          <w:sz w:val="28"/>
          <w:szCs w:val="28"/>
        </w:rPr>
        <w:t xml:space="preserve">див. коментар, відповідно, до ст. ст. 129, 345 та 195. </w:t>
      </w:r>
      <w:r>
        <w:rPr>
          <w:i/>
          <w:iCs/>
          <w:sz w:val="28"/>
          <w:szCs w:val="28"/>
        </w:rPr>
        <w:t xml:space="preserve">Погроза пошкодженням майна </w:t>
      </w:r>
      <w:r>
        <w:rPr>
          <w:sz w:val="28"/>
          <w:szCs w:val="28"/>
        </w:rPr>
        <w:t>передбачає залякування потерпілого погіршенням якості, зменшенням цінності речі або доведення речі на якийсь час у непридатний, за її цільовим призначенням, стан. Погроза знищенням майна повністю охоплюється складом злочину, передбаченого ст. 377, і додаткової кваліфікації за ст. 195 не потребує. Погроза вбивством потребує самостійної кваліфікації (за ч. 2 ст. 129) лише у разі, коли вона вчиняється членом організованої групи. У всіх інших випадках її вчинення щодо судді, народного за-їдателя чи присяжного, а також їх близьких родичів вона підлягає кваліфікації лише за ч 1 ст. 377.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Погроза вбивством, насильством або знищенням чи пошкодженням майна щодо судді, народного засідателя чи присяжного, а так само щодо їх близьких родичів у зв’язку з їх діяльністю, пов’язаною  із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здійсненням ними правосуддя, якщо вона поєднана з грубим порушенням громадського порядку з мотивів явної неповаги до сус’ пільства і супроводжується особливою зухвалістю чи винятковим цинізмом, повинна кваліфікуватись за сукупністю злочинів — за ч. 1 ст. 377 і відповідною частиною ст. 296.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поняття </w:t>
      </w:r>
      <w:r>
        <w:rPr>
          <w:i/>
          <w:iCs/>
          <w:sz w:val="28"/>
          <w:szCs w:val="28"/>
        </w:rPr>
        <w:t xml:space="preserve">побоїв </w:t>
      </w:r>
      <w:r>
        <w:rPr>
          <w:sz w:val="28"/>
          <w:szCs w:val="28"/>
        </w:rPr>
        <w:t xml:space="preserve">див. коментар до ст. 126, про поняття </w:t>
      </w:r>
      <w:r>
        <w:rPr>
          <w:i/>
          <w:iCs/>
          <w:sz w:val="28"/>
          <w:szCs w:val="28"/>
        </w:rPr>
        <w:t xml:space="preserve">легких тілесних ушкоджень </w:t>
      </w:r>
      <w:r>
        <w:rPr>
          <w:sz w:val="28"/>
          <w:szCs w:val="28"/>
        </w:rPr>
        <w:t xml:space="preserve">див. коментар до ст. 125, </w:t>
      </w:r>
      <w:r>
        <w:rPr>
          <w:i/>
          <w:iCs/>
          <w:sz w:val="28"/>
          <w:szCs w:val="28"/>
        </w:rPr>
        <w:t xml:space="preserve">середньої тяжкості тілесних ушкоджень — </w:t>
      </w:r>
      <w:r>
        <w:rPr>
          <w:sz w:val="28"/>
          <w:szCs w:val="28"/>
        </w:rPr>
        <w:t xml:space="preserve">ст. 122 і коментар до неї, тяжких тілесних </w:t>
      </w:r>
      <w:r>
        <w:rPr>
          <w:i/>
          <w:iCs/>
          <w:sz w:val="28"/>
          <w:szCs w:val="28"/>
        </w:rPr>
        <w:t xml:space="preserve">ушкоджень — </w:t>
      </w:r>
      <w:r>
        <w:rPr>
          <w:sz w:val="28"/>
          <w:szCs w:val="28"/>
        </w:rPr>
        <w:t>ст. 121 і коментар до неї.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Заподіяння судді, народному засідателю чи присяжному, а також їх близьким родичам у зв’язку з діяльністю, пов’язаною із здійсненням правосуддя, побоїв (у т.ч. таких, що мають характер мордування, вчинених групою осіб, або з метою залякування потерпілого чи його близьких), легких, середньої тяжкості, а також тяжких тілесних ушкоджень повністю охоплюється, відповідно, ч. ч. 2 і З </w:t>
      </w:r>
      <w:r>
        <w:rPr>
          <w:i/>
          <w:iCs/>
          <w:sz w:val="28"/>
          <w:szCs w:val="28"/>
        </w:rPr>
        <w:t xml:space="preserve">ст. </w:t>
      </w:r>
      <w:r>
        <w:rPr>
          <w:sz w:val="28"/>
          <w:szCs w:val="28"/>
        </w:rPr>
        <w:t>377 і додаткової кваліфікації за ст. ст. 126, 125, 122 і 121 не потребує. Це не стосується умисного тяжкого тілесного ушкодження, що вчинене за обтяжуючих цей злочин обставин, яке слід кваліфікувати за ч. З ст. 377 та ч. 2 ст. 121.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Посягання на життя судді, народного засідателя чи присяжного або їх близьких родичів у зв’язку з їх діяльністю, пов’язаною із здійсненням правосуддя, кваліфікується за ст. 379, а посягання на життя певної категорії суддів за певних обставин — за ст. 112.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Злочин, передбачений ч. 1 ст. 377, вважається закінченим з моменту висловлення погрози і сприйняття її потерпілим, а злочин, передбачений ч. ч. 2 (за винятком побоїв) і 3 цієї статті, — з моменту заподіяння відповідних тілесних ушкоджень. Вчинення насильницьких дій у вигляді побоїв (ч. 2 ст. 377) є закінченим з моменту їх завдання.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Суб’єктом злочину, передбаченого ч. 1 ст. 377, а також умисного заподіяння потерпілому побоїв та легких тілесних ушкоджень (ч. 2 ст. 377) може бути осудна особа, яка досягла 16-річного віку, а суб’єктом заподіяння умисного середньої тяжкості (ч. 2 ст. 377) і тяжкого тілесного ушкодження (ч. З ст. 377) — 14 річного віку.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 Суб’єктивна сторона злочину характеризується прямим умислом. Обов’язковою ознакою умислу винного є усвідомлення ним соціального статусу потерпілого, а також зв’язку його дій з діяльністю потерпілого, пов’язаною із здійснення ним або його близьким родичем правосуддя. Мотивами вчинення злочину можуть бути тільки два: бажання припинити певні дії судді, народного засідателя чи присяжного або помста за їх діяльність. Якщо описані у цій статті дії були формою втручання в діяльність судді і вчинювалися з метою перешкодити виконання ним службових обов’язків або добитися винесення неправосудного рішення, вчинене утворює сукупність злочинів і потребує кваліфікації за відповідними частинами ст. ст. 377 і 376.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Конституція України (ст. ст, 124-129).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“Про господарські суди  від 4 червня 1991 р. (ст. ст. 4,20—22).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Закон України “Про статус суддів  від 15 грудня 1992р. (ст. ст. 1—15). </w:t>
      </w:r>
    </w:p>
    <w:p w:rsidR="003105F4" w:rsidRDefault="005B109E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“Про Конституційний Суд України   від 16 жовтня 1996 р. (. ст. 16-19).</w:t>
      </w:r>
    </w:p>
    <w:p w:rsidR="003105F4" w:rsidRDefault="003105F4">
      <w:pPr>
        <w:rPr>
          <w:lang w:val="uk-UA"/>
        </w:rPr>
      </w:pPr>
      <w:bookmarkStart w:id="0" w:name="_GoBack"/>
      <w:bookmarkEnd w:id="0"/>
    </w:p>
    <w:sectPr w:rsidR="003105F4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09E"/>
    <w:rsid w:val="003105F4"/>
    <w:rsid w:val="005B109E"/>
    <w:rsid w:val="007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3AC0-255B-4A3D-858B-CF4B10F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14005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2014-04-24T12:28:00Z</dcterms:created>
  <dcterms:modified xsi:type="dcterms:W3CDTF">2014-04-24T12:28:00Z</dcterms:modified>
  <cp:category>Право. Міжнародні відносини</cp:category>
</cp:coreProperties>
</file>