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73" w:rsidRDefault="00C03DBD">
      <w:pPr>
        <w:rPr>
          <w:b/>
          <w:sz w:val="24"/>
        </w:rPr>
      </w:pPr>
      <w:r>
        <w:rPr>
          <w:sz w:val="24"/>
        </w:rPr>
        <w:tab/>
        <w:t xml:space="preserve">Рассмотрим одну из проблем формирования тендера – </w:t>
      </w:r>
      <w:r>
        <w:rPr>
          <w:b/>
          <w:sz w:val="24"/>
        </w:rPr>
        <w:t xml:space="preserve">разработку методики оценки конкурсных предложений. </w:t>
      </w:r>
      <w:r>
        <w:rPr>
          <w:sz w:val="24"/>
        </w:rPr>
        <w:t xml:space="preserve">Построим </w:t>
      </w:r>
      <w:r>
        <w:rPr>
          <w:b/>
          <w:sz w:val="24"/>
        </w:rPr>
        <w:t>дерево целей.</w:t>
      </w:r>
    </w:p>
    <w:p w:rsidR="00B41673" w:rsidRDefault="00B41673">
      <w:pPr>
        <w:rPr>
          <w:b/>
          <w:sz w:val="24"/>
        </w:rPr>
      </w:pPr>
    </w:p>
    <w:p w:rsidR="00B41673" w:rsidRDefault="006F55DB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0;width:287.5pt;height:420.95pt;z-index:251657216" o:allowincell="f">
            <v:imagedata r:id="rId4" o:title=""/>
            <w10:wrap type="topAndBottom"/>
          </v:shape>
        </w:pict>
      </w: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C03DBD">
      <w:pPr>
        <w:rPr>
          <w:sz w:val="24"/>
        </w:rPr>
      </w:pPr>
      <w:r>
        <w:rPr>
          <w:sz w:val="24"/>
        </w:rPr>
        <w:t>При решении данной проблемы следует решить следующие задачи:</w:t>
      </w:r>
    </w:p>
    <w:p w:rsidR="00B41673" w:rsidRDefault="00B41673">
      <w:pPr>
        <w:rPr>
          <w:sz w:val="24"/>
        </w:rPr>
      </w:pPr>
    </w:p>
    <w:p w:rsidR="00B41673" w:rsidRDefault="006F55DB">
      <w:pPr>
        <w:pStyle w:val="a3"/>
      </w:pPr>
      <w:r>
        <w:rPr>
          <w:noProof/>
        </w:rPr>
        <w:pict>
          <v:shape id="_x0000_s1032" type="#_x0000_t75" style="position:absolute;margin-left:0;margin-top:0;width:287.5pt;height:195pt;z-index:251658240" o:allowincell="f">
            <v:imagedata r:id="rId5" o:title=""/>
            <w10:wrap type="topAndBottom"/>
          </v:shape>
        </w:pict>
      </w:r>
    </w:p>
    <w:p w:rsidR="00B41673" w:rsidRDefault="00C03DBD">
      <w:pPr>
        <w:rPr>
          <w:sz w:val="24"/>
        </w:rPr>
      </w:pPr>
      <w:r>
        <w:rPr>
          <w:sz w:val="24"/>
        </w:rPr>
        <w:tab/>
        <w:t>Таким образом, предложения оцениваются исключительно на основе критериев, обусловленных в документах для торгов. Там, где это целесообразно, документация описывает методологию количественной оценки в денежном выражении каждого из аспектов конкурсного предложения. Кроме того, в этих документах отмечается относительная важность различных критериев и каждому из них присваивается определенный удельный вес. Участник торгов, получивший самую низкую оценку, необязательно будет являться участником с самой низкой ценой. Критерии оценки, изложенные в документах для торгов, часто включают неценовые факторы, например, эксплуатационные характеристики, наличие запчастей или обеспечение технического обслуживания. Документы для торгов должны четко объяснять все указанные оценочные критерии и процедуры сопоставления.</w:t>
      </w:r>
    </w:p>
    <w:p w:rsidR="00B41673" w:rsidRDefault="00C03DBD">
      <w:pPr>
        <w:rPr>
          <w:sz w:val="24"/>
        </w:rPr>
      </w:pPr>
      <w:r>
        <w:rPr>
          <w:sz w:val="24"/>
        </w:rPr>
        <w:tab/>
        <w:t>При бальной системе оценки, баллы присваиваются всем факторам, включая цену. Участник торгов, получивший наибольшее количество баллов, выигрывает контракт.</w:t>
      </w: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B41673">
      <w:pPr>
        <w:rPr>
          <w:b/>
          <w:sz w:val="24"/>
        </w:rPr>
      </w:pPr>
    </w:p>
    <w:p w:rsidR="00B41673" w:rsidRDefault="00B41673">
      <w:pPr>
        <w:rPr>
          <w:b/>
          <w:sz w:val="24"/>
        </w:rPr>
      </w:pPr>
    </w:p>
    <w:p w:rsidR="00B41673" w:rsidRDefault="00B41673">
      <w:pPr>
        <w:rPr>
          <w:b/>
          <w:sz w:val="24"/>
        </w:rPr>
      </w:pPr>
    </w:p>
    <w:p w:rsidR="00B41673" w:rsidRDefault="00B41673">
      <w:pPr>
        <w:rPr>
          <w:b/>
          <w:sz w:val="24"/>
        </w:rPr>
      </w:pPr>
    </w:p>
    <w:p w:rsidR="00B41673" w:rsidRDefault="00B41673">
      <w:pPr>
        <w:rPr>
          <w:b/>
          <w:sz w:val="24"/>
        </w:rPr>
      </w:pPr>
    </w:p>
    <w:p w:rsidR="00B41673" w:rsidRDefault="00C03DBD">
      <w:pPr>
        <w:rPr>
          <w:b/>
          <w:sz w:val="24"/>
        </w:rPr>
      </w:pPr>
      <w:r>
        <w:rPr>
          <w:b/>
          <w:sz w:val="24"/>
        </w:rPr>
        <w:t>3. Научно-методическая часть</w:t>
      </w:r>
    </w:p>
    <w:p w:rsidR="00B41673" w:rsidRDefault="00B41673">
      <w:pPr>
        <w:rPr>
          <w:b/>
          <w:sz w:val="24"/>
        </w:rPr>
      </w:pPr>
    </w:p>
    <w:p w:rsidR="00B41673" w:rsidRDefault="00B41673">
      <w:pPr>
        <w:rPr>
          <w:b/>
          <w:sz w:val="24"/>
        </w:rPr>
      </w:pPr>
    </w:p>
    <w:p w:rsidR="00B41673" w:rsidRDefault="00C03DBD">
      <w:pPr>
        <w:rPr>
          <w:b/>
          <w:sz w:val="24"/>
        </w:rPr>
      </w:pPr>
      <w:r>
        <w:rPr>
          <w:sz w:val="24"/>
        </w:rPr>
        <w:tab/>
        <w:t xml:space="preserve">При оценке конкурсных предложений применим </w:t>
      </w:r>
      <w:r>
        <w:rPr>
          <w:b/>
          <w:sz w:val="24"/>
        </w:rPr>
        <w:t>метод экспертной оценки.</w:t>
      </w: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b/>
          <w:sz w:val="24"/>
          <w:lang w:val="en-US"/>
        </w:rPr>
      </w:pPr>
    </w:p>
    <w:p w:rsidR="00B41673" w:rsidRDefault="00C03DBD">
      <w:pPr>
        <w:pStyle w:val="1"/>
        <w:spacing w:before="460"/>
        <w:ind w:left="0"/>
        <w:jc w:val="center"/>
      </w:pPr>
      <w:r>
        <w:rPr>
          <w:b/>
        </w:rPr>
        <w:t>Общая оценка ценовых и технических факторов</w:t>
      </w:r>
    </w:p>
    <w:p w:rsidR="00B41673" w:rsidRDefault="00C03DBD">
      <w:pPr>
        <w:pStyle w:val="1"/>
        <w:spacing w:before="220"/>
        <w:ind w:left="480"/>
        <w:jc w:val="both"/>
      </w:pPr>
      <w:r>
        <w:t>Покупатель проведет оценку и сравнительный анализ конкурсных предложений 2-й стадии,  ранее  признанных в  основном соответствующими требованиям. Ценовая и техническая оценка конкурсных предложений будет проводиться по системе баллов.</w:t>
      </w:r>
      <w:r>
        <w:rPr>
          <w:b/>
        </w:rPr>
        <w:t xml:space="preserve"> Сумма ценовых и технических баллов, а также формула, комбинирующая указанные баллы с целью определения относительного рейтинга участников торгов</w:t>
      </w:r>
      <w:r>
        <w:rPr>
          <w:b/>
          <w:lang w:val="en-US"/>
        </w:rPr>
        <w:t xml:space="preserve">. </w:t>
      </w:r>
      <w:r>
        <w:t>Оценка конкурсных предложений, в основном соответствующих требованиям, будет осуществляться в 2 этапа:</w:t>
      </w:r>
    </w:p>
    <w:p w:rsidR="00B41673" w:rsidRDefault="00C03DBD">
      <w:pPr>
        <w:pStyle w:val="1"/>
        <w:spacing w:before="200"/>
        <w:ind w:left="480"/>
        <w:jc w:val="both"/>
      </w:pPr>
      <w:r>
        <w:rPr>
          <w:u w:val="single"/>
        </w:rPr>
        <w:t>Этап I.</w:t>
      </w:r>
      <w:r>
        <w:t xml:space="preserve"> На первом этапе оценки общая цена каждого конкурсного предложения будет определяться путем внесения необходимых корректировок в установленную Участником торгов первоначальную цену с применением оценочных факторов. Покупатель также оставляет за собой право произвести оценку стоимости необходимых товаров или услуг, если она не упомянута, как того требует процедура, в конкурсном предложении. Вышеуказанная стоимость будет импутирована по максимальной стоимости, приведенной другими Поставщиками, чьи конкурсные предложения являются соответствующими требованиям, и будет добавлена к цене рассматриваемого конкурсного предложения с целью осуществления сравнительного анализа и оценки.</w:t>
      </w:r>
    </w:p>
    <w:p w:rsidR="00B41673" w:rsidRDefault="00C03DBD">
      <w:pPr>
        <w:pStyle w:val="1"/>
        <w:spacing w:before="200"/>
        <w:ind w:left="480"/>
      </w:pPr>
      <w:r>
        <w:rPr>
          <w:u w:val="single"/>
        </w:rPr>
        <w:t>Этап II</w:t>
      </w:r>
    </w:p>
    <w:p w:rsidR="00B41673" w:rsidRDefault="00C03DBD">
      <w:pPr>
        <w:pStyle w:val="1"/>
        <w:spacing w:before="180"/>
        <w:ind w:left="1040" w:hanging="540"/>
        <w:jc w:val="both"/>
      </w:pPr>
      <w:r>
        <w:t xml:space="preserve">а). Общая цена конкурсного предложения, определенная в ходе первого этапа оценки (Рп) по формуле будет сопоставлена с минимальной из имеющихся в конкурсных предложениях цен (Р </w:t>
      </w:r>
      <w:r>
        <w:rPr>
          <w:lang w:val="en-US"/>
        </w:rPr>
        <w:t>min</w:t>
      </w:r>
      <w:r>
        <w:t xml:space="preserve"> );</w:t>
      </w:r>
    </w:p>
    <w:p w:rsidR="00B41673" w:rsidRDefault="00C03DBD">
      <w:pPr>
        <w:pStyle w:val="1"/>
        <w:spacing w:before="200"/>
        <w:ind w:left="1040" w:hanging="540"/>
        <w:jc w:val="both"/>
        <w:rPr>
          <w:lang w:val="en-US"/>
        </w:rPr>
      </w:pPr>
      <w:r>
        <w:t>б)  при технической оценке конкурсных предложений максимальное количество баллов, начисляемых за технические характеристики конкурсного предложения (Т</w:t>
      </w:r>
      <w:r>
        <w:rPr>
          <w:lang w:val="en-US"/>
        </w:rPr>
        <w:t>m</w:t>
      </w:r>
      <w:r>
        <w:t xml:space="preserve">ах), будет сопоставлено с суммой баллов, начисляемых за технические характеристики каждого конкурсного предложения (Тп) </w:t>
      </w:r>
    </w:p>
    <w:p w:rsidR="00B41673" w:rsidRDefault="00C03DBD">
      <w:pPr>
        <w:pStyle w:val="1"/>
        <w:spacing w:before="200"/>
        <w:ind w:left="1040" w:hanging="540"/>
        <w:jc w:val="both"/>
      </w:pPr>
      <w:r>
        <w:t>в)   окончательная сумма баллов каждого конкурсного предложения (</w:t>
      </w:r>
      <w:r>
        <w:rPr>
          <w:lang w:val="en-US"/>
        </w:rPr>
        <w:t>Rn</w:t>
      </w:r>
      <w:r>
        <w:t>) будет рассчитываться посредством комбинирования ценовых и технических баллов по формуле. Конкурсное предложение, имеющее наиболее высокую комбинацию баллов, будет считаться имеющим наименьшую стоимость, подлежащим присуждению контракта после соответствующего подтверждения квалификации.</w:t>
      </w:r>
    </w:p>
    <w:p w:rsidR="00B41673" w:rsidRDefault="00B41673">
      <w:pPr>
        <w:pStyle w:val="1"/>
        <w:spacing w:before="200"/>
        <w:ind w:left="1040" w:hanging="540"/>
        <w:jc w:val="both"/>
        <w:sectPr w:rsidR="00B41673">
          <w:type w:val="continuous"/>
          <w:pgSz w:w="11900" w:h="16820"/>
          <w:pgMar w:top="1440" w:right="2000" w:bottom="720" w:left="1440" w:header="720" w:footer="720" w:gutter="0"/>
          <w:cols w:space="60"/>
          <w:noEndnote/>
        </w:sectPr>
      </w:pPr>
    </w:p>
    <w:p w:rsidR="00B41673" w:rsidRDefault="00C03DBD">
      <w:pPr>
        <w:pStyle w:val="1"/>
        <w:spacing w:before="0"/>
        <w:ind w:left="0"/>
        <w:jc w:val="center"/>
      </w:pPr>
      <w:r>
        <w:rPr>
          <w:b/>
        </w:rPr>
        <w:t>Формула комбинирования ценовых и технических факторов</w:t>
      </w:r>
    </w:p>
    <w:p w:rsidR="00B41673" w:rsidRDefault="00C03DBD">
      <w:pPr>
        <w:pStyle w:val="1"/>
        <w:spacing w:before="580"/>
        <w:ind w:left="40"/>
      </w:pPr>
      <w:r>
        <w:t>Примечание: При разработке методики комбинирования ценовых и технических баллов конкурсных предложений просим рассмотреть приведенный пример, объяснительную записку (приложение к данному разделу) и проконсультироваться с руководителем проекта и/или консультантом Всемирного Банка по информационной технологии с целью получения содействия в определении баллов, присуждаемых ценовым и техническим параметрам в формуле.</w:t>
      </w:r>
    </w:p>
    <w:p w:rsidR="00B41673" w:rsidRDefault="00C03DBD">
      <w:pPr>
        <w:pStyle w:val="1"/>
        <w:spacing w:before="440"/>
        <w:ind w:left="520" w:hanging="520"/>
        <w:jc w:val="both"/>
      </w:pPr>
      <w:r>
        <w:t>Окончательный результат по каждому конкурсному предложению (К) рассчитывается</w:t>
      </w:r>
    </w:p>
    <w:p w:rsidR="00B41673" w:rsidRDefault="00C03DBD">
      <w:pPr>
        <w:pStyle w:val="1"/>
        <w:spacing w:before="440"/>
        <w:ind w:left="0"/>
        <w:jc w:val="both"/>
      </w:pPr>
      <w:r>
        <w:t>по формуле:</w:t>
      </w:r>
    </w:p>
    <w:p w:rsidR="00B41673" w:rsidRDefault="00C03DBD">
      <w:pPr>
        <w:pStyle w:val="1"/>
        <w:spacing w:before="240"/>
        <w:ind w:left="0"/>
        <w:jc w:val="center"/>
      </w:pPr>
      <w:r>
        <w:t>(вставить формулу)</w:t>
      </w:r>
    </w:p>
    <w:p w:rsidR="00B41673" w:rsidRDefault="00C03DBD">
      <w:pPr>
        <w:pStyle w:val="1"/>
        <w:spacing w:before="420"/>
        <w:ind w:left="40"/>
      </w:pPr>
      <w:r>
        <w:t>Пример:</w:t>
      </w:r>
    </w:p>
    <w:p w:rsidR="00B41673" w:rsidRDefault="00C03DBD">
      <w:pPr>
        <w:pStyle w:val="1"/>
        <w:spacing w:before="200"/>
        <w:ind w:left="640" w:right="400"/>
      </w:pPr>
      <w:r>
        <w:t>Окончательный результат каждого конкурсного предложения (К ) рассчитывается по формуле:</w:t>
      </w:r>
    </w:p>
    <w:p w:rsidR="00B41673" w:rsidRDefault="00C03DBD">
      <w:pPr>
        <w:pStyle w:val="1"/>
        <w:spacing w:before="240"/>
        <w:ind w:left="0"/>
        <w:jc w:val="center"/>
      </w:pPr>
      <w:r>
        <w:t>К = ((Р/Р</w:t>
      </w:r>
      <w:r>
        <w:rPr>
          <w:lang w:val="en-US"/>
        </w:rPr>
        <w:t>min</w:t>
      </w:r>
      <w:r>
        <w:t>) х X) + ((Т</w:t>
      </w:r>
      <w:r>
        <w:rPr>
          <w:lang w:val="en-US"/>
        </w:rPr>
        <w:t>m</w:t>
      </w:r>
      <w:r>
        <w:t>ах/Т) х У)</w:t>
      </w:r>
    </w:p>
    <w:p w:rsidR="00B41673" w:rsidRDefault="00C03DBD">
      <w:pPr>
        <w:pStyle w:val="1"/>
        <w:spacing w:before="220"/>
        <w:ind w:left="560"/>
      </w:pPr>
      <w:r>
        <w:t xml:space="preserve">Конкурсное предложение с минимальной величиной </w:t>
      </w:r>
      <w:r>
        <w:rPr>
          <w:lang w:val="en-US"/>
        </w:rPr>
        <w:t>R</w:t>
      </w:r>
      <w:r>
        <w:t xml:space="preserve"> и объявляется "конкурсным предложением, имеющим наименьшую стоимость" и подлежит присуждению контракта.</w:t>
      </w:r>
    </w:p>
    <w:p w:rsidR="00B41673" w:rsidRDefault="00C03DBD">
      <w:pPr>
        <w:pStyle w:val="1"/>
        <w:spacing w:before="220"/>
        <w:ind w:left="560" w:right="800"/>
      </w:pPr>
      <w:r>
        <w:t xml:space="preserve">Можно привести следующие примеры ценовых и технических параметров (X и У соответственно), служащие исключительно в качестве </w:t>
      </w:r>
      <w:r>
        <w:rPr>
          <w:i/>
        </w:rPr>
        <w:t>иллюстрации:</w:t>
      </w:r>
    </w:p>
    <w:p w:rsidR="00B41673" w:rsidRDefault="00C03DBD">
      <w:pPr>
        <w:pStyle w:val="1"/>
        <w:spacing w:before="200"/>
        <w:ind w:left="1200" w:hanging="560"/>
      </w:pPr>
      <w:r>
        <w:t xml:space="preserve">1)   комплексная универсальная ЭВМ или только миникомпьютеры </w:t>
      </w:r>
      <w:r>
        <w:rPr>
          <w:b/>
        </w:rPr>
        <w:t>(0,80 -</w:t>
      </w:r>
      <w:r>
        <w:t xml:space="preserve"> 0,20);</w:t>
      </w:r>
    </w:p>
    <w:p w:rsidR="00B41673" w:rsidRDefault="00C03DBD">
      <w:pPr>
        <w:pStyle w:val="1"/>
        <w:spacing w:before="240"/>
        <w:ind w:left="1200" w:hanging="560"/>
      </w:pPr>
      <w:r>
        <w:t>2)   только пакеты прикладных программ</w:t>
      </w:r>
      <w:r>
        <w:rPr>
          <w:b/>
        </w:rPr>
        <w:t xml:space="preserve"> (0,50 -</w:t>
      </w:r>
      <w:r>
        <w:t xml:space="preserve"> 0,50);</w:t>
      </w:r>
    </w:p>
    <w:p w:rsidR="00B41673" w:rsidRDefault="00C03DBD">
      <w:pPr>
        <w:pStyle w:val="1"/>
        <w:spacing w:before="240"/>
        <w:ind w:left="1200" w:hanging="560"/>
      </w:pPr>
      <w:r>
        <w:t>3)   инструменты разработки программного обеспечения (0,70 - 0,30);</w:t>
      </w:r>
    </w:p>
    <w:p w:rsidR="00B41673" w:rsidRDefault="00C03DBD">
      <w:pPr>
        <w:pStyle w:val="1"/>
        <w:spacing w:before="200"/>
        <w:ind w:left="1200" w:hanging="560"/>
      </w:pPr>
      <w:r>
        <w:t>4)   телекоммуникационное оборудование и сетевое управление (0,75 -0,25);</w:t>
      </w:r>
    </w:p>
    <w:p w:rsidR="00B41673" w:rsidRDefault="00C03DBD">
      <w:pPr>
        <w:pStyle w:val="1"/>
        <w:spacing w:before="240"/>
        <w:ind w:left="1200" w:hanging="560"/>
      </w:pPr>
      <w:r>
        <w:t>5)   услуги по интеграции систем</w:t>
      </w:r>
      <w:r>
        <w:rPr>
          <w:b/>
        </w:rPr>
        <w:t xml:space="preserve"> (0,60</w:t>
      </w:r>
      <w:r>
        <w:t xml:space="preserve"> - 0,40).</w:t>
      </w:r>
    </w:p>
    <w:p w:rsidR="00B41673" w:rsidRDefault="00B41673">
      <w:pPr>
        <w:pStyle w:val="1"/>
        <w:spacing w:before="240"/>
        <w:ind w:left="1200" w:hanging="560"/>
        <w:sectPr w:rsidR="00B41673">
          <w:pgSz w:w="11900" w:h="16820"/>
          <w:pgMar w:top="1440" w:right="1440" w:bottom="720" w:left="1440" w:header="720" w:footer="720" w:gutter="0"/>
          <w:cols w:space="60"/>
          <w:noEndnote/>
        </w:sectPr>
      </w:pPr>
    </w:p>
    <w:p w:rsidR="00B41673" w:rsidRDefault="00C03DBD">
      <w:pPr>
        <w:pStyle w:val="1"/>
        <w:spacing w:before="0"/>
        <w:ind w:left="640"/>
      </w:pPr>
      <w:r>
        <w:t>Данные параметры варьируются в зависимости от сложности процесса закупок с тем, чтобы иметь возможность точнее сформулировать требования. Поэтому прикладным программам придается больший вес сообразно количеству решаемых задач и степени гибкости в удовлетворении рабочих потребностей. Элементы компьютерного оборудования могут быть определены и взвешены с относительной точностью и, следовательно, их техническим характеристикам придается меньший, по сравнению с ценовыми факторами, вес.</w:t>
      </w:r>
    </w:p>
    <w:p w:rsidR="00B41673" w:rsidRDefault="00C03DBD">
      <w:pPr>
        <w:pStyle w:val="1"/>
        <w:spacing w:before="420"/>
        <w:ind w:left="640"/>
      </w:pPr>
      <w:r>
        <w:t>Более того, поскольку ко второму этапу технические характеристики должны характеризоваться относительным единообразием и стандартностью для всех соответствующих требованиям конкурсных предложений, больший вес должен придаваться ценовому фактору. Еще раз подчеркиваем, что основное внимание на первом этапе оценки необходимо уделить обеспечению единообразия и стандартности технической стороны конкурсных предложений.</w:t>
      </w:r>
    </w:p>
    <w:p w:rsidR="00B41673" w:rsidRDefault="00C03DBD">
      <w:pPr>
        <w:pStyle w:val="1"/>
        <w:spacing w:before="480"/>
        <w:ind w:left="0"/>
        <w:jc w:val="center"/>
      </w:pPr>
      <w:r>
        <w:rPr>
          <w:b/>
        </w:rPr>
        <w:t>Формула комбинирования инвестиций и текущих расходов:</w:t>
      </w:r>
    </w:p>
    <w:p w:rsidR="00B41673" w:rsidRDefault="00C03DBD">
      <w:pPr>
        <w:pStyle w:val="1"/>
        <w:spacing w:before="220"/>
        <w:ind w:left="520"/>
        <w:jc w:val="both"/>
      </w:pPr>
      <w:r>
        <w:t>Текущие расходы (В) будут комбинироваться с общими инвестиционными затратами по следующей формуле:</w:t>
      </w:r>
    </w:p>
    <w:p w:rsidR="00B41673" w:rsidRDefault="00C03DBD">
      <w:pPr>
        <w:pStyle w:val="1"/>
        <w:spacing w:before="240"/>
        <w:ind w:left="0"/>
        <w:jc w:val="center"/>
      </w:pPr>
      <w:r>
        <w:t>(вставить формулу)</w:t>
      </w:r>
    </w:p>
    <w:p w:rsidR="00B41673" w:rsidRDefault="00C03DBD">
      <w:pPr>
        <w:pStyle w:val="1"/>
        <w:spacing w:before="380"/>
        <w:ind w:left="640"/>
      </w:pPr>
      <w:r>
        <w:t>Примечание: При разработке методики комбинирования факторов инвестиций и текущих расходов просим обратиться к следующему примеру и проконсультироваться с руководителем проекта и/или консультантом по информационной технологии из Всемирного Банка с целью получения содействия в принятии решения по факторам текущих расходов и относительных весов (</w:t>
      </w:r>
      <w:r>
        <w:rPr>
          <w:lang w:val="en-US"/>
        </w:rPr>
        <w:t>F</w:t>
      </w:r>
      <w:r>
        <w:t xml:space="preserve">1 и </w:t>
      </w:r>
      <w:r>
        <w:rPr>
          <w:lang w:val="en-US"/>
        </w:rPr>
        <w:t>F2</w:t>
      </w:r>
      <w:r>
        <w:t xml:space="preserve"> ) стоимости инвестиций и текущих расходов.</w:t>
      </w:r>
    </w:p>
    <w:p w:rsidR="00B41673" w:rsidRDefault="00B41673">
      <w:pPr>
        <w:pStyle w:val="1"/>
        <w:spacing w:before="380"/>
        <w:ind w:left="640"/>
        <w:sectPr w:rsidR="00B41673">
          <w:pgSz w:w="11900" w:h="16820"/>
          <w:pgMar w:top="1440" w:right="1420" w:bottom="720" w:left="1420" w:header="720" w:footer="720" w:gutter="0"/>
          <w:cols w:space="60"/>
          <w:noEndnote/>
        </w:sectPr>
      </w:pPr>
    </w:p>
    <w:p w:rsidR="00B41673" w:rsidRDefault="00C03DBD">
      <w:pPr>
        <w:pStyle w:val="1"/>
        <w:spacing w:before="0" w:line="460" w:lineRule="auto"/>
        <w:ind w:left="0" w:right="4200"/>
      </w:pPr>
      <w:r>
        <w:t xml:space="preserve">Например: Р = С х </w:t>
      </w:r>
      <w:r>
        <w:rPr>
          <w:lang w:val="en-US"/>
        </w:rPr>
        <w:t>F</w:t>
      </w:r>
      <w:r>
        <w:t xml:space="preserve">1 + В х </w:t>
      </w:r>
      <w:r>
        <w:rPr>
          <w:lang w:val="en-US"/>
        </w:rPr>
        <w:t>F</w:t>
      </w:r>
      <w:r>
        <w:t>2, где</w:t>
      </w:r>
    </w:p>
    <w:p w:rsidR="00B41673" w:rsidRDefault="00C03DBD">
      <w:pPr>
        <w:pStyle w:val="1"/>
        <w:spacing w:before="240"/>
        <w:ind w:left="0"/>
        <w:jc w:val="both"/>
      </w:pPr>
      <w:r>
        <w:t>С</w:t>
      </w:r>
      <w:r>
        <w:tab/>
        <w:t>= общая приводимая цена на инвестиции/закупки системы;</w:t>
      </w:r>
    </w:p>
    <w:p w:rsidR="00B41673" w:rsidRDefault="00C03DBD">
      <w:pPr>
        <w:pStyle w:val="1"/>
        <w:spacing w:before="0"/>
        <w:ind w:left="0"/>
        <w:jc w:val="both"/>
      </w:pPr>
      <w:r>
        <w:t>В</w:t>
      </w:r>
      <w:r>
        <w:tab/>
        <w:t>= текущие расходы (см. ст. 33.4 Раздел 1 и форму 2 Раздел</w:t>
      </w:r>
    </w:p>
    <w:p w:rsidR="00B41673" w:rsidRDefault="00C03DBD">
      <w:pPr>
        <w:pStyle w:val="1"/>
        <w:spacing w:before="0"/>
        <w:ind w:left="1720"/>
      </w:pPr>
      <w:r>
        <w:tab/>
        <w:t>III) за определенные годы после первого гарантийного</w:t>
      </w:r>
    </w:p>
    <w:p w:rsidR="00B41673" w:rsidRDefault="00C03DBD">
      <w:pPr>
        <w:pStyle w:val="1"/>
        <w:spacing w:before="0"/>
        <w:ind w:left="1720"/>
      </w:pPr>
      <w:r>
        <w:tab/>
        <w:t>периода;</w:t>
      </w:r>
    </w:p>
    <w:p w:rsidR="00B41673" w:rsidRDefault="00C03DBD">
      <w:pPr>
        <w:pStyle w:val="1"/>
        <w:spacing w:before="0"/>
        <w:ind w:left="0"/>
      </w:pPr>
      <w:r>
        <w:rPr>
          <w:lang w:val="en-US"/>
        </w:rPr>
        <w:t>F</w:t>
      </w:r>
      <w:r>
        <w:t xml:space="preserve">1 и </w:t>
      </w:r>
      <w:r>
        <w:rPr>
          <w:lang w:val="en-US"/>
        </w:rPr>
        <w:t>F</w:t>
      </w:r>
      <w:r>
        <w:t>2 = проконсультироваться с руководителем проекта.</w:t>
      </w:r>
    </w:p>
    <w:p w:rsidR="00B41673" w:rsidRDefault="00C03DBD">
      <w:pPr>
        <w:pStyle w:val="1"/>
        <w:spacing w:before="240"/>
        <w:ind w:left="0"/>
      </w:pPr>
      <w:r>
        <w:t>Примеры текущих расходов:</w:t>
      </w:r>
    </w:p>
    <w:p w:rsidR="00B41673" w:rsidRDefault="00C03DBD">
      <w:pPr>
        <w:pStyle w:val="1"/>
        <w:spacing w:before="220"/>
        <w:ind w:left="40"/>
      </w:pPr>
      <w:r>
        <w:t>1)</w:t>
      </w:r>
      <w:r>
        <w:tab/>
        <w:t xml:space="preserve">обслуживание компьютерной техники после первого гарантийного </w:t>
      </w:r>
      <w:r>
        <w:tab/>
        <w:t>периода (включая, в случае необходимости, запасные части);</w:t>
      </w:r>
    </w:p>
    <w:p w:rsidR="00B41673" w:rsidRDefault="00C03DBD">
      <w:pPr>
        <w:pStyle w:val="1"/>
        <w:spacing w:before="220"/>
        <w:ind w:left="0"/>
      </w:pPr>
      <w:r>
        <w:t>2)</w:t>
      </w:r>
      <w:r>
        <w:tab/>
        <w:t xml:space="preserve">ведение операционного программного обеспечения и сервисных </w:t>
      </w:r>
      <w:r>
        <w:tab/>
        <w:t>программ/СУБД;</w:t>
      </w:r>
    </w:p>
    <w:p w:rsidR="00B41673" w:rsidRDefault="00C03DBD">
      <w:pPr>
        <w:pStyle w:val="1"/>
        <w:spacing w:before="240"/>
        <w:ind w:left="520" w:hanging="540"/>
      </w:pPr>
      <w:r>
        <w:t>3)</w:t>
      </w:r>
      <w:r>
        <w:tab/>
        <w:t>изменения программного обеспечения и стоимость лицензии;</w:t>
      </w:r>
    </w:p>
    <w:p w:rsidR="00B41673" w:rsidRDefault="00C03DBD">
      <w:pPr>
        <w:pStyle w:val="1"/>
        <w:spacing w:before="240"/>
        <w:ind w:left="520" w:hanging="540"/>
      </w:pPr>
      <w:r>
        <w:t>4)</w:t>
      </w:r>
      <w:r>
        <w:tab/>
        <w:t>доводка прикладных программ и их ведение;</w:t>
      </w:r>
    </w:p>
    <w:p w:rsidR="00B41673" w:rsidRDefault="00C03DBD">
      <w:pPr>
        <w:pStyle w:val="1"/>
        <w:spacing w:before="220"/>
        <w:ind w:left="0" w:right="800"/>
      </w:pPr>
      <w:r>
        <w:t>5)</w:t>
      </w:r>
      <w:r>
        <w:tab/>
        <w:t xml:space="preserve">импутированная стоимость разработки новых прикладных </w:t>
      </w:r>
      <w:r>
        <w:tab/>
        <w:t>программ/функций;</w:t>
      </w:r>
    </w:p>
    <w:p w:rsidR="00B41673" w:rsidRDefault="00C03DBD">
      <w:pPr>
        <w:pStyle w:val="1"/>
        <w:spacing w:before="220"/>
        <w:ind w:left="0" w:right="400"/>
      </w:pPr>
      <w:r>
        <w:t>6)</w:t>
      </w:r>
      <w:r>
        <w:tab/>
        <w:t xml:space="preserve">если это не входит в конкурсное предложение, конвертация </w:t>
      </w:r>
      <w:r>
        <w:tab/>
        <w:t>существующих компьютерных файлов и записей;</w:t>
      </w:r>
    </w:p>
    <w:p w:rsidR="00B41673" w:rsidRDefault="00C03DBD">
      <w:pPr>
        <w:pStyle w:val="1"/>
        <w:spacing w:before="220"/>
        <w:ind w:left="0" w:right="1400"/>
        <w:jc w:val="both"/>
      </w:pPr>
      <w:r>
        <w:t>7)</w:t>
      </w:r>
      <w:r>
        <w:tab/>
        <w:t xml:space="preserve">если это не входит в конкурсное предложение, дизайн </w:t>
      </w:r>
      <w:r>
        <w:tab/>
        <w:t>производственных площадей и поддержка подготовки;</w:t>
      </w:r>
    </w:p>
    <w:p w:rsidR="00B41673" w:rsidRDefault="00C03DBD">
      <w:pPr>
        <w:pStyle w:val="1"/>
        <w:spacing w:before="240"/>
        <w:ind w:left="520" w:hanging="540"/>
      </w:pPr>
      <w:r>
        <w:t>8)</w:t>
      </w:r>
      <w:r>
        <w:tab/>
        <w:t>расходные материалы;</w:t>
      </w:r>
    </w:p>
    <w:p w:rsidR="00B41673" w:rsidRDefault="00C03DBD">
      <w:pPr>
        <w:pStyle w:val="1"/>
        <w:spacing w:before="240"/>
        <w:ind w:left="520" w:hanging="540"/>
      </w:pPr>
      <w:r>
        <w:t>9)</w:t>
      </w:r>
      <w:r>
        <w:tab/>
        <w:t>если это не входит в конкурсное предложение, обучение;</w:t>
      </w:r>
    </w:p>
    <w:p w:rsidR="00B41673" w:rsidRDefault="00C03DBD">
      <w:pPr>
        <w:pStyle w:val="1"/>
        <w:spacing w:before="240"/>
        <w:ind w:left="520" w:hanging="540"/>
      </w:pPr>
      <w:r>
        <w:t>10)</w:t>
      </w:r>
      <w:r>
        <w:tab/>
        <w:t>плата за пользование телекоммуникациями;</w:t>
      </w:r>
    </w:p>
    <w:p w:rsidR="00B41673" w:rsidRDefault="00C03DBD">
      <w:pPr>
        <w:pStyle w:val="1"/>
        <w:spacing w:before="240"/>
        <w:ind w:left="520" w:hanging="540"/>
      </w:pPr>
      <w:r>
        <w:t>11)</w:t>
      </w:r>
      <w:r>
        <w:tab/>
        <w:t>аренда резервного оборудования;</w:t>
      </w:r>
    </w:p>
    <w:p w:rsidR="00B41673" w:rsidRDefault="00C03DBD">
      <w:pPr>
        <w:pStyle w:val="1"/>
        <w:spacing w:before="240"/>
        <w:ind w:left="520" w:hanging="540"/>
      </w:pPr>
      <w:r>
        <w:t>12)</w:t>
      </w:r>
      <w:r>
        <w:tab/>
        <w:t>оборудование среды тестирования;</w:t>
      </w:r>
    </w:p>
    <w:p w:rsidR="00B41673" w:rsidRDefault="00C03DBD">
      <w:pPr>
        <w:pStyle w:val="1"/>
        <w:spacing w:before="180"/>
        <w:ind w:left="0" w:right="400"/>
      </w:pPr>
      <w:r>
        <w:t>13)</w:t>
      </w:r>
      <w:r>
        <w:tab/>
        <w:t xml:space="preserve">если это не входит в конкурсное предложение, менеджмент </w:t>
      </w:r>
      <w:r>
        <w:tab/>
        <w:t>проекта;</w:t>
      </w:r>
    </w:p>
    <w:p w:rsidR="00B41673" w:rsidRDefault="00C03DBD">
      <w:pPr>
        <w:pStyle w:val="1"/>
        <w:spacing w:before="200"/>
        <w:ind w:left="0"/>
      </w:pPr>
      <w:r>
        <w:t>14)</w:t>
      </w:r>
      <w:r>
        <w:tab/>
        <w:t xml:space="preserve">если это не входит в конкурсное предложение, консалтинговые </w:t>
      </w:r>
      <w:r>
        <w:tab/>
        <w:t>услуги;</w:t>
      </w:r>
    </w:p>
    <w:p w:rsidR="00B41673" w:rsidRDefault="00C03DBD">
      <w:pPr>
        <w:pStyle w:val="1"/>
        <w:spacing w:before="220"/>
        <w:ind w:left="0"/>
      </w:pPr>
      <w:r>
        <w:t>15)</w:t>
      </w:r>
      <w:r>
        <w:tab/>
        <w:t xml:space="preserve">если это не входит в конкурсное предложение, оперативные услуги </w:t>
      </w:r>
      <w:r>
        <w:tab/>
        <w:t>в области менеджмента;</w:t>
      </w:r>
    </w:p>
    <w:p w:rsidR="00B41673" w:rsidRDefault="00B41673">
      <w:pPr>
        <w:pStyle w:val="1"/>
        <w:spacing w:before="220"/>
        <w:ind w:left="0"/>
        <w:sectPr w:rsidR="00B41673">
          <w:pgSz w:w="11900" w:h="16820"/>
          <w:pgMar w:top="1440" w:right="2340" w:bottom="720" w:left="1440" w:header="720" w:footer="720" w:gutter="0"/>
          <w:cols w:space="60"/>
          <w:noEndnote/>
        </w:sectPr>
      </w:pPr>
    </w:p>
    <w:p w:rsidR="00B41673" w:rsidRDefault="00C03DBD">
      <w:pPr>
        <w:pStyle w:val="1"/>
        <w:spacing w:before="0"/>
        <w:ind w:left="0"/>
        <w:jc w:val="center"/>
      </w:pPr>
      <w:r>
        <w:rPr>
          <w:b/>
        </w:rPr>
        <w:t>Метод оценки технических факторов</w:t>
      </w:r>
    </w:p>
    <w:p w:rsidR="00B41673" w:rsidRDefault="00C03DBD">
      <w:pPr>
        <w:pStyle w:val="1"/>
        <w:spacing w:before="220"/>
        <w:ind w:left="560"/>
        <w:jc w:val="both"/>
      </w:pPr>
      <w:r>
        <w:t>Данная оценка определит соответствие конкурсного предложения техническим характеристикам, приведенным в Разделе VIII, и другим параметрам. Необходимо подчеркнуть, что</w:t>
      </w:r>
      <w:r>
        <w:rPr>
          <w:b/>
        </w:rPr>
        <w:t xml:space="preserve"> несоответствие даже одному обязательному требованию, изложенному в Разделе УШ, приводит к отклонению от конкурсного предложения на основании его несоответствия Требованиям.</w:t>
      </w:r>
    </w:p>
    <w:p w:rsidR="00B41673" w:rsidRDefault="00C03DBD">
      <w:pPr>
        <w:pStyle w:val="1"/>
        <w:spacing w:before="580"/>
        <w:ind w:left="640"/>
      </w:pPr>
      <w:r>
        <w:t>Примечание: при разработке методики оценки технических параметров конкурсных предложений просим обратиться к объяснительной записке по оценке неценовых технических параметров (приложение к Разделу VII) и проконсультироваться с руководителем проекта и/или консультантом по информационной технологии Всемирного Банка с целью получения содействия по принятию решения по критериям и относительным весам каждого из неценовых технических параметров.</w:t>
      </w:r>
    </w:p>
    <w:p w:rsidR="00B41673" w:rsidRDefault="00C03DBD">
      <w:pPr>
        <w:pStyle w:val="1"/>
        <w:spacing w:before="440"/>
        <w:ind w:left="560"/>
      </w:pPr>
      <w:r>
        <w:t>Неценовым техническим параметрам присваиваются баллы (Т) на основе следующей схемы оценки.</w:t>
      </w:r>
    </w:p>
    <w:p w:rsidR="00B41673" w:rsidRDefault="00C03DBD">
      <w:pPr>
        <w:pStyle w:val="1"/>
      </w:pPr>
      <w:r>
        <w:t>Примечание: В принципе желательно разработать схемы технической оценки, максимизирующие количество проходных технических критериев и минимизирующие количество балльных критериев. Это дает возможность оценочной комиссии сосредоточить внимание на вопросах, неизбежно требующих оценки технических и бизнес-экспертов. Часто технические и эксплуатационные характеристики являются хорошими проходными критериями. Однако эксплуатационные характеристики, оказывающие явное влияние на изменение расходов с течением времени, могут потребовать балльной оценки. Тем не менее, и другие характеристики могут быть определены достаточно точно и на достаточно высоком уровне, так что дополнительные к указанным эксплуатационные характеристики не оказывают значительного влияния на общие эксплуатационные расходы и, следовательно, не требуют дополнительного неценового взвешивания.</w:t>
      </w:r>
    </w:p>
    <w:p w:rsidR="00B41673" w:rsidRDefault="00B41673">
      <w:pPr>
        <w:pStyle w:val="1"/>
        <w:sectPr w:rsidR="00B41673">
          <w:pgSz w:w="11900" w:h="16820"/>
          <w:pgMar w:top="1440" w:right="1440" w:bottom="720" w:left="1420" w:header="720" w:footer="720" w:gutter="0"/>
          <w:cols w:space="60"/>
          <w:noEndnote/>
        </w:sectPr>
      </w:pPr>
    </w:p>
    <w:p w:rsidR="00B41673" w:rsidRDefault="00C03DBD">
      <w:pPr>
        <w:pStyle w:val="1"/>
        <w:spacing w:before="0" w:line="460" w:lineRule="auto"/>
        <w:ind w:left="0" w:right="1800"/>
        <w:rPr>
          <w:lang w:val="en-US"/>
        </w:rPr>
      </w:pPr>
      <w:r>
        <w:t xml:space="preserve">Ниже приводится пример данных параметров. </w:t>
      </w:r>
    </w:p>
    <w:p w:rsidR="00B41673" w:rsidRDefault="00C03DBD">
      <w:pPr>
        <w:pStyle w:val="1"/>
        <w:spacing w:before="0" w:line="460" w:lineRule="auto"/>
        <w:ind w:left="0" w:right="1800"/>
      </w:pPr>
      <w:r>
        <w:rPr>
          <w:u w:val="single"/>
        </w:rPr>
        <w:t>Факторы технической оценки только желательных черт:</w:t>
      </w:r>
    </w:p>
    <w:p w:rsidR="00B41673" w:rsidRDefault="00C03DBD">
      <w:pPr>
        <w:pStyle w:val="1"/>
        <w:spacing w:before="260"/>
        <w:ind w:left="0"/>
      </w:pPr>
      <w:r>
        <w:t>А</w:t>
      </w:r>
      <w:r>
        <w:rPr>
          <w:lang w:val="en-US"/>
        </w:rPr>
        <w:t>S</w:t>
      </w:r>
      <w:r>
        <w:tab/>
        <w:t>-</w:t>
      </w:r>
      <w:r>
        <w:tab/>
        <w:t>прикладные программы</w:t>
      </w:r>
    </w:p>
    <w:p w:rsidR="00B41673" w:rsidRDefault="00C03DBD">
      <w:pPr>
        <w:pStyle w:val="1"/>
        <w:spacing w:before="0"/>
        <w:ind w:left="0"/>
      </w:pPr>
      <w:r>
        <w:t>Н</w:t>
      </w:r>
      <w:r>
        <w:rPr>
          <w:lang w:val="en-US"/>
        </w:rPr>
        <w:t>W</w:t>
      </w:r>
      <w:r>
        <w:tab/>
        <w:t>-</w:t>
      </w:r>
      <w:r>
        <w:tab/>
        <w:t>компьютерное оборудование</w:t>
      </w:r>
    </w:p>
    <w:p w:rsidR="00B41673" w:rsidRDefault="00C03DBD">
      <w:pPr>
        <w:pStyle w:val="1"/>
        <w:spacing w:before="0"/>
        <w:ind w:left="0"/>
      </w:pPr>
      <w:r>
        <w:rPr>
          <w:b/>
        </w:rPr>
        <w:t>СМ</w:t>
      </w:r>
      <w:r>
        <w:rPr>
          <w:b/>
        </w:rPr>
        <w:tab/>
        <w:t>-</w:t>
      </w:r>
      <w:r>
        <w:tab/>
        <w:t>коммуникации</w:t>
      </w:r>
    </w:p>
    <w:p w:rsidR="00B41673" w:rsidRDefault="00C03DBD">
      <w:pPr>
        <w:pStyle w:val="1"/>
        <w:spacing w:before="0"/>
        <w:ind w:left="0"/>
      </w:pPr>
      <w:r>
        <w:rPr>
          <w:lang w:val="en-US"/>
        </w:rPr>
        <w:t>SS</w:t>
      </w:r>
      <w:r>
        <w:tab/>
        <w:t>-</w:t>
      </w:r>
      <w:r>
        <w:tab/>
        <w:t>системное программное обеспечение</w:t>
      </w:r>
    </w:p>
    <w:p w:rsidR="00B41673" w:rsidRDefault="00C03DBD">
      <w:pPr>
        <w:pStyle w:val="1"/>
        <w:spacing w:before="0"/>
        <w:ind w:left="0"/>
      </w:pPr>
      <w:r>
        <w:rPr>
          <w:lang w:val="en-US"/>
        </w:rPr>
        <w:t>SD</w:t>
      </w:r>
      <w:r>
        <w:tab/>
        <w:t>-</w:t>
      </w:r>
      <w:r>
        <w:tab/>
        <w:t>инструменты разработки программного обеспечения/среда</w:t>
      </w:r>
    </w:p>
    <w:p w:rsidR="00B41673" w:rsidRDefault="00C03DBD">
      <w:pPr>
        <w:pStyle w:val="1"/>
        <w:spacing w:before="0"/>
        <w:ind w:left="0"/>
        <w:rPr>
          <w:lang w:val="en-US"/>
        </w:rPr>
      </w:pPr>
      <w:r>
        <w:t>АТ</w:t>
      </w:r>
      <w:r>
        <w:tab/>
        <w:t>-</w:t>
      </w:r>
      <w:r>
        <w:tab/>
        <w:t>АТМ, Р0</w:t>
      </w:r>
      <w:r>
        <w:rPr>
          <w:lang w:val="en-US"/>
        </w:rPr>
        <w:t>S</w:t>
      </w:r>
      <w:r>
        <w:t>, са</w:t>
      </w:r>
      <w:r>
        <w:rPr>
          <w:lang w:val="en-US"/>
        </w:rPr>
        <w:t>sh</w:t>
      </w:r>
      <w:r>
        <w:t xml:space="preserve"> </w:t>
      </w:r>
      <w:r>
        <w:rPr>
          <w:lang w:val="en-US"/>
        </w:rPr>
        <w:t>dispenser</w:t>
      </w:r>
    </w:p>
    <w:p w:rsidR="00B41673" w:rsidRDefault="00C03DBD">
      <w:pPr>
        <w:pStyle w:val="1"/>
        <w:spacing w:before="0"/>
        <w:ind w:left="0"/>
      </w:pPr>
      <w:r>
        <w:t>ТМ</w:t>
      </w:r>
      <w:r>
        <w:tab/>
        <w:t>-</w:t>
      </w:r>
      <w:r>
        <w:tab/>
        <w:t>Т</w:t>
      </w:r>
      <w:r>
        <w:rPr>
          <w:lang w:val="en-US"/>
        </w:rPr>
        <w:t>urnkey</w:t>
      </w:r>
      <w:r>
        <w:t xml:space="preserve"> </w:t>
      </w:r>
      <w:r>
        <w:rPr>
          <w:lang w:val="en-US"/>
        </w:rPr>
        <w:t>management</w:t>
      </w:r>
    </w:p>
    <w:p w:rsidR="00B41673" w:rsidRDefault="00C03DBD">
      <w:pPr>
        <w:pStyle w:val="1"/>
        <w:spacing w:before="0"/>
        <w:ind w:left="0"/>
      </w:pPr>
      <w:r>
        <w:t>Т</w:t>
      </w:r>
      <w:r>
        <w:rPr>
          <w:lang w:val="en-US"/>
        </w:rPr>
        <w:t>G</w:t>
      </w:r>
      <w:r>
        <w:tab/>
        <w:t>-</w:t>
      </w:r>
      <w:r>
        <w:tab/>
        <w:t>обучение</w:t>
      </w:r>
    </w:p>
    <w:p w:rsidR="00B41673" w:rsidRDefault="00C03DBD">
      <w:pPr>
        <w:pStyle w:val="1"/>
        <w:spacing w:before="0"/>
        <w:ind w:left="0"/>
        <w:jc w:val="both"/>
      </w:pPr>
      <w:r>
        <w:rPr>
          <w:b/>
          <w:lang w:val="en-US"/>
        </w:rPr>
        <w:t>SG</w:t>
      </w:r>
      <w:r>
        <w:tab/>
        <w:t>-</w:t>
      </w:r>
      <w:r>
        <w:tab/>
        <w:t>рекомендации и подтверждение эксплуатационных качеств</w:t>
      </w:r>
    </w:p>
    <w:p w:rsidR="00B41673" w:rsidRDefault="00C03DBD">
      <w:pPr>
        <w:pStyle w:val="1"/>
        <w:spacing w:before="0"/>
        <w:ind w:left="0" w:right="3800"/>
        <w:rPr>
          <w:lang w:val="en-US"/>
        </w:rPr>
      </w:pPr>
      <w:r>
        <w:tab/>
      </w:r>
      <w:r>
        <w:rPr>
          <w:lang w:val="en-US"/>
        </w:rPr>
        <w:tab/>
      </w:r>
      <w:r>
        <w:t xml:space="preserve">продукта Поставщиком </w:t>
      </w:r>
    </w:p>
    <w:p w:rsidR="00B41673" w:rsidRDefault="00C03DBD">
      <w:pPr>
        <w:pStyle w:val="1"/>
        <w:spacing w:before="0"/>
        <w:ind w:left="0" w:right="3800"/>
      </w:pPr>
      <w:r>
        <w:t>М</w:t>
      </w:r>
      <w:r>
        <w:rPr>
          <w:lang w:val="en-US"/>
        </w:rPr>
        <w:t>S</w:t>
      </w:r>
      <w:r>
        <w:tab/>
        <w:t>-</w:t>
      </w:r>
      <w:r>
        <w:tab/>
        <w:t>ведение и поддержка</w:t>
      </w:r>
    </w:p>
    <w:p w:rsidR="00B41673" w:rsidRDefault="00C03DBD">
      <w:pPr>
        <w:pStyle w:val="1"/>
        <w:spacing w:before="0"/>
        <w:ind w:left="1120"/>
      </w:pPr>
      <w:r>
        <w:tab/>
        <w:t>другие необходимые модули</w:t>
      </w:r>
    </w:p>
    <w:p w:rsidR="00B41673" w:rsidRDefault="00C03DBD">
      <w:pPr>
        <w:pStyle w:val="1"/>
        <w:spacing w:before="200"/>
        <w:ind w:left="0"/>
        <w:jc w:val="both"/>
      </w:pPr>
      <w:r>
        <w:rPr>
          <w:b/>
        </w:rPr>
        <w:t>Должна быть подсчитана взвешенная сумма критериев на основе вышеприведенных факторов.</w:t>
      </w:r>
    </w:p>
    <w:p w:rsidR="00B41673" w:rsidRDefault="00B41673">
      <w:pPr>
        <w:rPr>
          <w:b/>
          <w:sz w:val="24"/>
          <w:lang w:val="en-US"/>
        </w:rPr>
      </w:pPr>
    </w:p>
    <w:p w:rsidR="00B41673" w:rsidRDefault="00C03DBD">
      <w:pPr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C03DBD">
      <w:pPr>
        <w:rPr>
          <w:sz w:val="24"/>
        </w:rPr>
      </w:pPr>
      <w:r>
        <w:rPr>
          <w:sz w:val="24"/>
        </w:rPr>
        <w:t>Существует также трех этапный метод оценки конкурсных предложений:</w:t>
      </w:r>
    </w:p>
    <w:p w:rsidR="00B41673" w:rsidRDefault="00B41673">
      <w:pPr>
        <w:rPr>
          <w:sz w:val="24"/>
        </w:rPr>
      </w:pPr>
    </w:p>
    <w:p w:rsidR="00B41673" w:rsidRDefault="00B41673">
      <w:pPr>
        <w:rPr>
          <w:sz w:val="24"/>
        </w:rPr>
      </w:pPr>
    </w:p>
    <w:p w:rsidR="00B41673" w:rsidRDefault="00C03DBD">
      <w:pPr>
        <w:pStyle w:val="1"/>
        <w:spacing w:before="200"/>
      </w:pPr>
      <w:r>
        <w:rPr>
          <w:b/>
        </w:rPr>
        <w:t>ПРОЦЕСС ОЦЕНКИ.</w:t>
      </w:r>
    </w:p>
    <w:p w:rsidR="00B41673" w:rsidRDefault="00C03DBD">
      <w:pPr>
        <w:pStyle w:val="1"/>
        <w:spacing w:before="100"/>
        <w:ind w:left="640"/>
      </w:pPr>
      <w:r>
        <w:t>Оценка конкурсного предложения будет выполняться в три этапа;</w:t>
      </w:r>
    </w:p>
    <w:p w:rsidR="00B41673" w:rsidRDefault="00C03DBD">
      <w:pPr>
        <w:pStyle w:val="1"/>
        <w:spacing w:before="200" w:line="220" w:lineRule="auto"/>
        <w:ind w:left="400" w:firstLine="140"/>
      </w:pPr>
      <w:r>
        <w:t>1) Оценка цен: цена каждого предложения (</w:t>
      </w:r>
      <w:r>
        <w:rPr>
          <w:lang w:val="en-US"/>
        </w:rPr>
        <w:t xml:space="preserve"> An)</w:t>
      </w:r>
      <w:r>
        <w:t xml:space="preserve"> сравнивается с самой низкой предлагаемой ценой</w:t>
      </w:r>
      <w:r>
        <w:rPr>
          <w:lang w:val="en-US"/>
        </w:rPr>
        <w:t xml:space="preserve"> (Amin);</w:t>
      </w:r>
    </w:p>
    <w:p w:rsidR="00B41673" w:rsidRDefault="00C03DBD">
      <w:pPr>
        <w:pStyle w:val="1"/>
        <w:spacing w:before="0" w:line="220" w:lineRule="auto"/>
        <w:ind w:left="400" w:firstLine="140"/>
      </w:pPr>
      <w:r>
        <w:t>2) Оценка технических требований: самая высокая предлагаемая Техническая оценка (Т</w:t>
      </w:r>
      <w:r>
        <w:rPr>
          <w:lang w:val="en-US"/>
        </w:rPr>
        <w:t>m</w:t>
      </w:r>
      <w:r>
        <w:t>ах) сравнивается с технической оценкой каждого предложения:</w:t>
      </w:r>
    </w:p>
    <w:p w:rsidR="00B41673" w:rsidRDefault="00C03DBD">
      <w:pPr>
        <w:pStyle w:val="1"/>
        <w:spacing w:before="0" w:line="220" w:lineRule="auto"/>
        <w:ind w:left="400" w:firstLine="140"/>
      </w:pPr>
      <w:r>
        <w:t>3) Общая оценка каждого предложения (Рп) вычисляется по следующей формуле:</w:t>
      </w:r>
    </w:p>
    <w:p w:rsidR="00B41673" w:rsidRDefault="006F55DB">
      <w:pPr>
        <w:pStyle w:val="1"/>
        <w:spacing w:before="100"/>
        <w:ind w:left="580"/>
      </w:pPr>
      <w:r>
        <w:rPr>
          <w:sz w:val="20"/>
        </w:rPr>
        <w:pict>
          <v:shape id="_x0000_i1025" type="#_x0000_t75" style="width:240pt;height:44.25pt" fillcolor="window">
            <v:imagedata r:id="rId6" o:title=""/>
          </v:shape>
        </w:pict>
      </w:r>
    </w:p>
    <w:p w:rsidR="00B41673" w:rsidRDefault="00C03DBD">
      <w:pPr>
        <w:pStyle w:val="1"/>
        <w:spacing w:before="60" w:line="220" w:lineRule="auto"/>
      </w:pPr>
      <w:r>
        <w:t>Предложению с наибольшим значением Рп(В) (в случае, если Рп(В) будут равны выбирается конкурсное предложение с наименьшей ценой) будет присужден Контракт.</w:t>
      </w:r>
    </w:p>
    <w:p w:rsidR="00B41673" w:rsidRDefault="00C03DBD">
      <w:pPr>
        <w:pStyle w:val="1"/>
        <w:spacing w:before="400"/>
      </w:pPr>
      <w:r>
        <w:rPr>
          <w:b/>
        </w:rPr>
        <w:t>ВЫЧИСЛЕНИЕ ЦЕНОВЫХ ПОКАЗАТЕЛЕЙ.</w:t>
      </w:r>
    </w:p>
    <w:p w:rsidR="00B41673" w:rsidRDefault="00C03DBD">
      <w:pPr>
        <w:pStyle w:val="1"/>
      </w:pPr>
      <w:r>
        <w:t>Цены</w:t>
      </w:r>
      <w:r>
        <w:rPr>
          <w:lang w:val="en-US"/>
        </w:rPr>
        <w:t xml:space="preserve"> (An)</w:t>
      </w:r>
      <w:r>
        <w:t xml:space="preserve"> для каждого конкурсного предложения будут вычисляться так:</w:t>
      </w:r>
    </w:p>
    <w:p w:rsidR="00B41673" w:rsidRDefault="006F55DB">
      <w:pPr>
        <w:pStyle w:val="1"/>
        <w:spacing w:before="240"/>
        <w:ind w:left="3060"/>
      </w:pPr>
      <w:r>
        <w:rPr>
          <w:sz w:val="20"/>
        </w:rPr>
        <w:pict>
          <v:shape id="_x0000_i1026" type="#_x0000_t75" style="width:174pt;height:17.25pt" fillcolor="window">
            <v:imagedata r:id="rId7" o:title=""/>
          </v:shape>
        </w:pict>
      </w:r>
    </w:p>
    <w:p w:rsidR="00B41673" w:rsidRDefault="00C03DBD">
      <w:pPr>
        <w:pStyle w:val="1"/>
        <w:spacing w:before="160"/>
        <w:ind w:left="120"/>
      </w:pPr>
      <w:r>
        <w:t>Где: Сп = Общая стоимость для Покупателя;</w:t>
      </w:r>
    </w:p>
    <w:p w:rsidR="00B41673" w:rsidRDefault="00C03DBD">
      <w:pPr>
        <w:pStyle w:val="1"/>
        <w:spacing w:before="0"/>
        <w:rPr>
          <w:lang w:val="en-US"/>
        </w:rPr>
      </w:pPr>
      <w:r>
        <w:t>Вп = Текущие издержки ( в течение трех лет )</w:t>
      </w:r>
    </w:p>
    <w:p w:rsidR="00B41673" w:rsidRDefault="00C03DBD">
      <w:pPr>
        <w:pStyle w:val="1"/>
        <w:spacing w:before="0"/>
        <w:ind w:left="720"/>
      </w:pPr>
      <w:r>
        <w:t>Сопровождение аппаратных</w:t>
      </w:r>
      <w:r>
        <w:tab/>
        <w:t>средств и услуги поддержки</w:t>
      </w:r>
      <w:r>
        <w:tab/>
        <w:t xml:space="preserve">после </w:t>
      </w:r>
      <w:r>
        <w:tab/>
        <w:t>гарантийного периода</w:t>
      </w:r>
    </w:p>
    <w:p w:rsidR="00B41673" w:rsidRDefault="00C03DBD">
      <w:pPr>
        <w:pStyle w:val="1"/>
        <w:spacing w:before="0"/>
        <w:ind w:left="680"/>
      </w:pPr>
      <w:r>
        <w:t>-</w:t>
      </w:r>
      <w:r>
        <w:tab/>
        <w:t>Сопровождение программного</w:t>
      </w:r>
      <w:r>
        <w:tab/>
        <w:t>обеспечения и услуги поддержки</w:t>
      </w:r>
      <w:r>
        <w:tab/>
        <w:t xml:space="preserve">после </w:t>
      </w:r>
      <w:r>
        <w:tab/>
        <w:t>гарантийного периода</w:t>
      </w:r>
    </w:p>
    <w:p w:rsidR="00B41673" w:rsidRDefault="00C03DBD">
      <w:pPr>
        <w:pStyle w:val="1"/>
        <w:spacing w:before="0"/>
        <w:ind w:left="960" w:hanging="280"/>
      </w:pPr>
      <w:r>
        <w:t>-</w:t>
      </w:r>
      <w:r>
        <w:tab/>
        <w:t>Патентование программного обеспечения или лизинг</w:t>
      </w:r>
    </w:p>
    <w:p w:rsidR="00B41673" w:rsidRDefault="00C03DBD">
      <w:pPr>
        <w:pStyle w:val="1"/>
        <w:spacing w:before="0"/>
        <w:ind w:left="960" w:hanging="280"/>
      </w:pPr>
      <w:r>
        <w:t>-</w:t>
      </w:r>
      <w:r>
        <w:tab/>
        <w:t>Другие услуги</w:t>
      </w:r>
    </w:p>
    <w:p w:rsidR="00B41673" w:rsidRDefault="00C03DBD">
      <w:pPr>
        <w:pStyle w:val="1"/>
        <w:spacing w:before="220"/>
        <w:ind w:left="120" w:firstLine="380"/>
      </w:pPr>
      <w:r>
        <w:t>Покупатель оставляет за собой право оценивать издержки требуемых Товаров или Услуг если предложение не включает их.</w:t>
      </w:r>
    </w:p>
    <w:p w:rsidR="00B41673" w:rsidRDefault="00C03DBD">
      <w:pPr>
        <w:pStyle w:val="1"/>
        <w:spacing w:before="0"/>
        <w:ind w:left="80" w:firstLine="460"/>
      </w:pPr>
      <w:r>
        <w:t>Такие цены будут рассчитываться из высшей оценки предложенной одним из конкурсных предложений и будут   добавлены в стоимость конкурсного предложения для сравнительной оценки.</w:t>
      </w:r>
    </w:p>
    <w:p w:rsidR="00B41673" w:rsidRDefault="00C03DBD">
      <w:pPr>
        <w:pStyle w:val="1"/>
        <w:spacing w:before="240"/>
        <w:ind w:left="80"/>
      </w:pPr>
      <w:r>
        <w:rPr>
          <w:b/>
        </w:rPr>
        <w:t>ВЫЧИСЛЕНИЕ ТЕХНИЧЕСКИХ ОЦЕНОК</w:t>
      </w:r>
    </w:p>
    <w:p w:rsidR="00B41673" w:rsidRDefault="006F55DB">
      <w:pPr>
        <w:pStyle w:val="1"/>
        <w:spacing w:before="100"/>
      </w:pPr>
      <w:r>
        <w:rPr>
          <w:sz w:val="20"/>
        </w:rPr>
        <w:pict>
          <v:shape id="_x0000_i1027" type="#_x0000_t75" style="width:357.75pt;height:16.5pt" fillcolor="window">
            <v:imagedata r:id="rId8" o:title=""/>
          </v:shape>
        </w:pict>
      </w:r>
    </w:p>
    <w:p w:rsidR="00B41673" w:rsidRDefault="00C03DBD">
      <w:pPr>
        <w:pStyle w:val="1"/>
        <w:spacing w:before="200"/>
        <w:ind w:left="80"/>
      </w:pPr>
      <w:r>
        <w:t>Где разделы критериев :</w:t>
      </w:r>
    </w:p>
    <w:p w:rsidR="00B41673" w:rsidRDefault="00C03DBD">
      <w:pPr>
        <w:pStyle w:val="1"/>
        <w:spacing w:before="220" w:line="220" w:lineRule="auto"/>
        <w:ind w:left="80" w:right="3200"/>
      </w:pPr>
      <w:r>
        <w:t xml:space="preserve">Тп = Общая Техническая Оценка предложения Нп = Оценка Аппаратных Средств предложения Кп = Оценка Средств Связи предложения </w:t>
      </w:r>
      <w:r>
        <w:rPr>
          <w:lang w:val="en-US"/>
        </w:rPr>
        <w:t>Sn</w:t>
      </w:r>
      <w:r>
        <w:t xml:space="preserve"> = Оценка Программного Обеспечения предложения Мп = Сопровождение и Поддержка предложения </w:t>
      </w:r>
      <w:r>
        <w:rPr>
          <w:lang w:val="en-US"/>
        </w:rPr>
        <w:t>En</w:t>
      </w:r>
      <w:r>
        <w:t xml:space="preserve"> = Оценка за Обучение </w:t>
      </w:r>
      <w:r>
        <w:rPr>
          <w:lang w:val="en-US"/>
        </w:rPr>
        <w:t>Rn</w:t>
      </w:r>
      <w:r>
        <w:t xml:space="preserve"> = Оценка поддержки</w:t>
      </w:r>
    </w:p>
    <w:p w:rsidR="00B41673" w:rsidRDefault="00C03DBD">
      <w:pPr>
        <w:pStyle w:val="1"/>
        <w:spacing w:before="220" w:line="220" w:lineRule="auto"/>
        <w:ind w:left="120"/>
      </w:pPr>
      <w:r>
        <w:t>Максимальное значение общей технической оценки - 1000 баллов. Максимальная оценка каждого критерия в формуле - 100. Тп - сумма общих</w:t>
      </w:r>
    </w:p>
    <w:p w:rsidR="00B41673" w:rsidRDefault="00C03DBD">
      <w:pPr>
        <w:pStyle w:val="1"/>
        <w:spacing w:before="0" w:line="220" w:lineRule="auto"/>
        <w:ind w:left="120"/>
      </w:pPr>
      <w:r>
        <w:t>критериев, основанных на коэффициентах веса.  Общие критерии состоят</w:t>
      </w:r>
      <w:r>
        <w:tab/>
        <w:t>из нескольких критериев , которые имеют различные определения , сумма из которых равна 100 в каждой категории.</w:t>
      </w:r>
    </w:p>
    <w:p w:rsidR="00B41673" w:rsidRDefault="00C03DBD">
      <w:pPr>
        <w:pStyle w:val="1"/>
        <w:spacing w:before="220"/>
        <w:ind w:left="40"/>
      </w:pPr>
      <w:r>
        <w:rPr>
          <w:b/>
        </w:rPr>
        <w:t>ВЫЧИСЛЕНИЕ ОБЩЕЙ ОЦЕНКИ.</w:t>
      </w:r>
    </w:p>
    <w:p w:rsidR="00B41673" w:rsidRDefault="00C03DBD">
      <w:pPr>
        <w:pStyle w:val="1"/>
        <w:spacing w:before="60" w:line="220" w:lineRule="auto"/>
        <w:ind w:left="40"/>
      </w:pPr>
      <w:r>
        <w:t>Основываясь  на  относительном  размере  стоимости  относительно технических очков, и весовых коэффициентов технических очков, общий расчет производится следующим образом: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0"/>
        <w:gridCol w:w="1960"/>
        <w:gridCol w:w="2740"/>
      </w:tblGrid>
      <w:tr w:rsidR="00B41673">
        <w:trPr>
          <w:trHeight w:hRule="exact" w:val="32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B41673">
            <w:pPr>
              <w:pStyle w:val="1"/>
              <w:spacing w:before="20"/>
            </w:pPr>
          </w:p>
          <w:p w:rsidR="00B41673" w:rsidRDefault="00B41673">
            <w:pPr>
              <w:pStyle w:val="1"/>
              <w:spacing w:before="20"/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Баллы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Вес</w:t>
            </w:r>
          </w:p>
        </w:tc>
      </w:tr>
      <w:tr w:rsidR="00B41673">
        <w:trPr>
          <w:trHeight w:hRule="exact"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СТОИМОСТНАЯ ОЦЕНКА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2000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66,66 %</w:t>
            </w:r>
          </w:p>
        </w:tc>
      </w:tr>
      <w:tr w:rsidR="00B41673">
        <w:trPr>
          <w:trHeight w:hRule="exact"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Цена покупки(Кп)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1600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 xml:space="preserve">53,33 </w:t>
            </w:r>
            <w:r>
              <w:rPr>
                <w:i/>
                <w:sz w:val="20"/>
              </w:rPr>
              <w:t>%</w:t>
            </w:r>
          </w:p>
        </w:tc>
      </w:tr>
      <w:tr w:rsidR="00B41673">
        <w:trPr>
          <w:trHeight w:hRule="exact"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Текущие Издержки(Вп)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400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13,33%</w:t>
            </w:r>
          </w:p>
        </w:tc>
      </w:tr>
      <w:tr w:rsidR="00B41673">
        <w:trPr>
          <w:trHeight w:hRule="exact"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ТЕХНИЧЕСКАЯ ОЦЕНКА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1000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33,33 %</w:t>
            </w:r>
          </w:p>
        </w:tc>
      </w:tr>
      <w:tr w:rsidR="00B41673">
        <w:trPr>
          <w:trHeight w:hRule="exact"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Аппаратные Средства(Нп)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350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11,67 %</w:t>
            </w:r>
          </w:p>
        </w:tc>
      </w:tr>
      <w:tr w:rsidR="00B41673">
        <w:trPr>
          <w:trHeight w:hRule="exact"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Связь(Сп)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1,67 %</w:t>
            </w:r>
          </w:p>
        </w:tc>
      </w:tr>
      <w:tr w:rsidR="00B41673">
        <w:trPr>
          <w:trHeight w:hRule="exact" w:val="32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Программное Обеспечение (Sn)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400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13,33%</w:t>
            </w:r>
          </w:p>
        </w:tc>
      </w:tr>
      <w:tr w:rsidR="00B41673">
        <w:trPr>
          <w:trHeight w:hRule="exact" w:val="56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40"/>
              <w:ind w:left="760"/>
            </w:pPr>
            <w:r>
              <w:rPr>
                <w:sz w:val="20"/>
              </w:rPr>
              <w:t>Сопровождение и Поддержка</w:t>
            </w:r>
          </w:p>
          <w:p w:rsidR="00B41673" w:rsidRDefault="00C03DBD">
            <w:pPr>
              <w:pStyle w:val="1"/>
              <w:spacing w:before="40"/>
              <w:ind w:left="760" w:right="3200"/>
            </w:pPr>
            <w:r>
              <w:rPr>
                <w:sz w:val="20"/>
              </w:rPr>
              <w:t>(Мп)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40"/>
            </w:pPr>
            <w:r>
              <w:rPr>
                <w:sz w:val="20"/>
              </w:rPr>
              <w:t>60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40"/>
            </w:pPr>
            <w:r>
              <w:rPr>
                <w:sz w:val="20"/>
              </w:rPr>
              <w:t>2,00 %</w:t>
            </w:r>
          </w:p>
        </w:tc>
      </w:tr>
      <w:tr w:rsidR="00B41673">
        <w:trPr>
          <w:trHeight w:hRule="exact"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Обучение (Еп)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70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2,33 %</w:t>
            </w:r>
          </w:p>
        </w:tc>
      </w:tr>
      <w:tr w:rsidR="00B41673">
        <w:trPr>
          <w:trHeight w:hRule="exact" w:val="58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40"/>
            </w:pPr>
            <w:r>
              <w:rPr>
                <w:sz w:val="20"/>
              </w:rPr>
              <w:t>Рекомендации и информация о Поставщике (Rn)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40"/>
            </w:pPr>
            <w:r>
              <w:rPr>
                <w:sz w:val="20"/>
              </w:rPr>
              <w:t>70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40"/>
            </w:pPr>
            <w:r>
              <w:rPr>
                <w:sz w:val="20"/>
              </w:rPr>
              <w:t>2,33 %</w:t>
            </w:r>
          </w:p>
        </w:tc>
      </w:tr>
      <w:tr w:rsidR="00B41673">
        <w:trPr>
          <w:trHeight w:hRule="exact" w:val="34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ИТОГО: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3000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73" w:rsidRDefault="00C03DBD">
            <w:pPr>
              <w:pStyle w:val="1"/>
              <w:spacing w:before="20"/>
            </w:pPr>
            <w:r>
              <w:rPr>
                <w:sz w:val="20"/>
              </w:rPr>
              <w:t>100%</w:t>
            </w:r>
          </w:p>
        </w:tc>
      </w:tr>
    </w:tbl>
    <w:p w:rsidR="00B41673" w:rsidRDefault="00B41673">
      <w:pPr>
        <w:pStyle w:val="1"/>
        <w:spacing w:before="0"/>
      </w:pPr>
    </w:p>
    <w:p w:rsidR="00B41673" w:rsidRDefault="00C03DBD">
      <w:pPr>
        <w:pStyle w:val="1"/>
        <w:spacing w:before="0"/>
        <w:rPr>
          <w:b/>
        </w:rPr>
      </w:pPr>
      <w:r>
        <w:rPr>
          <w:b/>
        </w:rPr>
        <w:t>Нами был выбран двух этапный метод оценки конкурсных предложений.</w:t>
      </w:r>
    </w:p>
    <w:p w:rsidR="00B41673" w:rsidRDefault="00B41673">
      <w:pPr>
        <w:pStyle w:val="1"/>
        <w:spacing w:before="0"/>
        <w:rPr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B41673">
      <w:pPr>
        <w:rPr>
          <w:sz w:val="24"/>
          <w:lang w:val="en-US"/>
        </w:rPr>
      </w:pPr>
    </w:p>
    <w:p w:rsidR="00B41673" w:rsidRDefault="00C03DB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4. Проектная часть</w:t>
      </w:r>
    </w:p>
    <w:p w:rsidR="00B41673" w:rsidRDefault="00B41673">
      <w:pPr>
        <w:jc w:val="center"/>
        <w:rPr>
          <w:b/>
          <w:sz w:val="24"/>
          <w:lang w:val="en-US"/>
        </w:rPr>
      </w:pPr>
    </w:p>
    <w:p w:rsidR="00B41673" w:rsidRDefault="00C03DBD">
      <w:pPr>
        <w:spacing w:line="360" w:lineRule="auto"/>
        <w:ind w:firstLine="720"/>
        <w:jc w:val="both"/>
        <w:rPr>
          <w:sz w:val="24"/>
        </w:rPr>
      </w:pPr>
      <w:r>
        <w:rPr>
          <w:sz w:val="24"/>
          <w:lang w:val="en-US"/>
        </w:rPr>
        <w:t>Таким образом проводим оценку и сравнительный анализ конкурсных предложений 2-ой стадии, ранее признанных в основном сооответствующими требованиям. Ценовая и техническая оценка конкурсных предложений будет проводиться по системе баллов</w:t>
      </w:r>
      <w:r>
        <w:rPr>
          <w:sz w:val="24"/>
        </w:rPr>
        <w:t>.</w:t>
      </w:r>
    </w:p>
    <w:p w:rsidR="00B41673" w:rsidRDefault="00C03DBD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Поскольку цена является ключевым фактором, она, как правило, составляет от двух до трех четвертых от 100 возможных баллов. В целом, на цену может приходиться 70 баллов, на запчасти – 20 баллов, на технические аспекты – 10 баллов, и на преимущества, связанные с совместимостью стандартов – 5 баллов.</w:t>
      </w:r>
    </w:p>
    <w:p w:rsidR="00B41673" w:rsidRDefault="00C03DBD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При оценке конкурсных предложений на компьютерное оборудование используем данную таблицу:</w:t>
      </w: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B41673">
      <w:pPr>
        <w:spacing w:line="360" w:lineRule="auto"/>
        <w:jc w:val="both"/>
        <w:rPr>
          <w:sz w:val="24"/>
        </w:rPr>
      </w:pPr>
    </w:p>
    <w:p w:rsidR="00B41673" w:rsidRDefault="00C03DBD">
      <w:pPr>
        <w:spacing w:line="360" w:lineRule="auto"/>
        <w:jc w:val="both"/>
        <w:rPr>
          <w:sz w:val="24"/>
        </w:rPr>
      </w:pPr>
      <w:r>
        <w:rPr>
          <w:sz w:val="24"/>
        </w:rPr>
        <w:t>Далее приведем пример бальной оценки компьютерного оборудования. Так как проводились Международные конкурсные торги, то был использован английский язык.</w:t>
      </w:r>
    </w:p>
    <w:p w:rsidR="00B41673" w:rsidRDefault="00B41673">
      <w:pPr>
        <w:spacing w:line="360" w:lineRule="auto"/>
        <w:jc w:val="both"/>
        <w:rPr>
          <w:sz w:val="24"/>
        </w:rPr>
      </w:pPr>
      <w:bookmarkStart w:id="0" w:name="_GoBack"/>
      <w:bookmarkEnd w:id="0"/>
    </w:p>
    <w:sectPr w:rsidR="00B4167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DBD"/>
    <w:rsid w:val="006F55DB"/>
    <w:rsid w:val="0089488E"/>
    <w:rsid w:val="00AB173D"/>
    <w:rsid w:val="00B41673"/>
    <w:rsid w:val="00C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5367E0AA-F49A-4B01-883E-469E1D9C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</w:style>
  <w:style w:type="paragraph" w:customStyle="1" w:styleId="1">
    <w:name w:val="Обычный1"/>
    <w:pPr>
      <w:widowControl w:val="0"/>
      <w:spacing w:before="360"/>
      <w:ind w:left="6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cp:lastModifiedBy>Irina</cp:lastModifiedBy>
  <cp:revision>2</cp:revision>
  <cp:lastPrinted>2000-04-11T13:56:00Z</cp:lastPrinted>
  <dcterms:created xsi:type="dcterms:W3CDTF">2014-08-05T11:54:00Z</dcterms:created>
  <dcterms:modified xsi:type="dcterms:W3CDTF">2014-08-05T11:54:00Z</dcterms:modified>
</cp:coreProperties>
</file>