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20" w:rsidRDefault="00CF6020" w:rsidP="00006CBF">
      <w:pPr>
        <w:spacing w:before="100" w:beforeAutospacing="1" w:after="100" w:afterAutospacing="1" w:line="240" w:lineRule="auto"/>
        <w:ind w:left="126" w:right="126" w:firstLine="505"/>
        <w:jc w:val="both"/>
        <w:rPr>
          <w:rFonts w:ascii="Times New Roman" w:hAnsi="Times New Roman"/>
          <w:b/>
          <w:bCs/>
          <w:sz w:val="28"/>
          <w:szCs w:val="28"/>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8"/>
          <w:szCs w:val="28"/>
          <w:lang w:eastAsia="ru-RU"/>
        </w:rPr>
      </w:pPr>
      <w:r w:rsidRPr="00006CBF">
        <w:rPr>
          <w:rFonts w:ascii="Times New Roman" w:hAnsi="Times New Roman"/>
          <w:b/>
          <w:bCs/>
          <w:sz w:val="28"/>
          <w:szCs w:val="28"/>
          <w:lang w:eastAsia="ru-RU"/>
        </w:rPr>
        <w:t>Введение</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Первоначально факторинг возник как операция специализированных торговых посредников, а позднее - торговых банков. Он был известен ещё в XVI-XIII вв. Но только в 60-е годы нашего столетия факторинговые операции пришли на смену коммерческому кредиту в вексельной форме и стали широко применяться для обслуживания процесса реализации продукции. Это было вызвано усилением инфляционных процессов и неустойчивостью в экономике ряда стран. Такое положение требовало более быстрой реализации продукции, т.е. перевода капитала из товарной формы в денежную форму. Широко используемая в странах рыночной экономики вексельная форма расчетов не всегда гарантирует своевременное получение средств и возмещение действительных затрат на производство продукции. Поэтому проблема дебиторской задолженности приобрела первостепенное значение. При неуплате в срок по векселю фирма-векселедержатель вынуждена взыскивать причитающуюся ей сумму в судебном порядке. Однако судебные издержки очень высоки, что вынуждает их списывать долги на убытки. Кроме того фирмы стремятся «не выносить сор из избы» и не допускать судебных издержек. В поисках выхода из сложившихся трудностей фирмы стали обращаться за помощью в банк или входящую в банковский холдинг специализированную компанию по урегулированию возникающих споров по оплате векселей и других товарных документов. В результате возник тесный контакт между отделами промышленных фирм, управляющими движением коммерческого кредита и банками, регулирующими споры между клиентами.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Банки передают тесно связанным с ними корпорациям и фирмам данные о кредитоспособности их контрагентов, способствуют быстрейшей оплате счетов, гарантируют возмещение долга, оказывают давление на клиентов, с тем чтобы они в спорах с «дружеской банку фирмой» выполняли её требования. Своеобразным приспособлением коммерческого кредита к современным требованиям стал </w:t>
      </w:r>
      <w:r w:rsidRPr="00006CBF">
        <w:rPr>
          <w:rFonts w:ascii="Times New Roman" w:hAnsi="Times New Roman"/>
          <w:b/>
          <w:bCs/>
          <w:sz w:val="24"/>
          <w:szCs w:val="24"/>
          <w:lang w:eastAsia="ru-RU"/>
        </w:rPr>
        <w:t>факторинг или факторский кредит,</w:t>
      </w:r>
      <w:r w:rsidRPr="00006CBF">
        <w:rPr>
          <w:rFonts w:ascii="Times New Roman" w:hAnsi="Times New Roman"/>
          <w:sz w:val="24"/>
          <w:szCs w:val="24"/>
          <w:lang w:eastAsia="ru-RU"/>
        </w:rPr>
        <w:t xml:space="preserve"> получивший широкое распространение в последние два десятилетия. Отличие факторского кредита от коммерческого для продавца товара состоит в том, что он получает за проданный товар платеж наличными, а при продаже в кредит продавец получает только вексель. Полученный вексель поставщик может учесть в банке и получить наличные деньги, но в меньшей сумме, чем при продаже счёта-фактуры.</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Для покупателя преимущество факторского кредитования заключается в получении возможности вернуть долг через более длительный срок (в отдельных случаях договор пролонгируется под дополнительные обязательства). Разрешается также частичное погашение долга, что стимулирует покупку товара через факторские отделы. </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8"/>
          <w:szCs w:val="28"/>
          <w:lang w:eastAsia="ru-RU"/>
        </w:rPr>
      </w:pPr>
      <w:r w:rsidRPr="00006CBF">
        <w:rPr>
          <w:rFonts w:ascii="Times New Roman" w:hAnsi="Times New Roman"/>
          <w:b/>
          <w:bCs/>
          <w:sz w:val="28"/>
          <w:szCs w:val="28"/>
          <w:lang w:eastAsia="ru-RU"/>
        </w:rPr>
        <w:t>Факторинг. Общие положения.</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Факторинг</w:t>
      </w:r>
      <w:r w:rsidRPr="00006CBF">
        <w:rPr>
          <w:rFonts w:ascii="Times New Roman" w:hAnsi="Times New Roman"/>
          <w:sz w:val="24"/>
          <w:szCs w:val="24"/>
          <w:lang w:eastAsia="ru-RU"/>
        </w:rPr>
        <w:t>- это выкуп платежных требований у поставщика товаров (услуг). При этом речь идет, как правило, о краткосрочных требованиях. Цель факторинга - устранение риска, являющегося неотъемлемой частью любой кредитной операции. В странах с развитой рыночной экономикой серьёзное внимание уделяется соблюдению сроков платежей. Деятельность факторинговых компаний и банковских факторинговых отделов как раз призвана решать проблемы рисков и сроков платежей в отношениях между поставщиками и покупателями и придавать этим отношениям большую устойчивость.</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Слово «фактор» от английского - «посредник, маклер». С экономической точки зрения - это посредническая операция. </w:t>
      </w:r>
      <w:r w:rsidRPr="00006CBF">
        <w:rPr>
          <w:rFonts w:ascii="Times New Roman" w:hAnsi="Times New Roman"/>
          <w:b/>
          <w:bCs/>
          <w:sz w:val="24"/>
          <w:szCs w:val="24"/>
          <w:lang w:eastAsia="ru-RU"/>
        </w:rPr>
        <w:t xml:space="preserve">Факторинг- </w:t>
      </w:r>
      <w:r w:rsidRPr="00006CBF">
        <w:rPr>
          <w:rFonts w:ascii="Times New Roman" w:hAnsi="Times New Roman"/>
          <w:sz w:val="24"/>
          <w:szCs w:val="24"/>
          <w:lang w:eastAsia="ru-RU"/>
        </w:rPr>
        <w:t xml:space="preserve">это комиссионно-посредническая деятельность, связанная с переуступкой банку клиентом-поставщиком неоплаченных платежей-требований на поставленные товары, выполненные работы, оказанные услуги, и соответственно право получения платежа по ним, т.е. инкассирование дебиторской задолженности клиента (получение средств по платежным документам). Банк становится собственником неоплаченных платежных требований и берет на себя риск их неоплаты, хотя кредитоспособность должников предварительно проверяется.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В Российском законодательствепод факторингом</w:t>
      </w:r>
      <w:r w:rsidRPr="00006CBF">
        <w:rPr>
          <w:rFonts w:ascii="Times New Roman" w:hAnsi="Times New Roman"/>
          <w:sz w:val="24"/>
          <w:szCs w:val="24"/>
          <w:lang w:eastAsia="ru-RU"/>
        </w:rPr>
        <w:t xml:space="preserve"> понимают договор финансирования под уступку денежного требования (Д.ф.п.у.д.т.). Договор, по которому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Обязательства финансового агента по Д.ф.п.у.д.т.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 В качестве финансового агента Д.ф.п.у.д.т. могут заключать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 Этот тип договора, широко применяемый в международной практике под названием "факторинг", в РФ впервые получил закрепление в части второй нового ГК РФ.</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В соответствии с договором банк обязуется оплатить сумму предоставленных ему платёжных требований вне зависимости от того, оплатили ли свои долги контрагенты-поставщики. </w:t>
      </w:r>
      <w:r w:rsidRPr="00006CBF">
        <w:rPr>
          <w:rFonts w:ascii="Times New Roman" w:hAnsi="Times New Roman"/>
          <w:b/>
          <w:bCs/>
          <w:sz w:val="24"/>
          <w:szCs w:val="24"/>
          <w:lang w:eastAsia="ru-RU"/>
        </w:rPr>
        <w:t xml:space="preserve">В этом состоит различие между факторингом и банковской гарантией. </w:t>
      </w:r>
      <w:r w:rsidRPr="00006CBF">
        <w:rPr>
          <w:rFonts w:ascii="Times New Roman" w:hAnsi="Times New Roman"/>
          <w:sz w:val="24"/>
          <w:szCs w:val="24"/>
          <w:lang w:eastAsia="ru-RU"/>
        </w:rPr>
        <w:t xml:space="preserve">При банковском гарантировании банк обязуется в случае неуплаты клиентом в срок причитающихся ему сумм произвести платеж за свой счет. Целью же факторингового обслуживания является немедленное инкассирование средств (или получение их на определённую в факторинговом договоре дату) вне зависимости от платежеспособности плательщика. (В России поставщик получает от факторингового отдела банка немедленно или через 2-3 дня определенный процент от суммы требований).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Существуют два вида факторинга: конвенционный и</w:t>
      </w:r>
      <w:r w:rsidRPr="00006CBF">
        <w:rPr>
          <w:rFonts w:ascii="Times New Roman" w:hAnsi="Times New Roman"/>
          <w:b/>
          <w:bCs/>
          <w:sz w:val="24"/>
          <w:szCs w:val="24"/>
          <w:lang w:eastAsia="ru-RU"/>
        </w:rPr>
        <w:t xml:space="preserve"> </w:t>
      </w:r>
      <w:r w:rsidRPr="00006CBF">
        <w:rPr>
          <w:rFonts w:ascii="Times New Roman" w:hAnsi="Times New Roman"/>
          <w:sz w:val="24"/>
          <w:szCs w:val="24"/>
          <w:lang w:eastAsia="ru-RU"/>
        </w:rPr>
        <w:t xml:space="preserve">конфиденциальный. </w:t>
      </w:r>
      <w:r w:rsidRPr="00006CBF">
        <w:rPr>
          <w:rFonts w:ascii="Times New Roman" w:hAnsi="Times New Roman"/>
          <w:b/>
          <w:bCs/>
          <w:sz w:val="24"/>
          <w:szCs w:val="24"/>
          <w:lang w:eastAsia="ru-RU"/>
        </w:rPr>
        <w:t>Конвенционный факторинг</w:t>
      </w:r>
      <w:r w:rsidRPr="00006CBF">
        <w:rPr>
          <w:rFonts w:ascii="Times New Roman" w:hAnsi="Times New Roman"/>
          <w:sz w:val="24"/>
          <w:szCs w:val="24"/>
          <w:lang w:eastAsia="ru-RU"/>
        </w:rPr>
        <w:t xml:space="preserve"> - универсальная система финансового обслуживания клиентов, включающая бухгалтерский учет, расчеты с поставщиками и покупателями, страховое кредитование, представительство и т.д. За клиентом сохраняется только производственная функция. Эта система позволяет предприятию сократить издержки производства. Но одновременно возникает риск почти полной зависимости клиента от факторинговой фирмы, так как такие отношения ведут к полному осведомлению о делах своих клиентов, подчинению их своему влиянию и контролю.</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Такое обслуживание обычно сочетается с «дисконтированием фактур». Это означает, что банк покупает у своего клиента права на получение денег от покупателя, при этом сразу же зачисляет на его счет около 80% стоимости отгрузки, а остальную сумму - в обусловленный срок независимо от поступления денег от дебитора. По существу это кредит под отгруженные товары, за которые клиент платит обусловленный процент.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В последние годы широкое распространение получил </w:t>
      </w:r>
      <w:r w:rsidRPr="00006CBF">
        <w:rPr>
          <w:rFonts w:ascii="Times New Roman" w:hAnsi="Times New Roman"/>
          <w:b/>
          <w:bCs/>
          <w:sz w:val="24"/>
          <w:szCs w:val="24"/>
          <w:lang w:eastAsia="ru-RU"/>
        </w:rPr>
        <w:t xml:space="preserve">конфиденциальный факторинг, </w:t>
      </w:r>
      <w:r w:rsidRPr="00006CBF">
        <w:rPr>
          <w:rFonts w:ascii="Times New Roman" w:hAnsi="Times New Roman"/>
          <w:sz w:val="24"/>
          <w:szCs w:val="24"/>
          <w:lang w:eastAsia="ru-RU"/>
        </w:rPr>
        <w:t>который ограничивается</w:t>
      </w:r>
      <w:r w:rsidRPr="00006CBF">
        <w:rPr>
          <w:rFonts w:ascii="Times New Roman" w:hAnsi="Times New Roman"/>
          <w:b/>
          <w:bCs/>
          <w:sz w:val="24"/>
          <w:szCs w:val="24"/>
          <w:lang w:eastAsia="ru-RU"/>
        </w:rPr>
        <w:t xml:space="preserve"> </w:t>
      </w:r>
      <w:r w:rsidRPr="00006CBF">
        <w:rPr>
          <w:rFonts w:ascii="Times New Roman" w:hAnsi="Times New Roman"/>
          <w:sz w:val="24"/>
          <w:szCs w:val="24"/>
          <w:lang w:eastAsia="ru-RU"/>
        </w:rPr>
        <w:t>выполнением только некоторых операций: уступка права на получение денег, оплата долгов и т.п. Он является формой предоставления поставщику-клиенту факторинга- кредита под отгруженные товары, а покупателю-клиенту факторинга - платёжного кредита. За проведение факторинговых операций клиенты вносят предусмотренную в договоре плату, которая по своему экономическому содержанию является процентом за кредит.</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Финансовые институты</w:t>
      </w:r>
      <w:r w:rsidRPr="00006CBF">
        <w:rPr>
          <w:rFonts w:ascii="Times New Roman" w:hAnsi="Times New Roman"/>
          <w:sz w:val="24"/>
          <w:szCs w:val="24"/>
          <w:lang w:eastAsia="ru-RU"/>
        </w:rPr>
        <w:t xml:space="preserve">, которые предоставляют факторинговые услуги, называются фактор фирмами. Чаще всего они представляют собой дочерние фирмы при крупных банках (или сами банки/факторинговые отделы/ осуществляют факторинговые операции), что обеспечивает высокую надежность факторинговых сделок и минимальные издержки для клиентов.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Разветвленная сеть специализированных филиалов для факторингового обслуживания предприятий в различных странах создана крупными транснациональными корпорациями. На международном уровне действует ассоциация "Фэкторз чейн интернэшл", членами которой являются 95% факторинговых компаний из 40 стран мира. Членами этой ассоциации от одной страны могут стать не более чем 3-4 банка. В августе 1994 г. Первым российским коммерческим банком, принятым в ФЧИ, стал Тверьуниверсалбанк, а затем Мост-банк.</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Источниками формирования средств для факторинга являются собственные средства банка (прибыль, фонды), привлеченные и заемные средства. Соотношение между ними устанавливается правлением банка. Собственные средства факторинговый отдел получает от своего банка и в дальнейшем их прирост осуществляется за счет прибыли от проводимых им операций. При потребности отдела в привлечении сверхплановых кредитов для выполнения своих обязательств, банк может предоставить ему краткосрочный кредит. Отдел также может привлекать средства в срочные депозиты.</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C85435">
      <w:pPr>
        <w:spacing w:before="100" w:beforeAutospacing="1" w:after="100" w:afterAutospacing="1" w:line="240" w:lineRule="auto"/>
        <w:ind w:left="360" w:right="126"/>
        <w:jc w:val="center"/>
        <w:rPr>
          <w:rFonts w:ascii="Times New Roman" w:hAnsi="Times New Roman"/>
          <w:sz w:val="28"/>
          <w:szCs w:val="28"/>
          <w:lang w:eastAsia="ru-RU"/>
        </w:rPr>
      </w:pPr>
      <w:r w:rsidRPr="00006CBF">
        <w:rPr>
          <w:rFonts w:ascii="Times New Roman" w:hAnsi="Times New Roman"/>
          <w:b/>
          <w:bCs/>
          <w:sz w:val="28"/>
          <w:szCs w:val="28"/>
          <w:lang w:eastAsia="ru-RU"/>
        </w:rPr>
        <w:t>Факторинговые операции.</w:t>
      </w:r>
    </w:p>
    <w:p w:rsidR="00B062FC" w:rsidRPr="00006CBF" w:rsidRDefault="00B062FC" w:rsidP="00006CBF">
      <w:pPr>
        <w:spacing w:after="0" w:line="240" w:lineRule="auto"/>
        <w:ind w:left="126" w:right="126"/>
        <w:jc w:val="both"/>
        <w:rPr>
          <w:rFonts w:ascii="Times New Roman" w:hAnsi="Times New Roman"/>
          <w:sz w:val="28"/>
          <w:szCs w:val="28"/>
          <w:lang w:eastAsia="ru-RU"/>
        </w:rPr>
      </w:pPr>
    </w:p>
    <w:p w:rsidR="00B062FC" w:rsidRPr="00006CBF" w:rsidRDefault="00B062FC" w:rsidP="00C85435">
      <w:pPr>
        <w:spacing w:before="100" w:beforeAutospacing="1" w:after="100" w:afterAutospacing="1" w:line="240" w:lineRule="auto"/>
        <w:ind w:left="126" w:right="126" w:firstLine="505"/>
        <w:jc w:val="center"/>
        <w:rPr>
          <w:rFonts w:ascii="Times New Roman" w:hAnsi="Times New Roman"/>
          <w:sz w:val="24"/>
          <w:szCs w:val="24"/>
          <w:lang w:eastAsia="ru-RU"/>
        </w:rPr>
      </w:pPr>
      <w:r w:rsidRPr="00006CBF">
        <w:rPr>
          <w:rFonts w:ascii="Times New Roman" w:hAnsi="Times New Roman"/>
          <w:b/>
          <w:bCs/>
          <w:sz w:val="28"/>
          <w:szCs w:val="28"/>
          <w:lang w:eastAsia="ru-RU"/>
        </w:rPr>
        <w:t>Сущность, условия проведения и участники факторинговых операций</w:t>
      </w:r>
      <w:r w:rsidRPr="00006CBF">
        <w:rPr>
          <w:rFonts w:ascii="Times New Roman" w:hAnsi="Times New Roman"/>
          <w:b/>
          <w:bCs/>
          <w:sz w:val="24"/>
          <w:szCs w:val="24"/>
          <w:lang w:eastAsia="ru-RU"/>
        </w:rPr>
        <w:t>.</w:t>
      </w:r>
    </w:p>
    <w:p w:rsidR="00B062FC" w:rsidRPr="00006CBF" w:rsidRDefault="00B062FC" w:rsidP="00C85435">
      <w:pPr>
        <w:spacing w:after="0" w:line="240" w:lineRule="auto"/>
        <w:ind w:left="126" w:right="126"/>
        <w:jc w:val="center"/>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Операция факторинга заключается в том, что факторинговый отдел банка покупает долговые требования (счета-фактуры) клиента на условиях немедленной оплаты до 80% от стоимости поставок и уплаты остальной части, за вычетом процента за кредит и комиссионных платежей, в строго обусловленные сроки независимо от поступления выручки от дебиторов. Если должник не оплачивает в срок счета, то выплаты вместо него осуществляет факторинговый отдел.</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основе факторинговой операции лежит покупка банком платежных требований поставщика на отгруженную продукцию и передача поставщиком банку права требования платежа с покупателя. Поэтому факторинговые операции называют также кредитованием поставщика или предоставлением факторингового кредита поставщику.</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Факторинговое обслуживание наиболее эффективно для малых и средних предприятий, которые традиционно испытывают финансовые затруднения из-за несвоевременного погашения долгов дебиторами и ограниченности доступных для них источников кредитования.</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Вместе с тем не всякое предприятие, относящееся к категории малого или среднего, может воспользоваться факторинговыми услугами.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Так, </w:t>
      </w:r>
      <w:r w:rsidRPr="00006CBF">
        <w:rPr>
          <w:rFonts w:ascii="Times New Roman" w:hAnsi="Times New Roman"/>
          <w:b/>
          <w:bCs/>
          <w:sz w:val="24"/>
          <w:szCs w:val="24"/>
          <w:lang w:eastAsia="ru-RU"/>
        </w:rPr>
        <w:t>факторинговому обслуживанию не подлежат:</w:t>
      </w:r>
    </w:p>
    <w:p w:rsidR="00B062FC" w:rsidRPr="00006CBF" w:rsidRDefault="00B062FC" w:rsidP="00006CBF">
      <w:pPr>
        <w:numPr>
          <w:ilvl w:val="0"/>
          <w:numId w:val="2"/>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предприятия с большим количеством дебиторов, задолженность каждого из которых выражается небольшой суммой;</w:t>
      </w:r>
    </w:p>
    <w:p w:rsidR="00B062FC" w:rsidRPr="00006CBF" w:rsidRDefault="00B062FC" w:rsidP="00006CBF">
      <w:pPr>
        <w:numPr>
          <w:ilvl w:val="0"/>
          <w:numId w:val="2"/>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предприятия, занимающиеся производством нестандартной или узкоспециализированной продукции;</w:t>
      </w:r>
    </w:p>
    <w:p w:rsidR="00B062FC" w:rsidRPr="00006CBF" w:rsidRDefault="00B062FC" w:rsidP="00006CBF">
      <w:pPr>
        <w:numPr>
          <w:ilvl w:val="0"/>
          <w:numId w:val="2"/>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строительные и другие фирмы, работающие с субподрядчиками;</w:t>
      </w:r>
    </w:p>
    <w:p w:rsidR="00B062FC" w:rsidRPr="00006CBF" w:rsidRDefault="00B062FC" w:rsidP="00006CBF">
      <w:pPr>
        <w:numPr>
          <w:ilvl w:val="0"/>
          <w:numId w:val="2"/>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предприятия, реализующие свою продукцию на условиях послепродажного обслуживания, практикующие компенсационные (бартерные) сделки;</w:t>
      </w:r>
    </w:p>
    <w:p w:rsidR="00B062FC" w:rsidRPr="00006CBF" w:rsidRDefault="00B062FC" w:rsidP="00006CBF">
      <w:pPr>
        <w:numPr>
          <w:ilvl w:val="0"/>
          <w:numId w:val="2"/>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предприятия, заключающие со своими клиентами долгосрочные контракты и выставляющие счета по завершении определенных этапов работ или до осуществления поставок (авансовые платежи).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Факторинговые операции не рекомендуется проводить:</w:t>
      </w:r>
    </w:p>
    <w:p w:rsidR="00B062FC" w:rsidRPr="00006CBF" w:rsidRDefault="00B062FC" w:rsidP="00006CBF">
      <w:pPr>
        <w:numPr>
          <w:ilvl w:val="0"/>
          <w:numId w:val="3"/>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долговым обязательствам частных лиц, филиалов или отделений предприятия. Подобные ограничения обусловлены тем, что в указанных случаях достаточно трудно оценить кредитный риск или невыгодно брать на себя повышенный объем работ, а также дополнительный риск, возникающий при переуступке таких требований, оплата которых может быть не произведена в срок по причине невыполнения поставщиком каких-либо своих договорных обязательств;</w:t>
      </w:r>
    </w:p>
    <w:p w:rsidR="00B062FC" w:rsidRPr="00006CBF" w:rsidRDefault="00B062FC" w:rsidP="00006CBF">
      <w:pPr>
        <w:numPr>
          <w:ilvl w:val="0"/>
          <w:numId w:val="3"/>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требованиям бюджетных организаций;</w:t>
      </w:r>
    </w:p>
    <w:p w:rsidR="00B062FC" w:rsidRPr="00006CBF" w:rsidRDefault="00B062FC" w:rsidP="00006CBF">
      <w:pPr>
        <w:numPr>
          <w:ilvl w:val="0"/>
          <w:numId w:val="3"/>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обязательствам предприятий, организаций, снятых банком с кредитования или объявленных неплатежеспособными;</w:t>
      </w:r>
    </w:p>
    <w:p w:rsidR="00B062FC" w:rsidRPr="00006CBF" w:rsidRDefault="00B062FC" w:rsidP="00006CBF">
      <w:pPr>
        <w:numPr>
          <w:ilvl w:val="0"/>
          <w:numId w:val="3"/>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если оплата производится поэтапно или авансом в случае компенсационных или бартерных сделок по договорам о продаже, в соответствии с которыми покупатель имеет право возвратить товар в течение определенного времени, а также при условии послепродажного обслуживания.</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В операции факторинга обычно участвуют три стороны: </w:t>
      </w:r>
    </w:p>
    <w:p w:rsidR="00B062FC" w:rsidRPr="00006CBF" w:rsidRDefault="00B062FC" w:rsidP="00006CBF">
      <w:pPr>
        <w:numPr>
          <w:ilvl w:val="0"/>
          <w:numId w:val="4"/>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фактор (банк)</w:t>
      </w:r>
      <w:r w:rsidRPr="00006CBF">
        <w:rPr>
          <w:rFonts w:ascii="Times New Roman" w:hAnsi="Times New Roman"/>
          <w:sz w:val="24"/>
          <w:szCs w:val="24"/>
          <w:lang w:eastAsia="ru-RU"/>
        </w:rPr>
        <w:t xml:space="preserve"> - покупатель требования; </w:t>
      </w:r>
    </w:p>
    <w:p w:rsidR="00B062FC" w:rsidRPr="00006CBF" w:rsidRDefault="00B062FC" w:rsidP="00006CBF">
      <w:pPr>
        <w:numPr>
          <w:ilvl w:val="0"/>
          <w:numId w:val="4"/>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клиент (кредитор, поставщик товара</w:t>
      </w:r>
      <w:r w:rsidRPr="00006CBF">
        <w:rPr>
          <w:rFonts w:ascii="Times New Roman" w:hAnsi="Times New Roman"/>
          <w:sz w:val="24"/>
          <w:szCs w:val="24"/>
          <w:lang w:eastAsia="ru-RU"/>
        </w:rPr>
        <w:t xml:space="preserve">) - промышленная или торговая фирма, заключившая соглашение с банком; </w:t>
      </w:r>
    </w:p>
    <w:p w:rsidR="00B062FC" w:rsidRPr="00006CBF" w:rsidRDefault="00B062FC" w:rsidP="00006CBF">
      <w:pPr>
        <w:numPr>
          <w:ilvl w:val="0"/>
          <w:numId w:val="4"/>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 xml:space="preserve">плательщик (заемщик) </w:t>
      </w:r>
      <w:r w:rsidRPr="00006CBF">
        <w:rPr>
          <w:rFonts w:ascii="Times New Roman" w:hAnsi="Times New Roman"/>
          <w:sz w:val="24"/>
          <w:szCs w:val="24"/>
          <w:lang w:eastAsia="ru-RU"/>
        </w:rPr>
        <w:t>- фирма-покупатель товара с отсрочкой платежа.</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C85435">
      <w:pPr>
        <w:spacing w:before="100" w:beforeAutospacing="1" w:after="100" w:afterAutospacing="1" w:line="240" w:lineRule="auto"/>
        <w:ind w:left="126" w:right="126" w:firstLine="505"/>
        <w:jc w:val="center"/>
        <w:rPr>
          <w:rFonts w:ascii="Times New Roman" w:hAnsi="Times New Roman"/>
          <w:sz w:val="28"/>
          <w:szCs w:val="28"/>
          <w:lang w:eastAsia="ru-RU"/>
        </w:rPr>
      </w:pPr>
      <w:r w:rsidRPr="00006CBF">
        <w:rPr>
          <w:rFonts w:ascii="Times New Roman" w:hAnsi="Times New Roman"/>
          <w:b/>
          <w:bCs/>
          <w:sz w:val="28"/>
          <w:szCs w:val="28"/>
          <w:lang w:eastAsia="ru-RU"/>
        </w:rPr>
        <w:t>Виды факторинговых операций.</w:t>
      </w:r>
    </w:p>
    <w:p w:rsidR="00B062FC" w:rsidRPr="00006CBF" w:rsidRDefault="00B062FC" w:rsidP="00C85435">
      <w:pPr>
        <w:spacing w:after="0" w:line="240" w:lineRule="auto"/>
        <w:ind w:left="126" w:right="126"/>
        <w:jc w:val="center"/>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основе факторинга лежит переуступка неоплаченных долговых требований фактору, что является общим элементом для всех видов факторинга, описанных ниже. Факторинговые операции банков классифицируются как:</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Национальные (внутренние</w:t>
      </w:r>
      <w:r w:rsidRPr="00006CBF">
        <w:rPr>
          <w:rFonts w:ascii="Times New Roman" w:hAnsi="Times New Roman"/>
          <w:b/>
          <w:bCs/>
          <w:i/>
          <w:iCs/>
          <w:sz w:val="24"/>
          <w:szCs w:val="24"/>
          <w:lang w:eastAsia="ru-RU"/>
        </w:rPr>
        <w:t>)</w:t>
      </w:r>
      <w:r w:rsidRPr="00006CBF">
        <w:rPr>
          <w:rFonts w:ascii="Times New Roman" w:hAnsi="Times New Roman"/>
          <w:b/>
          <w:bCs/>
          <w:sz w:val="24"/>
          <w:szCs w:val="24"/>
          <w:lang w:eastAsia="ru-RU"/>
        </w:rPr>
        <w:t>,</w:t>
      </w:r>
      <w:r w:rsidRPr="00006CBF">
        <w:rPr>
          <w:rFonts w:ascii="Times New Roman" w:hAnsi="Times New Roman"/>
          <w:sz w:val="24"/>
          <w:szCs w:val="24"/>
          <w:lang w:eastAsia="ru-RU"/>
        </w:rPr>
        <w:t xml:space="preserve"> если поставщик, покупатели, а также фактор находятся в одной стране;</w:t>
      </w:r>
      <w:r w:rsidRPr="00006CBF">
        <w:rPr>
          <w:rFonts w:ascii="Times New Roman" w:hAnsi="Times New Roman"/>
          <w:b/>
          <w:bCs/>
          <w:sz w:val="24"/>
          <w:szCs w:val="24"/>
          <w:lang w:eastAsia="ru-RU"/>
        </w:rPr>
        <w:t xml:space="preserve"> </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 xml:space="preserve">Международные (внешние), </w:t>
      </w:r>
      <w:r w:rsidRPr="00006CBF">
        <w:rPr>
          <w:rFonts w:ascii="Times New Roman" w:hAnsi="Times New Roman"/>
          <w:sz w:val="24"/>
          <w:szCs w:val="24"/>
          <w:lang w:eastAsia="ru-RU"/>
        </w:rPr>
        <w:t>если одна из трех сторон факторингового соглашения находится в другом государстве;</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Открытые</w:t>
      </w:r>
      <w:r w:rsidRPr="00006CBF">
        <w:rPr>
          <w:rFonts w:ascii="Times New Roman" w:hAnsi="Times New Roman"/>
          <w:sz w:val="24"/>
          <w:szCs w:val="24"/>
          <w:lang w:eastAsia="ru-RU"/>
        </w:rPr>
        <w:t xml:space="preserve"> - это форма факторинговой услуги, при которой плательщик уведомлен о взыскании долга с помощью фактора;</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Закрытые. С</w:t>
      </w:r>
      <w:r w:rsidRPr="00006CBF">
        <w:rPr>
          <w:rFonts w:ascii="Times New Roman" w:hAnsi="Times New Roman"/>
          <w:sz w:val="24"/>
          <w:szCs w:val="24"/>
          <w:lang w:eastAsia="ru-RU"/>
        </w:rPr>
        <w:t>вое название получили в связи с тем, что служат скрытым источником средств для кредитования продаж поставщиков товаров, так как никто из контрагентов клиента не осведомлен о переуступке им счетов фактур фактору. В данном случае плательщик ведет расчеты с самим поставщиком, который после получения платежа должен перечислить соответствующую его часть фактору для погашения кредита.</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С правом регресса,</w:t>
      </w:r>
      <w:r w:rsidRPr="00006CBF">
        <w:rPr>
          <w:rFonts w:ascii="Times New Roman" w:hAnsi="Times New Roman"/>
          <w:sz w:val="24"/>
          <w:szCs w:val="24"/>
          <w:lang w:eastAsia="ru-RU"/>
        </w:rPr>
        <w:t xml:space="preserve"> т.е. обратного требования к поставщику возместить уплаченную сумму, или </w:t>
      </w:r>
      <w:r w:rsidRPr="00006CBF">
        <w:rPr>
          <w:rFonts w:ascii="Times New Roman" w:hAnsi="Times New Roman"/>
          <w:b/>
          <w:bCs/>
          <w:sz w:val="24"/>
          <w:szCs w:val="24"/>
          <w:lang w:eastAsia="ru-RU"/>
        </w:rPr>
        <w:t>без подобного права.</w:t>
      </w:r>
      <w:r w:rsidRPr="00006CBF">
        <w:rPr>
          <w:rFonts w:ascii="Times New Roman" w:hAnsi="Times New Roman"/>
          <w:sz w:val="24"/>
          <w:szCs w:val="24"/>
          <w:lang w:eastAsia="ru-RU"/>
        </w:rPr>
        <w:t xml:space="preserve"> Данные условия связаны с рисками, которые возникают при отказе плательщика от выполнения своих обязательств, т.е. кредитными рисками. При заключении соглашения с правом регресса поставщик продолжает нести определенный кредитный риск по долговым требованиям, проданным им фактору. Последний может воспользоваться правом регресса и при желании продать поставщику любое неоплаченное долговое требование в случае отказа клиента от платежа (его неплатежеспособности). Данное условие предусматривается, если поставщики уверены, что у них не могут появиться сомнительные долговые обязательства, либо в силу того, что они достаточно тщательно оценивают кредитоспособность своих клиентов, разработав собственную, достаточно эффективную систему защиты от кредитных рисков, либо в силу специфики своих клиентов. И в том, и в другом случае поставщик не считает нужным оплачивать услуги по страхованию кредитного риска. Однако гарантированный для поставщика и своевременный приток денежных средств может обеспечиваться только при заключении соглашения без права регресса. Необходимо, правда, отметить, что, если долговое требование признано недействительным (например, если поставщик отгрузил клиенту не заказанный им товар и переуступил выставленный за него счет компании), фактор в любом случае имеет право регресса к поставщику.</w:t>
      </w:r>
    </w:p>
    <w:p w:rsidR="00B062FC" w:rsidRPr="00006CBF" w:rsidRDefault="00B062FC" w:rsidP="00006CBF">
      <w:pPr>
        <w:numPr>
          <w:ilvl w:val="0"/>
          <w:numId w:val="5"/>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С условием кредитования поставщика </w:t>
      </w:r>
      <w:r w:rsidRPr="00006CBF">
        <w:rPr>
          <w:rFonts w:ascii="Times New Roman" w:hAnsi="Times New Roman"/>
          <w:b/>
          <w:bCs/>
          <w:sz w:val="24"/>
          <w:szCs w:val="24"/>
          <w:lang w:eastAsia="ru-RU"/>
        </w:rPr>
        <w:t>в форме оплаты требований к</w:t>
      </w:r>
      <w:r w:rsidRPr="00006CBF">
        <w:rPr>
          <w:rFonts w:ascii="Times New Roman" w:hAnsi="Times New Roman"/>
          <w:i/>
          <w:iCs/>
          <w:sz w:val="24"/>
          <w:szCs w:val="24"/>
          <w:lang w:eastAsia="ru-RU"/>
        </w:rPr>
        <w:t xml:space="preserve"> </w:t>
      </w:r>
      <w:r w:rsidRPr="00006CBF">
        <w:rPr>
          <w:rFonts w:ascii="Times New Roman" w:hAnsi="Times New Roman"/>
          <w:b/>
          <w:bCs/>
          <w:sz w:val="24"/>
          <w:szCs w:val="24"/>
          <w:lang w:eastAsia="ru-RU"/>
        </w:rPr>
        <w:t>определенной дате или предварительной оплаты</w:t>
      </w:r>
      <w:r w:rsidRPr="00006CBF">
        <w:rPr>
          <w:rFonts w:ascii="Times New Roman" w:hAnsi="Times New Roman"/>
          <w:sz w:val="24"/>
          <w:szCs w:val="24"/>
          <w:lang w:eastAsia="ru-RU"/>
        </w:rPr>
        <w:t>. В первом случае клиент фактора, отгрузив продукцию, предъявляет счета своему покупателю через посредство фактора, задача которого получить в пользу клиента платеж в сроки согласно договору (обычно от 30 до 120 дней). Сумма переуступленных долговых требований (за минусом издержек) перечисляется поставщику на определенную дату или по истечении определенного времени.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случае предварительной оплаты</w:t>
      </w:r>
      <w:r w:rsidRPr="00006CBF">
        <w:rPr>
          <w:rFonts w:ascii="Times New Roman" w:hAnsi="Times New Roman"/>
          <w:i/>
          <w:iCs/>
          <w:sz w:val="24"/>
          <w:szCs w:val="24"/>
          <w:lang w:eastAsia="ru-RU"/>
        </w:rPr>
        <w:t xml:space="preserve"> </w:t>
      </w:r>
      <w:r w:rsidRPr="00006CBF">
        <w:rPr>
          <w:rFonts w:ascii="Times New Roman" w:hAnsi="Times New Roman"/>
          <w:sz w:val="24"/>
          <w:szCs w:val="24"/>
          <w:lang w:eastAsia="ru-RU"/>
        </w:rPr>
        <w:t>факторинговый отдел банка покупает счета-фактуры у клиента на условиях немедленной оплаты 80—90% стоимости отгрузки, т. е. авансирует оборотный капитал своего клиента (дисконтирование счетов-фактур). Резервные 10-20% стоимости отгрузки клиенту не выплачиваются, а бронируются на отдельном счете на случай претензий в его адрес от покупателя по качеству продукции, ее цене и т. п. Получение такой услуги наиболее полно отвечает потребностям функционирующих предприятий, так как позволяет им посредством факторинга превратить продажу с отсрочкой платежа в продажу с немедленной оплатой и таким образом ускорить движение своего капитала. Основным преимуществом предварительной оплаты является то, что ее размер представляет собой фиксированный процент от суммы долговых требований. Таким образом, поставщик автоматически получает больше средств при увеличении объема своих продаж.</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нашей стране факторинговые операции впервые стали применяться с 1 октября 1988 г. ленинградским Промстройбанком, а с 1989 г. факторинговые отделы стали создаваться в других банковских учреждениях страны. Задача факторинговых отделов – на договорной и платной основе выполнять для предприятий ряд кредитно– расчетных операций, связанных со скорейшим завершением их расчетов за товары и услуги.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настоящее время факторинговый отдел может предоставлять своим клиентам следующие основные виды услуг:</w:t>
      </w:r>
    </w:p>
    <w:p w:rsidR="00B062FC" w:rsidRPr="00006CBF" w:rsidRDefault="00B062FC" w:rsidP="00006CBF">
      <w:pPr>
        <w:numPr>
          <w:ilvl w:val="0"/>
          <w:numId w:val="6"/>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приобретать у предприятий – поставщиков право на получение платежа по товарным операциям с определенного покупателя или группы покупателей, состав которой заранее согласовывается с факторингом (покупка срочной задолженности по товарам, отгруженным и услугам оказанным);</w:t>
      </w:r>
    </w:p>
    <w:p w:rsidR="00B062FC" w:rsidRPr="00006CBF" w:rsidRDefault="00B062FC" w:rsidP="00006CBF">
      <w:pPr>
        <w:numPr>
          <w:ilvl w:val="0"/>
          <w:numId w:val="6"/>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осуществлять покупку у предприятий – поставщиков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дебиторской задолженности по товарам, отгруженным и услугам оказанным, неоплаченным в срок покупателями (покупка просроченной дебиторской задолженности).</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Суть операцийпо услугам 1-й группы</w:t>
      </w:r>
      <w:r w:rsidRPr="00006CBF">
        <w:rPr>
          <w:rFonts w:ascii="Times New Roman" w:hAnsi="Times New Roman"/>
          <w:sz w:val="24"/>
          <w:szCs w:val="24"/>
          <w:lang w:eastAsia="ru-RU"/>
        </w:rPr>
        <w:t xml:space="preserve"> заключается в том, что отдел за счет своих средств гарантирует поставщику оплату выставляемых им на определенных плательщиком платежных требований – поручений немедленно в день предъявления их в банк на инкассо. В свою очередь, поставщик передает факторингу право последующего получения платежей от этих покупателей в пользу факторинга на его счет. Досрочная (до получения платежа непосредственно от покупателя) оплата платежных требований – поручений поставщика фактически означает предоставление ему фактором кредита, который ликвидирует риск несвоевременного поступления поставщику платежа, исключает зависимость его финансового положения от неплатежеспособности покупателя. В результате, получив незамедлительно денежные средства на свой счет, клиент фактора имеет возможность, в свою очередь, без задержки рассчитаться со своими поставщиками, что способствует ускорению расчетов и сокращает неплатежи в хозяйстве.</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При покупкефакторомпросроченной дебиторской задолженности</w:t>
      </w:r>
      <w:r w:rsidRPr="00006CBF">
        <w:rPr>
          <w:rFonts w:ascii="Times New Roman" w:hAnsi="Times New Roman"/>
          <w:sz w:val="24"/>
          <w:szCs w:val="24"/>
          <w:lang w:eastAsia="ru-RU"/>
        </w:rPr>
        <w:t xml:space="preserve"> по товарным операциям он оплачивает поставщику за счет своих средств указанную задолженность не огульно, а при определенных условиях: при сроке задержки платежа не более трех месяцев и лишь при получении от банка плательщика уведомления о том, что плательщик не снят полностью с кредитования и не объявлен неплатежеспособным. Операции по переуступке клиентом фактору просроченной дебиторской задолженности имеют повышенную степень риска. Это обусловливает более высокий размер комиссионного вознаграждения, уровень которого в 1,5-2 раза выше, чем при покупке фактором задолженности по товарам, отгруженным срок оплаты которых не наступил.</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C85435">
      <w:pPr>
        <w:spacing w:before="100" w:beforeAutospacing="1" w:after="100" w:afterAutospacing="1" w:line="240" w:lineRule="auto"/>
        <w:ind w:left="126" w:right="126" w:firstLine="505"/>
        <w:jc w:val="center"/>
        <w:rPr>
          <w:rFonts w:ascii="Times New Roman" w:hAnsi="Times New Roman"/>
          <w:sz w:val="28"/>
          <w:szCs w:val="28"/>
          <w:lang w:eastAsia="ru-RU"/>
        </w:rPr>
      </w:pPr>
      <w:r w:rsidRPr="00006CBF">
        <w:rPr>
          <w:rFonts w:ascii="Times New Roman" w:hAnsi="Times New Roman"/>
          <w:b/>
          <w:bCs/>
          <w:sz w:val="28"/>
          <w:szCs w:val="28"/>
          <w:lang w:eastAsia="ru-RU"/>
        </w:rPr>
        <w:t>Факторинговое соглашение (договор).</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Ос</w:t>
      </w:r>
      <w:r w:rsidRPr="00006CBF">
        <w:rPr>
          <w:rFonts w:ascii="Times New Roman" w:hAnsi="Times New Roman"/>
          <w:sz w:val="24"/>
          <w:szCs w:val="24"/>
          <w:lang w:eastAsia="ru-RU"/>
        </w:rPr>
        <w:t xml:space="preserve">новой осуществления факторинговых операций является договор факторинга. </w:t>
      </w:r>
    </w:p>
    <w:p w:rsidR="00B062FC" w:rsidRPr="00006CBF" w:rsidRDefault="00B062FC" w:rsidP="00006CBF">
      <w:pPr>
        <w:spacing w:before="100" w:beforeAutospacing="1" w:after="100" w:afterAutospacing="1" w:line="240" w:lineRule="auto"/>
        <w:ind w:left="1390" w:right="126" w:firstLine="505"/>
        <w:jc w:val="both"/>
        <w:rPr>
          <w:rFonts w:ascii="Times New Roman" w:hAnsi="Times New Roman"/>
          <w:sz w:val="28"/>
          <w:szCs w:val="28"/>
          <w:lang w:eastAsia="ru-RU"/>
        </w:rPr>
      </w:pPr>
      <w:r w:rsidRPr="00006CBF">
        <w:rPr>
          <w:rFonts w:ascii="Times New Roman" w:hAnsi="Times New Roman"/>
          <w:b/>
          <w:bCs/>
          <w:sz w:val="28"/>
          <w:szCs w:val="28"/>
          <w:lang w:eastAsia="ru-RU"/>
        </w:rPr>
        <w:t>Содержание договора о факторинговом обслуживании.</w:t>
      </w:r>
    </w:p>
    <w:p w:rsidR="00B062FC" w:rsidRPr="00006CBF" w:rsidRDefault="00B062FC" w:rsidP="00006CBF">
      <w:pPr>
        <w:spacing w:beforeAutospacing="1" w:after="0" w:afterAutospacing="1" w:line="240" w:lineRule="auto"/>
        <w:ind w:left="1390" w:right="126" w:hanging="360"/>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В договоре указываются:</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покупатели, требования которых будут переуступаться;</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контрольная сумма переуступаемых требований;</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предельная сумма аванса;</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процентная ставка за кредит;</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процент комиссионного сбора за обработку счетов-фактур;</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минимальная сумма комиссионного сбора, если требования поступили на меньшую сумму;</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дополнительные виды услуг, получаемые поставщиком;</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предельные суммы по операциям факторинга и метод их расчета;</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меры, принимаемые для получения платежа с неаккуратного плательщика;</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право регресса (право обратного требования к поставщику);</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сроки заявления претензий и жалоб на факторинговый отдел;</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ответственность сторон за нарушение условий договора;</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предельный срок платежа для покупателя;</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порядок завершения факторной сделки;</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условия расторжения договора;</w:t>
      </w:r>
    </w:p>
    <w:p w:rsidR="00B062FC" w:rsidRPr="00006CBF" w:rsidRDefault="00B062FC" w:rsidP="00006CBF">
      <w:pPr>
        <w:numPr>
          <w:ilvl w:val="0"/>
          <w:numId w:val="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срок действия договора.</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Особо оговаривается, что поставщик не имеет права заключать договор с другим банком. </w:t>
      </w:r>
    </w:p>
    <w:p w:rsidR="00B062FC" w:rsidRPr="00006CBF" w:rsidRDefault="00B062FC" w:rsidP="00C85435">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В договоре предусматриваются также обязанности поставщика и факторингового отдела банка</w:t>
      </w:r>
      <w:r w:rsidRPr="00006CBF">
        <w:rPr>
          <w:rFonts w:ascii="Times New Roman" w:hAnsi="Times New Roman"/>
          <w:sz w:val="24"/>
          <w:szCs w:val="24"/>
          <w:lang w:eastAsia="ru-RU"/>
        </w:rPr>
        <w:t xml:space="preserve">. </w:t>
      </w:r>
    </w:p>
    <w:p w:rsidR="00B062FC" w:rsidRPr="00006CBF" w:rsidRDefault="00B062FC" w:rsidP="00006CBF">
      <w:pPr>
        <w:spacing w:before="100" w:beforeAutospacing="1" w:after="100" w:afterAutospacing="1" w:line="240" w:lineRule="auto"/>
        <w:ind w:left="1390" w:right="126" w:firstLine="505"/>
        <w:jc w:val="both"/>
        <w:rPr>
          <w:rFonts w:ascii="Times New Roman" w:hAnsi="Times New Roman"/>
          <w:b/>
          <w:sz w:val="28"/>
          <w:szCs w:val="28"/>
          <w:lang w:eastAsia="ru-RU"/>
        </w:rPr>
      </w:pPr>
      <w:r w:rsidRPr="00006CBF">
        <w:rPr>
          <w:rFonts w:ascii="Times New Roman" w:hAnsi="Times New Roman"/>
          <w:b/>
          <w:bCs/>
          <w:sz w:val="28"/>
          <w:szCs w:val="28"/>
          <w:lang w:eastAsia="ru-RU"/>
        </w:rPr>
        <w:t>Действие факторингового соглашения (договора) может быть, прекращено:</w:t>
      </w:r>
    </w:p>
    <w:p w:rsidR="00B062FC" w:rsidRPr="00006CBF" w:rsidRDefault="00B062FC" w:rsidP="00006CBF">
      <w:pPr>
        <w:numPr>
          <w:ilvl w:val="0"/>
          <w:numId w:val="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взаимному соглашению сторон;</w:t>
      </w:r>
    </w:p>
    <w:p w:rsidR="00B062FC" w:rsidRPr="00006CBF" w:rsidRDefault="00B062FC" w:rsidP="00006CBF">
      <w:pPr>
        <w:numPr>
          <w:ilvl w:val="0"/>
          <w:numId w:val="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желанию поставщика;</w:t>
      </w:r>
    </w:p>
    <w:p w:rsidR="00B062FC" w:rsidRPr="00006CBF" w:rsidRDefault="00B062FC" w:rsidP="00006CBF">
      <w:pPr>
        <w:numPr>
          <w:ilvl w:val="0"/>
          <w:numId w:val="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 желанию факторингового отдела. При этом стороны уведомляют друг друга в сроки, указанные в договоре;</w:t>
      </w:r>
    </w:p>
    <w:p w:rsidR="00B062FC" w:rsidRPr="00006CBF" w:rsidRDefault="00B062FC" w:rsidP="00006CBF">
      <w:pPr>
        <w:numPr>
          <w:ilvl w:val="0"/>
          <w:numId w:val="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при фактической или возможной неплатежеспособности поставщика.</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BF777F">
      <w:pPr>
        <w:spacing w:before="100" w:beforeAutospacing="1" w:after="100" w:afterAutospacing="1" w:line="240" w:lineRule="auto"/>
        <w:ind w:left="126" w:right="126" w:firstLine="505"/>
        <w:jc w:val="center"/>
        <w:rPr>
          <w:rFonts w:ascii="Times New Roman" w:hAnsi="Times New Roman"/>
          <w:sz w:val="24"/>
          <w:szCs w:val="24"/>
          <w:lang w:eastAsia="ru-RU"/>
        </w:rPr>
      </w:pPr>
      <w:r w:rsidRPr="00006CBF">
        <w:rPr>
          <w:rFonts w:ascii="Times New Roman" w:hAnsi="Times New Roman"/>
          <w:b/>
          <w:bCs/>
          <w:sz w:val="24"/>
          <w:szCs w:val="24"/>
          <w:lang w:eastAsia="ru-RU"/>
        </w:rPr>
        <w:t>Комиссионное вознаграждение.</w:t>
      </w:r>
    </w:p>
    <w:p w:rsidR="00B062FC" w:rsidRPr="00006CBF" w:rsidRDefault="00B062FC" w:rsidP="00BF777F">
      <w:pPr>
        <w:spacing w:after="0" w:line="240" w:lineRule="auto"/>
        <w:ind w:left="126" w:right="126"/>
        <w:jc w:val="center"/>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Комиссионное вознаграждение факторингового отдела складывается из двух элементов: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 xml:space="preserve">платы за обслуживание. </w:t>
      </w:r>
      <w:r w:rsidRPr="00006CBF">
        <w:rPr>
          <w:rFonts w:ascii="Times New Roman" w:hAnsi="Times New Roman"/>
          <w:sz w:val="24"/>
          <w:szCs w:val="24"/>
          <w:lang w:eastAsia="ru-RU"/>
        </w:rPr>
        <w:t>Она рассчитывается обычно, как процент от суммы счета-фактуры. Её величина зависит от объёма и структуры производственной деятельности поставщика, кредитоспособности его покупателей, оценки отделом трудоёмкости выполняемой работы степени кредитного риска, а также от специфики и конъюнктуры рынка, финансовых услуг той или иной страны. В большинстве стран он находится в пределах 0,5-3,0%. При наличии регресса делается скидка на 0,2-0,5%. Плата за учет (дисконтирование) счетов – фактур составляет 0,1-1,0% годового оборота поставщика.</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процента, взимаемого при досрочной оплате переуступаемых долговых требований.</w:t>
      </w:r>
      <w:r w:rsidRPr="00006CBF">
        <w:rPr>
          <w:rFonts w:ascii="Times New Roman" w:hAnsi="Times New Roman"/>
          <w:sz w:val="24"/>
          <w:szCs w:val="24"/>
          <w:lang w:eastAsia="ru-RU"/>
        </w:rPr>
        <w:t xml:space="preserve"> Его размер определяется за период между досрочным получением платежа и датой поступления платежа от плательщика на основе ежедневного дебетового сальдо по счету поставщика у факторингового отдела. Обычно он на 2-4%превышает текущую банковскую ставку, используемую при краткосрочном кредитовании клиентов с аналогичным оборотом и кредитоспособностью, что обусловлено необходимостью компенсации дополнительных затрат и риска.</w:t>
      </w:r>
    </w:p>
    <w:p w:rsidR="00B062FC" w:rsidRPr="00006CBF" w:rsidRDefault="00B062FC" w:rsidP="00C85435">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Обычно банк оплачивает единовременно 80-90% стоимости счета-фактуры; 10-20%-резерв, который будет возвращен после погашения дебитором всей суммы долга.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Стоимость внешнеторгового факторинга выше, чем внутреннего, т.к. расходы при проведении операций за пределами своей страны значительно выше. Кроме того, размер платы зависит от конкретной страны – импортера.</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Стоимость конфиденциальных операций факторинга выше, чем конвенционных, и значительно дороже других банковских кредитов, т.к. никто из контрагентов поставщика не осведомлен о кредитовании его продаж. </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758" w:right="126" w:firstLine="505"/>
        <w:jc w:val="both"/>
        <w:rPr>
          <w:rFonts w:ascii="Times New Roman" w:hAnsi="Times New Roman"/>
          <w:sz w:val="28"/>
          <w:szCs w:val="28"/>
          <w:lang w:eastAsia="ru-RU"/>
        </w:rPr>
      </w:pPr>
      <w:r w:rsidRPr="00006CBF">
        <w:rPr>
          <w:rFonts w:ascii="Times New Roman" w:hAnsi="Times New Roman"/>
          <w:b/>
          <w:bCs/>
          <w:sz w:val="28"/>
          <w:szCs w:val="28"/>
          <w:lang w:eastAsia="ru-RU"/>
        </w:rPr>
        <w:t>Заключение.</w:t>
      </w:r>
    </w:p>
    <w:p w:rsidR="00B062FC" w:rsidRPr="00006CBF" w:rsidRDefault="00B062FC" w:rsidP="00006CBF">
      <w:pPr>
        <w:spacing w:after="0" w:line="240" w:lineRule="auto"/>
        <w:ind w:left="126"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Факторинг выгоден и поставщику, и покупателю, и фактору. С его помощью </w:t>
      </w:r>
      <w:r w:rsidRPr="00006CBF">
        <w:rPr>
          <w:rFonts w:ascii="Times New Roman" w:hAnsi="Times New Roman"/>
          <w:b/>
          <w:bCs/>
          <w:sz w:val="24"/>
          <w:szCs w:val="24"/>
          <w:lang w:eastAsia="ru-RU"/>
        </w:rPr>
        <w:t>поставщик может следующее</w:t>
      </w:r>
      <w:r w:rsidRPr="00006CBF">
        <w:rPr>
          <w:rFonts w:ascii="Times New Roman" w:hAnsi="Times New Roman"/>
          <w:sz w:val="24"/>
          <w:szCs w:val="24"/>
          <w:lang w:eastAsia="ru-RU"/>
        </w:rPr>
        <w:t>:</w:t>
      </w:r>
    </w:p>
    <w:p w:rsidR="00B062FC" w:rsidRPr="00006CBF" w:rsidRDefault="00B062FC" w:rsidP="00006CBF">
      <w:pPr>
        <w:numPr>
          <w:ilvl w:val="0"/>
          <w:numId w:val="16"/>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увеличить объем продаж, число покупателей и конкурентоспособность, предоставив покупателям льготные условия оплаты товара (отсрочку) под надежную гарантию; </w:t>
      </w:r>
    </w:p>
    <w:p w:rsidR="00B062FC" w:rsidRPr="00006CBF" w:rsidRDefault="00B062FC" w:rsidP="00006CBF">
      <w:pPr>
        <w:numPr>
          <w:ilvl w:val="0"/>
          <w:numId w:val="16"/>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получить кредит в размере до 90% от стоимости поставляемого товара, что ускорит оборачиваемость средств.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 xml:space="preserve">Покупатель может: </w:t>
      </w:r>
    </w:p>
    <w:p w:rsidR="00B062FC" w:rsidRPr="00006CBF" w:rsidRDefault="00B062FC" w:rsidP="00006CBF">
      <w:pPr>
        <w:numPr>
          <w:ilvl w:val="0"/>
          <w:numId w:val="17"/>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получить товарный кредит (продавец поставляет товар с отсрочкой платежа под гарантии в среднем до 3 месяцев); </w:t>
      </w:r>
    </w:p>
    <w:p w:rsidR="00B062FC" w:rsidRPr="00006CBF" w:rsidRDefault="00B062FC" w:rsidP="00006CBF">
      <w:pPr>
        <w:numPr>
          <w:ilvl w:val="0"/>
          <w:numId w:val="17"/>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избежать риска получения некачественного товара; </w:t>
      </w:r>
    </w:p>
    <w:p w:rsidR="00B062FC" w:rsidRPr="00006CBF" w:rsidRDefault="00B062FC" w:rsidP="00006CBF">
      <w:pPr>
        <w:numPr>
          <w:ilvl w:val="0"/>
          <w:numId w:val="17"/>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увеличить объем закупок; </w:t>
      </w:r>
    </w:p>
    <w:p w:rsidR="00B062FC" w:rsidRPr="00006CBF" w:rsidRDefault="00B062FC" w:rsidP="00006CBF">
      <w:pPr>
        <w:numPr>
          <w:ilvl w:val="0"/>
          <w:numId w:val="17"/>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улучшить конкурентоспособность, ускорить оборачиваемость средств. </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b/>
          <w:bCs/>
          <w:sz w:val="24"/>
          <w:szCs w:val="24"/>
          <w:lang w:eastAsia="ru-RU"/>
        </w:rPr>
        <w:t>Основными доходами фактора являются:</w:t>
      </w:r>
    </w:p>
    <w:p w:rsidR="00B062FC" w:rsidRPr="00006CBF" w:rsidRDefault="00B062FC" w:rsidP="00006CBF">
      <w:pPr>
        <w:numPr>
          <w:ilvl w:val="0"/>
          <w:numId w:val="1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проценты по кредиту;</w:t>
      </w:r>
    </w:p>
    <w:p w:rsidR="00B062FC" w:rsidRPr="00006CBF" w:rsidRDefault="00B062FC" w:rsidP="00006CBF">
      <w:pPr>
        <w:numPr>
          <w:ilvl w:val="0"/>
          <w:numId w:val="18"/>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плата за обслуживание.</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Коммерческие банки, развивая факторинговые операции, дополняют их элементами бухгалтерского, информационного, рекламного, сбытового, юридического, страхового и другого обслуживания клиентов. Это позволяет расширять круг клиентов банка, усиливать связь с ними, увеличивать прибыль банка за счет расширения операций.</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Таким образом можно выделить </w:t>
      </w:r>
      <w:r w:rsidRPr="00006CBF">
        <w:rPr>
          <w:rFonts w:ascii="Times New Roman" w:hAnsi="Times New Roman"/>
          <w:b/>
          <w:bCs/>
          <w:sz w:val="24"/>
          <w:szCs w:val="24"/>
          <w:lang w:eastAsia="ru-RU"/>
        </w:rPr>
        <w:t>главные экономические достоинства факторинга</w:t>
      </w:r>
      <w:r w:rsidRPr="00006CBF">
        <w:rPr>
          <w:rFonts w:ascii="Times New Roman" w:hAnsi="Times New Roman"/>
          <w:sz w:val="24"/>
          <w:szCs w:val="24"/>
          <w:lang w:eastAsia="ru-RU"/>
        </w:rPr>
        <w:t xml:space="preserve">: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увеличение ликвидности, рентабельности и прибыли;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превращение дебиторской задолженности в наличные деньги;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возможность получать скидку при немедленной оплате всех счетов поставщиков;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независимость и свобода от соблюдения сроков платежей со стороны дебиторов;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возможность расширения объемов оборота;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повышение доходности;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экономия собственного капитала; </w:t>
      </w:r>
    </w:p>
    <w:p w:rsidR="00B062FC" w:rsidRPr="00006CBF" w:rsidRDefault="00B062FC" w:rsidP="00006CBF">
      <w:pPr>
        <w:numPr>
          <w:ilvl w:val="0"/>
          <w:numId w:val="19"/>
        </w:numPr>
        <w:spacing w:before="100" w:beforeAutospacing="1" w:after="100" w:afterAutospacing="1" w:line="240" w:lineRule="auto"/>
        <w:ind w:left="1390"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улучшение финансового планирования. </w:t>
      </w:r>
    </w:p>
    <w:p w:rsidR="00B062FC" w:rsidRPr="00006CBF" w:rsidRDefault="00B062FC" w:rsidP="00006CBF">
      <w:pPr>
        <w:spacing w:beforeAutospacing="1" w:after="0" w:afterAutospacing="1" w:line="240" w:lineRule="auto"/>
        <w:ind w:left="1390" w:right="126"/>
        <w:jc w:val="both"/>
        <w:rPr>
          <w:rFonts w:ascii="Times New Roman" w:hAnsi="Times New Roman"/>
          <w:sz w:val="24"/>
          <w:szCs w:val="24"/>
          <w:lang w:eastAsia="ru-RU"/>
        </w:rPr>
      </w:pP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Российские предприятия используют факторинг крайне редко - в случае острой необходимости получения кредита на сверхкороткой срок. Это связано прежде всего с тем, что в России широко распространена предоплата за товар и не развит коммерческий (товарный) кредит как высоко рискованный. К тому же факторинг в современном варианте только появился на российском рынке и пока недостаточно оценены возможности его как финансового инструмента. Тормозит развитие факторинга также почти полное отсутствие методической базы факторинговых операций.</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 xml:space="preserve">Однако опыт зарубежных стран и ряд преимуществ экспортного факторинга по сравнению с другими формами расчетов в международной торговле позволяют прогнозировать рост его популярности среди российских экспортеров. Это связано, </w:t>
      </w:r>
      <w:r w:rsidRPr="00006CBF">
        <w:rPr>
          <w:rFonts w:ascii="Times New Roman" w:hAnsi="Times New Roman"/>
          <w:b/>
          <w:bCs/>
          <w:sz w:val="24"/>
          <w:szCs w:val="24"/>
          <w:lang w:eastAsia="ru-RU"/>
        </w:rPr>
        <w:t>во-первых</w:t>
      </w:r>
      <w:r w:rsidRPr="00006CBF">
        <w:rPr>
          <w:rFonts w:ascii="Times New Roman" w:hAnsi="Times New Roman"/>
          <w:sz w:val="24"/>
          <w:szCs w:val="24"/>
          <w:lang w:eastAsia="ru-RU"/>
        </w:rPr>
        <w:t>, с тем, что экспортный факторинг осуществляют факторы с самым разным гражданством, входящие в то или иное объединение факторинговых компаний.</w:t>
      </w:r>
      <w:r w:rsidRPr="00006CBF">
        <w:rPr>
          <w:rFonts w:ascii="Times New Roman" w:hAnsi="Times New Roman"/>
          <w:b/>
          <w:bCs/>
          <w:sz w:val="24"/>
          <w:szCs w:val="24"/>
          <w:lang w:eastAsia="ru-RU"/>
        </w:rPr>
        <w:t xml:space="preserve"> Во-вторых</w:t>
      </w:r>
      <w:r w:rsidRPr="00006CBF">
        <w:rPr>
          <w:rFonts w:ascii="Times New Roman" w:hAnsi="Times New Roman"/>
          <w:sz w:val="24"/>
          <w:szCs w:val="24"/>
          <w:lang w:eastAsia="ru-RU"/>
        </w:rPr>
        <w:t xml:space="preserve">, фирма поставщик, получив большую часть суммы за поставленный товар, немедленно после отгрузки может направить ее в оборот. </w:t>
      </w:r>
      <w:r w:rsidRPr="00006CBF">
        <w:rPr>
          <w:rFonts w:ascii="Times New Roman" w:hAnsi="Times New Roman"/>
          <w:b/>
          <w:bCs/>
          <w:sz w:val="24"/>
          <w:szCs w:val="24"/>
          <w:lang w:eastAsia="ru-RU"/>
        </w:rPr>
        <w:t>В-третьих,</w:t>
      </w:r>
      <w:r w:rsidRPr="00006CBF">
        <w:rPr>
          <w:rFonts w:ascii="Times New Roman" w:hAnsi="Times New Roman"/>
          <w:sz w:val="24"/>
          <w:szCs w:val="24"/>
          <w:lang w:eastAsia="ru-RU"/>
        </w:rPr>
        <w:t xml:space="preserve"> фактор уведомит экспортера о финансовом положении потенциального покупателя. </w:t>
      </w:r>
      <w:r w:rsidRPr="00006CBF">
        <w:rPr>
          <w:rFonts w:ascii="Times New Roman" w:hAnsi="Times New Roman"/>
          <w:b/>
          <w:bCs/>
          <w:sz w:val="24"/>
          <w:szCs w:val="24"/>
          <w:lang w:eastAsia="ru-RU"/>
        </w:rPr>
        <w:t>Таким образом ,</w:t>
      </w:r>
      <w:r w:rsidRPr="00006CBF">
        <w:rPr>
          <w:rFonts w:ascii="Times New Roman" w:hAnsi="Times New Roman"/>
          <w:sz w:val="24"/>
          <w:szCs w:val="24"/>
          <w:lang w:eastAsia="ru-RU"/>
        </w:rPr>
        <w:t xml:space="preserve"> предприятие-экспортер получает возможность, не рискуя потратить время и деньги впустую, расширить производство под конкретного импортера того или иного вида товара.</w:t>
      </w:r>
    </w:p>
    <w:p w:rsidR="00B062FC" w:rsidRPr="00006CBF" w:rsidRDefault="00B062FC" w:rsidP="00006CBF">
      <w:pPr>
        <w:spacing w:before="100" w:beforeAutospacing="1" w:after="100" w:afterAutospacing="1" w:line="240" w:lineRule="auto"/>
        <w:ind w:left="126" w:right="126" w:firstLine="505"/>
        <w:jc w:val="both"/>
        <w:rPr>
          <w:rFonts w:ascii="Times New Roman" w:hAnsi="Times New Roman"/>
          <w:sz w:val="24"/>
          <w:szCs w:val="24"/>
          <w:lang w:eastAsia="ru-RU"/>
        </w:rPr>
      </w:pPr>
      <w:r w:rsidRPr="00006CBF">
        <w:rPr>
          <w:rFonts w:ascii="Times New Roman" w:hAnsi="Times New Roman"/>
          <w:sz w:val="24"/>
          <w:szCs w:val="24"/>
          <w:lang w:eastAsia="ru-RU"/>
        </w:rPr>
        <w:t>Поскольку факторинг существенно помогает взысканию платежей по обязательствам коммерческой деятельности, он особенно актуален в условиях большой дебиторской задолженности, парализующей систему безналичных расчетов нашей страны.</w:t>
      </w:r>
    </w:p>
    <w:p w:rsidR="00B062FC" w:rsidRPr="00C85435" w:rsidRDefault="00B062FC">
      <w:pPr>
        <w:rPr>
          <w:rFonts w:ascii="Times New Roman" w:hAnsi="Times New Roman"/>
          <w:sz w:val="24"/>
          <w:szCs w:val="24"/>
        </w:rPr>
      </w:pPr>
      <w:bookmarkStart w:id="0" w:name="_GoBack"/>
      <w:bookmarkEnd w:id="0"/>
    </w:p>
    <w:sectPr w:rsidR="00B062FC" w:rsidRPr="00C85435" w:rsidSect="00F23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614"/>
    <w:multiLevelType w:val="multilevel"/>
    <w:tmpl w:val="AACE40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E710D0"/>
    <w:multiLevelType w:val="multilevel"/>
    <w:tmpl w:val="4796AE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40B5475"/>
    <w:multiLevelType w:val="multilevel"/>
    <w:tmpl w:val="C256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655F"/>
    <w:multiLevelType w:val="multilevel"/>
    <w:tmpl w:val="87F4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F7E82"/>
    <w:multiLevelType w:val="multilevel"/>
    <w:tmpl w:val="182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B38B2"/>
    <w:multiLevelType w:val="multilevel"/>
    <w:tmpl w:val="9244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7254E"/>
    <w:multiLevelType w:val="multilevel"/>
    <w:tmpl w:val="BF34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77479"/>
    <w:multiLevelType w:val="multilevel"/>
    <w:tmpl w:val="2EBA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4454D8"/>
    <w:multiLevelType w:val="multilevel"/>
    <w:tmpl w:val="66F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74A8A"/>
    <w:multiLevelType w:val="multilevel"/>
    <w:tmpl w:val="67D01BD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80510EA"/>
    <w:multiLevelType w:val="multilevel"/>
    <w:tmpl w:val="1B8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5C4581"/>
    <w:multiLevelType w:val="multilevel"/>
    <w:tmpl w:val="607E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DB5844"/>
    <w:multiLevelType w:val="multilevel"/>
    <w:tmpl w:val="C1D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E08C6"/>
    <w:multiLevelType w:val="multilevel"/>
    <w:tmpl w:val="7B2269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9445337"/>
    <w:multiLevelType w:val="multilevel"/>
    <w:tmpl w:val="7624D3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D834083"/>
    <w:multiLevelType w:val="multilevel"/>
    <w:tmpl w:val="4FC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61E28"/>
    <w:multiLevelType w:val="multilevel"/>
    <w:tmpl w:val="49F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55FB8"/>
    <w:multiLevelType w:val="multilevel"/>
    <w:tmpl w:val="AC98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E55A7F"/>
    <w:multiLevelType w:val="multilevel"/>
    <w:tmpl w:val="26F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17"/>
  </w:num>
  <w:num w:numId="5">
    <w:abstractNumId w:val="8"/>
  </w:num>
  <w:num w:numId="6">
    <w:abstractNumId w:val="11"/>
  </w:num>
  <w:num w:numId="7">
    <w:abstractNumId w:val="18"/>
  </w:num>
  <w:num w:numId="8">
    <w:abstractNumId w:val="14"/>
  </w:num>
  <w:num w:numId="9">
    <w:abstractNumId w:val="12"/>
  </w:num>
  <w:num w:numId="10">
    <w:abstractNumId w:val="4"/>
  </w:num>
  <w:num w:numId="11">
    <w:abstractNumId w:val="15"/>
  </w:num>
  <w:num w:numId="12">
    <w:abstractNumId w:val="5"/>
  </w:num>
  <w:num w:numId="13">
    <w:abstractNumId w:val="13"/>
  </w:num>
  <w:num w:numId="14">
    <w:abstractNumId w:val="0"/>
  </w:num>
  <w:num w:numId="15">
    <w:abstractNumId w:val="1"/>
  </w:num>
  <w:num w:numId="16">
    <w:abstractNumId w:val="2"/>
  </w:num>
  <w:num w:numId="17">
    <w:abstractNumId w:val="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CBF"/>
    <w:rsid w:val="00006CBF"/>
    <w:rsid w:val="00501074"/>
    <w:rsid w:val="005C426F"/>
    <w:rsid w:val="00A33D4E"/>
    <w:rsid w:val="00B062FC"/>
    <w:rsid w:val="00BF777F"/>
    <w:rsid w:val="00C85435"/>
    <w:rsid w:val="00CF6020"/>
    <w:rsid w:val="00D33AD5"/>
    <w:rsid w:val="00F16522"/>
    <w:rsid w:val="00F2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0FD56-4D19-4B93-9715-691FAFAB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CB2"/>
    <w:pPr>
      <w:spacing w:after="200" w:line="276" w:lineRule="auto"/>
    </w:pPr>
    <w:rPr>
      <w:rFonts w:eastAsia="Times New Roman"/>
      <w:sz w:val="22"/>
      <w:szCs w:val="22"/>
      <w:lang w:eastAsia="en-US"/>
    </w:rPr>
  </w:style>
  <w:style w:type="paragraph" w:styleId="4">
    <w:name w:val="heading 4"/>
    <w:basedOn w:val="a"/>
    <w:link w:val="40"/>
    <w:qFormat/>
    <w:rsid w:val="00006CBF"/>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006CBF"/>
    <w:rPr>
      <w:rFonts w:ascii="Times New Roman" w:hAnsi="Times New Roman" w:cs="Times New Roman"/>
      <w:b/>
      <w:bCs/>
      <w:sz w:val="24"/>
      <w:szCs w:val="24"/>
      <w:lang w:val="x-none" w:eastAsia="ru-RU"/>
    </w:rPr>
  </w:style>
  <w:style w:type="paragraph" w:styleId="a3">
    <w:name w:val="Normal (Web)"/>
    <w:basedOn w:val="a"/>
    <w:semiHidden/>
    <w:rsid w:val="00006CBF"/>
    <w:pPr>
      <w:spacing w:before="100" w:beforeAutospacing="1" w:after="100" w:afterAutospacing="1" w:line="240" w:lineRule="auto"/>
      <w:ind w:firstLine="505"/>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3703</Words>
  <Characters>21111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2010-12-02T19:35:00Z</cp:lastPrinted>
  <dcterms:created xsi:type="dcterms:W3CDTF">2014-04-06T03:53:00Z</dcterms:created>
  <dcterms:modified xsi:type="dcterms:W3CDTF">2014-04-06T03:53:00Z</dcterms:modified>
</cp:coreProperties>
</file>