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0C" w:rsidRDefault="00A067EF">
      <w:pPr>
        <w:pStyle w:val="1"/>
        <w:jc w:val="center"/>
      </w:pPr>
      <w:r>
        <w:t>Костролитовые строительные материалы с использованием композиционного магнезиального вяжущего на основе диабаза</w:t>
      </w:r>
    </w:p>
    <w:p w:rsidR="00D3140C" w:rsidRPr="00A067EF" w:rsidRDefault="00A067EF">
      <w:pPr>
        <w:pStyle w:val="a3"/>
      </w:pPr>
      <w:r>
        <w:t> </w:t>
      </w:r>
    </w:p>
    <w:p w:rsidR="00D3140C" w:rsidRDefault="00A067EF">
      <w:pPr>
        <w:pStyle w:val="a3"/>
      </w:pPr>
      <w:r>
        <w:t>Н.А. Машкин, Е.В. Лыткина</w:t>
      </w:r>
    </w:p>
    <w:p w:rsidR="00D3140C" w:rsidRDefault="00A067EF">
      <w:pPr>
        <w:pStyle w:val="a3"/>
      </w:pPr>
      <w:r>
        <w:t>Установлено, что введение 70 % диабаза обеспечивает повышение водостойкости магнезиального вяжущего вещества. Использование такого вяжущего позволяет получать костролитовые строительные материалы с повышенной водостойкостью и низкой теплопроводностью.</w:t>
      </w:r>
    </w:p>
    <w:p w:rsidR="00D3140C" w:rsidRDefault="00A067EF">
      <w:pPr>
        <w:pStyle w:val="a3"/>
      </w:pPr>
      <w:r>
        <w:t>XXI век - это век композиционных материалов. Природные и даже синтетические материалы в их естественном виде уже не вполне удовлетворяют требованиям конструкторов, архитекторов и технологов. Суть композитов заключается в том, что в сочетании различных материалов проявляются их лучшие стороны в той степени, в которой это нужно для каждого конкретного случая применения. До недавнего прошлого основной сферой применения композитов были космонавтика и авиация. Сегодня повсеместно происходит осознание преимуществ этого направления и его реализация в самой широкой конструктивной и технологической практике.</w:t>
      </w:r>
    </w:p>
    <w:p w:rsidR="00D3140C" w:rsidRDefault="00A067EF">
      <w:pPr>
        <w:pStyle w:val="a3"/>
      </w:pPr>
      <w:r>
        <w:t>В настоящее время техногенные и природные некондиционные магнийсодержащие отходы могут представлять качественное сырье для создания композиционных материалов. Количество магне- зиально-силикатных отходов достигает 5 млрд тонн в год. Например, только диопсидовые отходы Алданского горно-промышленного района оцениваются в десятки миллионов тонн.</w:t>
      </w:r>
    </w:p>
    <w:p w:rsidR="00D3140C" w:rsidRDefault="00A067EF">
      <w:pPr>
        <w:pStyle w:val="a3"/>
      </w:pPr>
      <w:r>
        <w:t>Магнезиальные вяжущие вещества являются ценным активным компонентом строительных композиционных материалов. Однако магнезиальные вяжущие на основе магнезиально-карбонатного сырья ограничены в применении ввиду малого количества месторождений магнезита. Для магнезиального вяжущего вещества характерны короткие сроки схватывания, быстрый набор прочности до высоких значений. Менее выраженная основность магния по сравнению с кальцием обусловливает химически нейтральный характер продуктов гидратации магнезиального цемента, а вследствие этого и отсутствие высолообразования. Благодаря этому магнезиальные вяжущие имеют преимущество в их использовании с органическими заполнителями. Органический заполнитель не разрушается в изделиях из магнезиального цемента в течение десятков лет. В качестве органических заполнителей при изготовлении строительных материалов традиционно используют растительные отходы.</w:t>
      </w:r>
    </w:p>
    <w:p w:rsidR="00D3140C" w:rsidRDefault="00A067EF">
      <w:pPr>
        <w:pStyle w:val="a3"/>
      </w:pPr>
      <w:r>
        <w:t>К сожалению, масштабы применения магнезиальных материалов пока еще ограничены, поскольку они неустойчивы к действию воды, что проявляется в потере прочности при длительном хранении в воде.</w:t>
      </w:r>
    </w:p>
    <w:p w:rsidR="00D3140C" w:rsidRDefault="00A067EF">
      <w:pPr>
        <w:pStyle w:val="a3"/>
      </w:pPr>
      <w:r>
        <w:t>Анализ литературных данных показал, что для повышения водостойкости магнезиальных вяжущих веществ перспективно введение в их состав минеральных добавок. В данной работе, выполненной на кафедре строительных материалов и специальных технологий НГАСУ (Сибстрин), в качестве минеральной добавки исследован местный силикатный отход - диабаз, образующийся в процессе дробления диабазовой породы при получении щебня (месторождение пос. Горный, Новосибирская область). Минеральный состав диабаза представлен полевыми шпатами, слюдой, хлоритами, каолинитом, диопсидом. Химический состав диабаза приведен в табл. 1.</w:t>
      </w:r>
    </w:p>
    <w:p w:rsidR="00D3140C" w:rsidRDefault="00A067EF">
      <w:pPr>
        <w:pStyle w:val="a3"/>
      </w:pPr>
      <w:r>
        <w:t>В исходном состоянии порошок диабаза характеризуется насыпной плотностью, равной 1420 кг/м3, истинной плотностью 2,78 г/см3, удельной поверхностью 2240 см2/г, частные остатки на ситах по массе составляют: более 0,63 мм - 29,48 %, более 0,20 мм - 26,24 %, более 0,08 мм - 24,78 %, менее 0,08 мм -19,50%.</w:t>
      </w:r>
    </w:p>
    <w:p w:rsidR="00D3140C" w:rsidRDefault="00A067EF">
      <w:pPr>
        <w:pStyle w:val="a3"/>
      </w:pPr>
      <w:r>
        <w:t>Для проведения данной работы композиционные магнезиальные вяжущие готовились следующим образом: MgO и диабаз смешивались в соотношении, равном 30:70 и затворялись раствором хлорида магния плотностью 1,2 г/см3 при Ж:Т=0,8. Такое соотношение «М§0:наполнитель», по данным работы [1] и результатам наших исследований, является оптимальным. Далее производилось прессование в две ступени для удаления воздуха под нагрузкой 2,5/5 МПа (в числителе указано давление прессования на первой, в знаменателе - на второй ступенях). Свойства композиционного магнезиального вяжущего вещества приведены в табл. 2.</w:t>
      </w:r>
    </w:p>
    <w:p w:rsidR="00D3140C" w:rsidRDefault="00A067EF">
      <w:pPr>
        <w:pStyle w:val="a3"/>
      </w:pPr>
      <w:r>
        <w:t>Введение в магнезиальное вяжущее тонкодисперсного диабаза приводит к снижению высо- лообразования за счет уменьшения содержания свободного оксида магния. Диабаз влияет на процесс гидратации магнезиальных вяжущих и на структурную стабильность продуктов твердения. Такой материал набирает прочность в ранние сроки твердения. Использование тонкодисперсного порошка диабаза в составе композиционного вяжущего обеспечивает получение изделий повышенной водостойкости.</w:t>
      </w:r>
    </w:p>
    <w:p w:rsidR="00D3140C" w:rsidRDefault="00A067EF">
      <w:pPr>
        <w:pStyle w:val="a3"/>
      </w:pPr>
      <w:r>
        <w:t>С использованием композиционного магнезиального вяжущего, затворенного раствором хлорида магния, были изготовлены образцы-цилиндры, прессованные в форме диаметром 40 мм под давлением 4/8 МПа. Без пигмента образцы имеют светлосерый оттенок, среднюю плотность 1650 кг/м3. При малом содержании раствора MgCl2 (влажность смеси 27 %) образцы имеют низкую водостойкость - коэффициент размягчения 0,34 при водопоглоще- нии 8 %, прочность при сжатии 6,5 МПа. При увеличении влажности смеси до 50 % повышается прочность образцов при сжатии до 12,0 МПа и коэффициент размягчения до 1,0.. .1,2, водопо- глощение снижается до 5 %.</w:t>
      </w:r>
    </w:p>
    <w:p w:rsidR="00D3140C" w:rsidRDefault="00A067EF">
      <w:pPr>
        <w:pStyle w:val="a3"/>
      </w:pPr>
      <w:r>
        <w:t>На основе композиционного магнезиального вяжущего с добавлением органического заполнителя - костры льна (местный отход производства), были получены костролитовые материалы повышенной водостойкости. В Сибири льнозаводы расположены на территории Омской, Новосибирской областей, Алтайском крае. В работе использована костра льна Легостаевского льнозавода (Искитимский район Новосибирской области). Она имеет насыпную плотность 110... 120 кг/м3, влажность 15...20 %, гигроскопичность 24...26 %, истинную плотность 1,12 г/см3, пустотность 78 %, набухание в течение получаса 0,72 %, в течение 24 часов - 2,25 %.</w:t>
      </w:r>
    </w:p>
    <w:p w:rsidR="00D3140C" w:rsidRDefault="00A067EF">
      <w:pPr>
        <w:pStyle w:val="a3"/>
      </w:pPr>
      <w:r>
        <w:t>Костролитовые образцы изготавливались двумя способами: двуступенчатым прессованием и литьем. Для приготовления литых ксилолитовых материалов использован состав с соотношением «вяжущее :костра» = 1:1. Прессованные образцы изготовлены при давлении прессования 2/4 МПа при влажности смеси 75 % с гранулометрией костры 1,25...0,63 см. Образцы твердели на воздухе и в воде 28 суток. Результаты испытаний приведены в табл. 3, в которой указаны значения, соответствующие 10 %-ной деформации образцов ( а сухю%),</w:t>
      </w:r>
    </w:p>
    <w:p w:rsidR="00D3140C" w:rsidRDefault="00A067EF">
      <w:pPr>
        <w:pStyle w:val="a3"/>
      </w:pPr>
      <w:r>
        <w:t>Таблица 1</w:t>
      </w:r>
    </w:p>
    <w:p w:rsidR="00D3140C" w:rsidRDefault="00A067EF">
      <w:pPr>
        <w:pStyle w:val="a3"/>
      </w:pPr>
      <w:r>
        <w:t>Химический состав диабаза</w:t>
      </w:r>
    </w:p>
    <w:p w:rsidR="00D3140C" w:rsidRDefault="00A067EF">
      <w:pPr>
        <w:pStyle w:val="a3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0"/>
        <w:gridCol w:w="120"/>
        <w:gridCol w:w="120"/>
        <w:gridCol w:w="120"/>
        <w:gridCol w:w="120"/>
        <w:gridCol w:w="120"/>
        <w:gridCol w:w="120"/>
      </w:tblGrid>
      <w:tr w:rsidR="00D3140C">
        <w:trPr>
          <w:trHeight w:val="255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D3140C" w:rsidRDefault="00A067EF">
            <w:r>
              <w:t>Содержание оксидов, % мае.</w:t>
            </w:r>
          </w:p>
        </w:tc>
      </w:tr>
      <w:tr w:rsidR="00D3140C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D3140C" w:rsidRDefault="00A067EF">
            <w:r>
              <w:t>Si02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А1203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Fe203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СаО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MgO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Na20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К20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п.п.п.</w:t>
            </w:r>
          </w:p>
        </w:tc>
      </w:tr>
      <w:tr w:rsidR="00D3140C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D3140C" w:rsidRDefault="00A067EF">
            <w:r>
              <w:t>47,36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16,86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16,71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3,85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7,75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3,08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0,11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0,2</w:t>
            </w:r>
          </w:p>
        </w:tc>
      </w:tr>
    </w:tbl>
    <w:p w:rsidR="00D3140C" w:rsidRPr="00A067EF" w:rsidRDefault="00A067EF">
      <w:pPr>
        <w:pStyle w:val="a3"/>
      </w:pPr>
      <w:r>
        <w:t> </w:t>
      </w:r>
    </w:p>
    <w:p w:rsidR="00D3140C" w:rsidRDefault="00A067EF">
      <w:pPr>
        <w:pStyle w:val="a3"/>
      </w:pPr>
      <w:r>
        <w:t>Таблица 2</w:t>
      </w:r>
    </w:p>
    <w:p w:rsidR="00D3140C" w:rsidRDefault="00A067EF">
      <w:pPr>
        <w:pStyle w:val="a3"/>
      </w:pPr>
      <w:r>
        <w:t>Физико-механические свойства композиционного магнезиального вяжущего вещества</w:t>
      </w:r>
    </w:p>
    <w:p w:rsidR="00D3140C" w:rsidRDefault="00A067EF">
      <w:pPr>
        <w:pStyle w:val="a3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"/>
        <w:gridCol w:w="240"/>
        <w:gridCol w:w="120"/>
        <w:gridCol w:w="120"/>
      </w:tblGrid>
      <w:tr w:rsidR="00D3140C">
        <w:trPr>
          <w:trHeight w:val="24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D3140C" w:rsidRDefault="00A067EF">
            <w:r>
              <w:t>Средняя плотность, кг/м3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3140C" w:rsidRDefault="00A067EF">
            <w:r>
              <w:t>Прочность при сжатии, твердении, МПа, в возрасте</w:t>
            </w:r>
          </w:p>
        </w:tc>
      </w:tr>
      <w:tr w:rsidR="00D3140C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140C" w:rsidRDefault="00D3140C"/>
        </w:tc>
        <w:tc>
          <w:tcPr>
            <w:tcW w:w="0" w:type="auto"/>
            <w:gridSpan w:val="2"/>
            <w:vAlign w:val="center"/>
            <w:hideMark/>
          </w:tcPr>
          <w:p w:rsidR="00D3140C" w:rsidRDefault="00A067EF">
            <w:r>
              <w:t>на воздухе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3140C" w:rsidRDefault="00A067EF">
            <w:r>
              <w:t>в воде</w:t>
            </w:r>
          </w:p>
        </w:tc>
      </w:tr>
      <w:tr w:rsidR="00D3140C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140C" w:rsidRDefault="00D3140C"/>
        </w:tc>
        <w:tc>
          <w:tcPr>
            <w:tcW w:w="0" w:type="auto"/>
            <w:vAlign w:val="center"/>
            <w:hideMark/>
          </w:tcPr>
          <w:p w:rsidR="00D3140C" w:rsidRDefault="00A067EF">
            <w:r>
              <w:t>28 сут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60 сут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28 сут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90 сут</w:t>
            </w:r>
          </w:p>
        </w:tc>
      </w:tr>
      <w:tr w:rsidR="00D3140C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D3140C" w:rsidRDefault="00A067EF">
            <w:r>
              <w:t>1490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12,05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13,45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9,20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8,9</w:t>
            </w:r>
          </w:p>
        </w:tc>
      </w:tr>
    </w:tbl>
    <w:p w:rsidR="00D3140C" w:rsidRPr="00A067EF" w:rsidRDefault="00A067EF">
      <w:pPr>
        <w:pStyle w:val="a3"/>
      </w:pPr>
      <w:r>
        <w:t> </w:t>
      </w:r>
    </w:p>
    <w:p w:rsidR="00D3140C" w:rsidRDefault="00A067EF">
      <w:pPr>
        <w:pStyle w:val="a3"/>
      </w:pPr>
      <w:r>
        <w:t>Таблица 3</w:t>
      </w:r>
    </w:p>
    <w:p w:rsidR="00D3140C" w:rsidRDefault="00A067EF">
      <w:pPr>
        <w:pStyle w:val="a3"/>
      </w:pPr>
      <w:r>
        <w:t>Физико-механические свойства костролитовых композитов</w:t>
      </w:r>
    </w:p>
    <w:p w:rsidR="00D3140C" w:rsidRDefault="00A067EF">
      <w:pPr>
        <w:pStyle w:val="a3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3140C">
        <w:trPr>
          <w:trHeight w:val="765"/>
          <w:tblCellSpacing w:w="0" w:type="dxa"/>
        </w:trPr>
        <w:tc>
          <w:tcPr>
            <w:tcW w:w="0" w:type="auto"/>
            <w:vAlign w:val="center"/>
            <w:hideMark/>
          </w:tcPr>
          <w:p w:rsidR="00D3140C" w:rsidRDefault="00A067EF">
            <w:r>
              <w:t>Наполнитель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Образцы</w:t>
            </w:r>
          </w:p>
        </w:tc>
        <w:tc>
          <w:tcPr>
            <w:tcW w:w="0" w:type="auto"/>
            <w:vAlign w:val="center"/>
            <w:hideMark/>
          </w:tcPr>
          <w:p w:rsidR="00D3140C" w:rsidRPr="00A067EF" w:rsidRDefault="00A067EF">
            <w:pPr>
              <w:pStyle w:val="a3"/>
            </w:pPr>
            <w:r w:rsidRPr="00A067EF">
              <w:t>Средняя</w:t>
            </w:r>
          </w:p>
          <w:p w:rsidR="00D3140C" w:rsidRPr="00A067EF" w:rsidRDefault="00A067EF">
            <w:pPr>
              <w:pStyle w:val="a3"/>
            </w:pPr>
            <w:r w:rsidRPr="00A067EF">
              <w:t>плотность,</w:t>
            </w:r>
          </w:p>
          <w:p w:rsidR="00D3140C" w:rsidRPr="00A067EF" w:rsidRDefault="00A067EF">
            <w:pPr>
              <w:pStyle w:val="a3"/>
            </w:pPr>
            <w:r w:rsidRPr="00A067EF">
              <w:t>кг/м3</w:t>
            </w:r>
          </w:p>
        </w:tc>
        <w:tc>
          <w:tcPr>
            <w:tcW w:w="0" w:type="auto"/>
            <w:vAlign w:val="center"/>
            <w:hideMark/>
          </w:tcPr>
          <w:p w:rsidR="00D3140C" w:rsidRPr="00A067EF" w:rsidRDefault="00A067EF">
            <w:pPr>
              <w:pStyle w:val="a3"/>
            </w:pPr>
            <w:r w:rsidRPr="00A067EF">
              <w:t>сух</w:t>
            </w:r>
          </w:p>
          <w:p w:rsidR="00D3140C" w:rsidRPr="00A067EF" w:rsidRDefault="00A067EF">
            <w:pPr>
              <w:pStyle w:val="a3"/>
            </w:pPr>
            <w:r w:rsidRPr="00A067EF">
              <w:t>О 10%? МПа</w:t>
            </w:r>
          </w:p>
        </w:tc>
        <w:tc>
          <w:tcPr>
            <w:tcW w:w="0" w:type="auto"/>
            <w:vAlign w:val="center"/>
            <w:hideMark/>
          </w:tcPr>
          <w:p w:rsidR="00D3140C" w:rsidRPr="00A067EF" w:rsidRDefault="00A067EF">
            <w:pPr>
              <w:pStyle w:val="a3"/>
            </w:pPr>
            <w:r w:rsidRPr="00A067EF">
              <w:t>Rcyx</w:t>
            </w:r>
          </w:p>
          <w:p w:rsidR="00D3140C" w:rsidRPr="00A067EF" w:rsidRDefault="00A067EF">
            <w:pPr>
              <w:pStyle w:val="a3"/>
            </w:pPr>
            <w:r w:rsidRPr="00A067EF">
              <w:t>1V СЖ5</w:t>
            </w:r>
          </w:p>
          <w:p w:rsidR="00D3140C" w:rsidRPr="00A067EF" w:rsidRDefault="00A067EF">
            <w:pPr>
              <w:pStyle w:val="a3"/>
            </w:pPr>
            <w:r w:rsidRPr="00A067EF">
              <w:t>МПа</w:t>
            </w:r>
          </w:p>
        </w:tc>
        <w:tc>
          <w:tcPr>
            <w:tcW w:w="0" w:type="auto"/>
            <w:vAlign w:val="center"/>
            <w:hideMark/>
          </w:tcPr>
          <w:p w:rsidR="00D3140C" w:rsidRPr="00A067EF" w:rsidRDefault="00A067EF">
            <w:pPr>
              <w:pStyle w:val="a3"/>
            </w:pPr>
            <w:r w:rsidRPr="00A067EF">
              <w:t>ВН.В Л СЖэ</w:t>
            </w:r>
          </w:p>
          <w:p w:rsidR="00D3140C" w:rsidRPr="00A067EF" w:rsidRDefault="00A067EF">
            <w:pPr>
              <w:pStyle w:val="a3"/>
            </w:pPr>
            <w:r w:rsidRPr="00A067EF">
              <w:t>МПа</w:t>
            </w:r>
          </w:p>
        </w:tc>
        <w:tc>
          <w:tcPr>
            <w:tcW w:w="0" w:type="auto"/>
            <w:vAlign w:val="center"/>
            <w:hideMark/>
          </w:tcPr>
          <w:p w:rsidR="00D3140C" w:rsidRPr="00A067EF" w:rsidRDefault="00A067EF">
            <w:pPr>
              <w:pStyle w:val="a3"/>
            </w:pPr>
            <w:r w:rsidRPr="00A067EF">
              <w:t>Капиллярный подсос, через</w:t>
            </w:r>
          </w:p>
          <w:p w:rsidR="00D3140C" w:rsidRPr="00A067EF" w:rsidRDefault="00A067EF">
            <w:pPr>
              <w:pStyle w:val="a3"/>
            </w:pPr>
            <w:r w:rsidRPr="00A067EF">
              <w:t>12 ч, %</w:t>
            </w:r>
          </w:p>
        </w:tc>
        <w:tc>
          <w:tcPr>
            <w:tcW w:w="0" w:type="auto"/>
            <w:vAlign w:val="center"/>
            <w:hideMark/>
          </w:tcPr>
          <w:p w:rsidR="00D3140C" w:rsidRPr="00A067EF" w:rsidRDefault="00A067EF">
            <w:pPr>
              <w:pStyle w:val="a3"/>
            </w:pPr>
            <w:r w:rsidRPr="00A067EF">
              <w:t>Водопогло-</w:t>
            </w:r>
          </w:p>
          <w:p w:rsidR="00D3140C" w:rsidRPr="00A067EF" w:rsidRDefault="00A067EF">
            <w:pPr>
              <w:pStyle w:val="a3"/>
            </w:pPr>
            <w:r w:rsidRPr="00A067EF">
              <w:t>щение,</w:t>
            </w:r>
          </w:p>
          <w:p w:rsidR="00D3140C" w:rsidRPr="00A067EF" w:rsidRDefault="00A067EF">
            <w:pPr>
              <w:pStyle w:val="a3"/>
            </w:pPr>
            <w:r w:rsidRPr="00A067EF">
              <w:t>Wv, %</w:t>
            </w:r>
          </w:p>
        </w:tc>
        <w:tc>
          <w:tcPr>
            <w:tcW w:w="0" w:type="auto"/>
            <w:vAlign w:val="center"/>
            <w:hideMark/>
          </w:tcPr>
          <w:p w:rsidR="00D3140C" w:rsidRPr="00A067EF" w:rsidRDefault="00A067EF">
            <w:pPr>
              <w:pStyle w:val="a3"/>
            </w:pPr>
            <w:r w:rsidRPr="00A067EF">
              <w:t>Коэффициент</w:t>
            </w:r>
          </w:p>
          <w:p w:rsidR="00D3140C" w:rsidRPr="00A067EF" w:rsidRDefault="00A067EF">
            <w:pPr>
              <w:pStyle w:val="a3"/>
            </w:pPr>
            <w:r w:rsidRPr="00A067EF">
              <w:t>размягчения,</w:t>
            </w:r>
          </w:p>
          <w:p w:rsidR="00D3140C" w:rsidRPr="00A067EF" w:rsidRDefault="00A067EF">
            <w:pPr>
              <w:pStyle w:val="a3"/>
            </w:pPr>
            <w:r w:rsidRPr="00A067EF">
              <w:t>к,</w:t>
            </w:r>
          </w:p>
        </w:tc>
      </w:tr>
      <w:tr w:rsidR="00D3140C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D3140C" w:rsidRDefault="00A067EF">
            <w:r>
              <w:t>Костролит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3140C" w:rsidRDefault="00A067EF">
            <w:r>
              <w:t>прессов.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508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1,00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3,73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3,28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25,1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45,3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0,88</w:t>
            </w:r>
          </w:p>
        </w:tc>
      </w:tr>
      <w:tr w:rsidR="00D3140C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D3140C" w:rsidRDefault="00A067EF">
            <w:r>
              <w:t>Контрольный</w:t>
            </w:r>
          </w:p>
        </w:tc>
        <w:tc>
          <w:tcPr>
            <w:tcW w:w="0" w:type="auto"/>
            <w:vMerge/>
            <w:vAlign w:val="center"/>
            <w:hideMark/>
          </w:tcPr>
          <w:p w:rsidR="00D3140C" w:rsidRDefault="00D3140C"/>
        </w:tc>
        <w:tc>
          <w:tcPr>
            <w:tcW w:w="0" w:type="auto"/>
            <w:vAlign w:val="center"/>
            <w:hideMark/>
          </w:tcPr>
          <w:p w:rsidR="00D3140C" w:rsidRDefault="00A067EF">
            <w:r>
              <w:t>446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0,72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4,90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0,83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38,8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52,0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0.17</w:t>
            </w:r>
          </w:p>
        </w:tc>
      </w:tr>
      <w:tr w:rsidR="00D3140C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D3140C" w:rsidRDefault="00A067EF">
            <w:r>
              <w:t>Костролит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литой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630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0,50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1,40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0,60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32,6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42,3</w:t>
            </w:r>
          </w:p>
        </w:tc>
        <w:tc>
          <w:tcPr>
            <w:tcW w:w="0" w:type="auto"/>
            <w:vAlign w:val="center"/>
            <w:hideMark/>
          </w:tcPr>
          <w:p w:rsidR="00D3140C" w:rsidRDefault="00A067EF">
            <w:r>
              <w:t>0,40</w:t>
            </w:r>
          </w:p>
        </w:tc>
      </w:tr>
    </w:tbl>
    <w:p w:rsidR="00D3140C" w:rsidRPr="00A067EF" w:rsidRDefault="00A067EF">
      <w:pPr>
        <w:pStyle w:val="a3"/>
      </w:pPr>
      <w:r>
        <w:t> </w:t>
      </w:r>
    </w:p>
    <w:p w:rsidR="00D3140C" w:rsidRDefault="00A067EF">
      <w:pPr>
        <w:pStyle w:val="a3"/>
      </w:pPr>
      <w:r>
        <w:t>прочности при сжатии в сухом RcyxcyK и насыщенном водой состоянии Янвсж, водопоглощение по объему. Костролитовые изделия отличаются низкой средней плотностью (499...508 кг/м3), низкой теплопроводностью (0,150.. .0,164 Вт/м2*°С), что соответствует теплоизоляционным материалам, и высоким коэффициентом размягчения (Кр= 0,88).</w:t>
      </w:r>
    </w:p>
    <w:p w:rsidR="00D3140C" w:rsidRDefault="00A067EF">
      <w:pPr>
        <w:pStyle w:val="a3"/>
      </w:pPr>
      <w:r>
        <w:t>Таким образом, для повышения водостойкости продуктов твердения магнезиальных вяжущих веществ может использоваться добавка диабаза (70 % ), представляющая собой отход щебеночного производства и имеющая удельную поверхность 2000...2500 см2/г. Применение композиционного магнезиального вяжущего вещества, содержащего диабаз, позволяет получать костролитовые композиционные материалы, обладающие высокой водостойкостью и низкой теплопроводностью.</w:t>
      </w:r>
    </w:p>
    <w:p w:rsidR="00D3140C" w:rsidRDefault="00A067EF">
      <w:pPr>
        <w:pStyle w:val="a3"/>
      </w:pPr>
      <w:r>
        <w:t>Внести вклад в проблему утилизации отходов возможно посредством более полного использования техногенных и некондиционных природных ресурсов в производстве местных строительных материалов. Совместное использование высокомагнезиальных и магнезиально-силикатных отходов в производстве композиицонных магнезиальных вяжущих материалов позволит расширить сырьевую базу, вовлечь техногенное сырье в производство и будет способствовать улучшению экологии регионов.</w:t>
      </w:r>
    </w:p>
    <w:p w:rsidR="00D3140C" w:rsidRDefault="00A067EF">
      <w:pPr>
        <w:pStyle w:val="a3"/>
      </w:pPr>
      <w:r>
        <w:t>Список литературы</w:t>
      </w:r>
    </w:p>
    <w:p w:rsidR="00D3140C" w:rsidRDefault="00A067EF">
      <w:pPr>
        <w:pStyle w:val="a3"/>
      </w:pPr>
      <w:r>
        <w:t>Верещагин, В.И. Водостойкие смешанные магнезиальные вяжущие / В Ж Верещагин, В.Н Сми- ренская, С.В. Эрдман // Стекло и керамика. - 1997. - М&gt; 11. - С 33-37.</w:t>
      </w:r>
      <w:bookmarkStart w:id="0" w:name="_GoBack"/>
      <w:bookmarkEnd w:id="0"/>
    </w:p>
    <w:sectPr w:rsidR="00D314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7EF"/>
    <w:rsid w:val="00506751"/>
    <w:rsid w:val="00A067EF"/>
    <w:rsid w:val="00D3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1A768-7AB3-4898-8208-413CC55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1243</Words>
  <Characters>7086</Characters>
  <Application>Microsoft Office Word</Application>
  <DocSecurity>0</DocSecurity>
  <Lines>59</Lines>
  <Paragraphs>16</Paragraphs>
  <ScaleCrop>false</ScaleCrop>
  <Company>diakov.net</Company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Костролитовые строительные материалы с использованием композиционного магнезиального вяжущего на основе диабаза</dc:title>
  <dc:subject/>
  <dc:creator>Irina</dc:creator>
  <cp:keywords/>
  <dc:description/>
  <cp:lastModifiedBy>Irina</cp:lastModifiedBy>
  <cp:revision>2</cp:revision>
  <dcterms:created xsi:type="dcterms:W3CDTF">2014-08-02T19:55:00Z</dcterms:created>
  <dcterms:modified xsi:type="dcterms:W3CDTF">2014-08-02T19:55:00Z</dcterms:modified>
</cp:coreProperties>
</file>